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0014" w14:textId="77777777" w:rsidR="003B0D1D" w:rsidRDefault="003B0D1D" w:rsidP="00120FD6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37A4765A" w14:textId="3A804299" w:rsidR="00120FD6" w:rsidRPr="00E4336B" w:rsidRDefault="00120FD6" w:rsidP="00120FD6">
      <w:pPr>
        <w:spacing w:after="0" w:line="240" w:lineRule="auto"/>
        <w:jc w:val="both"/>
        <w:rPr>
          <w:rFonts w:ascii="Open Sans" w:hAnsi="Open Sans" w:cs="Open Sans"/>
          <w:b/>
        </w:rPr>
      </w:pPr>
      <w:r w:rsidRPr="00E4336B">
        <w:rPr>
          <w:rFonts w:ascii="Open Sans" w:hAnsi="Open Sans" w:cs="Open Sans"/>
          <w:b/>
          <w:bCs/>
        </w:rPr>
        <w:t>Sygnatura:</w:t>
      </w:r>
      <w:r w:rsidRPr="00E4336B">
        <w:rPr>
          <w:rFonts w:ascii="Open Sans" w:hAnsi="Open Sans" w:cs="Open Sans"/>
        </w:rPr>
        <w:t xml:space="preserve"> </w:t>
      </w:r>
      <w:r w:rsidR="00E4336B" w:rsidRPr="00E4336B">
        <w:rPr>
          <w:rFonts w:ascii="Open Sans" w:hAnsi="Open Sans" w:cs="Open Sans"/>
        </w:rPr>
        <w:t>2</w:t>
      </w:r>
      <w:r w:rsidRPr="00E4336B">
        <w:rPr>
          <w:rFonts w:ascii="Open Sans" w:hAnsi="Open Sans" w:cs="Open Sans"/>
        </w:rPr>
        <w:t xml:space="preserve">/ZMO/2022 STBU </w:t>
      </w:r>
      <w:r w:rsidRPr="00E4336B">
        <w:rPr>
          <w:rFonts w:ascii="Open Sans" w:hAnsi="Open Sans" w:cs="Open Sans"/>
        </w:rPr>
        <w:tab/>
      </w:r>
      <w:r w:rsidRPr="00E4336B">
        <w:rPr>
          <w:rFonts w:ascii="Open Sans" w:hAnsi="Open Sans" w:cs="Open Sans"/>
        </w:rPr>
        <w:tab/>
      </w:r>
      <w:r w:rsidRPr="00E4336B">
        <w:rPr>
          <w:rFonts w:ascii="Open Sans" w:hAnsi="Open Sans" w:cs="Open Sans"/>
        </w:rPr>
        <w:tab/>
      </w:r>
      <w:r w:rsidRPr="00E4336B">
        <w:rPr>
          <w:rFonts w:ascii="Open Sans" w:hAnsi="Open Sans" w:cs="Open Sans"/>
        </w:rPr>
        <w:tab/>
      </w:r>
      <w:r w:rsidRPr="00E4336B">
        <w:rPr>
          <w:rFonts w:ascii="Open Sans" w:hAnsi="Open Sans" w:cs="Open Sans"/>
        </w:rPr>
        <w:tab/>
      </w:r>
      <w:r w:rsidRPr="00E4336B">
        <w:rPr>
          <w:rFonts w:ascii="Open Sans" w:hAnsi="Open Sans" w:cs="Open Sans"/>
        </w:rPr>
        <w:tab/>
      </w:r>
      <w:r w:rsidR="00E4336B" w:rsidRPr="00E4336B">
        <w:rPr>
          <w:rFonts w:ascii="Open Sans" w:hAnsi="Open Sans" w:cs="Open Sans"/>
          <w:b/>
        </w:rPr>
        <w:t>5</w:t>
      </w:r>
      <w:r w:rsidRPr="00E4336B">
        <w:rPr>
          <w:rFonts w:ascii="Open Sans" w:hAnsi="Open Sans" w:cs="Open Sans"/>
          <w:b/>
        </w:rPr>
        <w:t>.</w:t>
      </w:r>
      <w:r w:rsidR="00E4336B" w:rsidRPr="00E4336B">
        <w:rPr>
          <w:rFonts w:ascii="Open Sans" w:hAnsi="Open Sans" w:cs="Open Sans"/>
          <w:b/>
        </w:rPr>
        <w:t>0</w:t>
      </w:r>
      <w:r w:rsidRPr="00E4336B">
        <w:rPr>
          <w:rFonts w:ascii="Open Sans" w:hAnsi="Open Sans" w:cs="Open Sans"/>
          <w:b/>
        </w:rPr>
        <w:t>1.202</w:t>
      </w:r>
      <w:r w:rsidR="00E4336B" w:rsidRPr="00E4336B">
        <w:rPr>
          <w:rFonts w:ascii="Open Sans" w:hAnsi="Open Sans" w:cs="Open Sans"/>
          <w:b/>
        </w:rPr>
        <w:t>3</w:t>
      </w:r>
      <w:r w:rsidRPr="00E4336B">
        <w:rPr>
          <w:rFonts w:ascii="Open Sans" w:hAnsi="Open Sans" w:cs="Open Sans"/>
          <w:b/>
        </w:rPr>
        <w:t>r.</w:t>
      </w:r>
    </w:p>
    <w:p w14:paraId="1272AE00" w14:textId="2F35A26A" w:rsidR="00120FD6" w:rsidRPr="00E4336B" w:rsidRDefault="00120FD6" w:rsidP="00120FD6">
      <w:pPr>
        <w:spacing w:after="0" w:line="240" w:lineRule="auto"/>
        <w:jc w:val="both"/>
        <w:rPr>
          <w:rFonts w:ascii="Open Sans" w:hAnsi="Open Sans" w:cs="Open Sans"/>
        </w:rPr>
      </w:pPr>
    </w:p>
    <w:p w14:paraId="0DD45BE6" w14:textId="77777777" w:rsidR="00120FD6" w:rsidRPr="00E4336B" w:rsidRDefault="00120FD6" w:rsidP="00120F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6D63F6D" w14:textId="77777777" w:rsidR="00120FD6" w:rsidRPr="00E4336B" w:rsidRDefault="00120FD6" w:rsidP="00120FD6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E4336B">
        <w:rPr>
          <w:rFonts w:ascii="Open Sans" w:hAnsi="Open Sans" w:cs="Open Sans"/>
          <w:b/>
        </w:rPr>
        <w:t>Strona internetowa</w:t>
      </w:r>
    </w:p>
    <w:p w14:paraId="044C0D45" w14:textId="77777777" w:rsidR="00120FD6" w:rsidRPr="00E4336B" w:rsidRDefault="00120FD6" w:rsidP="00120FD6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74A5CD48" w14:textId="77777777" w:rsidR="00120FD6" w:rsidRPr="00E4336B" w:rsidRDefault="00120FD6" w:rsidP="00120F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7C12C5C" w14:textId="54B8C85E" w:rsidR="00120FD6" w:rsidRPr="00E4336B" w:rsidRDefault="00120FD6" w:rsidP="00120F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E4336B">
        <w:rPr>
          <w:rFonts w:ascii="Open Sans" w:hAnsi="Open Sans" w:cs="Open Sans"/>
          <w:b/>
        </w:rPr>
        <w:t xml:space="preserve">Sprawa: </w:t>
      </w:r>
      <w:r w:rsidRPr="00E4336B">
        <w:rPr>
          <w:rFonts w:ascii="Open Sans" w:hAnsi="Open Sans" w:cs="Open Sans"/>
        </w:rPr>
        <w:t>wyjaśnienie zapisów SWZ w postępowaniu na</w:t>
      </w:r>
      <w:r w:rsidRPr="00E4336B">
        <w:rPr>
          <w:rFonts w:ascii="Open Sans" w:hAnsi="Open Sans" w:cs="Open Sans"/>
          <w:b/>
        </w:rPr>
        <w:t xml:space="preserve"> „</w:t>
      </w:r>
      <w:r w:rsidRPr="00E4336B">
        <w:rPr>
          <w:rFonts w:ascii="Open Sans" w:hAnsi="Open Sans" w:cs="Open Sans"/>
          <w:b/>
          <w:bCs/>
        </w:rPr>
        <w:t>Usługi ubezpieczenia MZO w Wołominie</w:t>
      </w:r>
      <w:r w:rsidR="00E4336B">
        <w:rPr>
          <w:rFonts w:ascii="Open Sans" w:hAnsi="Open Sans" w:cs="Open Sans"/>
          <w:b/>
          <w:bCs/>
        </w:rPr>
        <w:t xml:space="preserve"> </w:t>
      </w:r>
      <w:bookmarkStart w:id="0" w:name="_GoBack"/>
      <w:bookmarkEnd w:id="0"/>
      <w:r w:rsidRPr="00E4336B">
        <w:rPr>
          <w:rFonts w:ascii="Open Sans" w:hAnsi="Open Sans" w:cs="Open Sans"/>
          <w:b/>
          <w:bCs/>
        </w:rPr>
        <w:t>- 2 zadania</w:t>
      </w:r>
      <w:r w:rsidRPr="00E4336B">
        <w:rPr>
          <w:rFonts w:ascii="Open Sans" w:hAnsi="Open Sans" w:cs="Open Sans"/>
          <w:b/>
        </w:rPr>
        <w:t>”</w:t>
      </w:r>
      <w:r w:rsidR="00E4336B" w:rsidRPr="00E4336B">
        <w:rPr>
          <w:rFonts w:ascii="Open Sans" w:hAnsi="Open Sans" w:cs="Open Sans"/>
          <w:b/>
        </w:rPr>
        <w:t xml:space="preserve"> postępowanie powtórzone</w:t>
      </w:r>
      <w:r w:rsidRPr="00E4336B">
        <w:rPr>
          <w:rFonts w:ascii="Open Sans" w:hAnsi="Open Sans" w:cs="Open Sans"/>
          <w:b/>
        </w:rPr>
        <w:t>.</w:t>
      </w:r>
    </w:p>
    <w:p w14:paraId="7A805FAC" w14:textId="77777777" w:rsidR="00120FD6" w:rsidRPr="00E4336B" w:rsidRDefault="00120FD6" w:rsidP="00120FD6">
      <w:pPr>
        <w:suppressAutoHyphens/>
        <w:spacing w:after="0" w:line="240" w:lineRule="auto"/>
        <w:jc w:val="both"/>
        <w:rPr>
          <w:rFonts w:ascii="Open Sans" w:hAnsi="Open Sans" w:cs="Open Sans"/>
          <w:b/>
          <w:u w:val="single"/>
          <w:lang w:eastAsia="ar-SA"/>
        </w:rPr>
      </w:pPr>
    </w:p>
    <w:p w14:paraId="29E33E26" w14:textId="77777777" w:rsidR="00120FD6" w:rsidRPr="00E4336B" w:rsidRDefault="00120FD6" w:rsidP="00120FD6">
      <w:pPr>
        <w:spacing w:after="0" w:line="240" w:lineRule="auto"/>
        <w:jc w:val="both"/>
        <w:rPr>
          <w:rFonts w:ascii="Open Sans" w:hAnsi="Open Sans" w:cs="Open Sans"/>
        </w:rPr>
      </w:pPr>
      <w:r w:rsidRPr="00E4336B">
        <w:rPr>
          <w:rFonts w:ascii="Open Sans" w:hAnsi="Open Sans" w:cs="Open Sans"/>
        </w:rPr>
        <w:t>Zamawiający informuje, iż na podst. art. 284 ust.2 i 286 ust.1 ustawy Prawo zamówień publicznych (Dz.U. z 2022r. poz. 1710 ze zm.) dokonuje wyjaśnień i modyfikacji zapisów SWZ.</w:t>
      </w:r>
    </w:p>
    <w:p w14:paraId="0DD40A9B" w14:textId="77777777" w:rsidR="00120FD6" w:rsidRPr="00E4336B" w:rsidRDefault="00120FD6" w:rsidP="00120FD6">
      <w:pPr>
        <w:spacing w:after="0" w:line="240" w:lineRule="auto"/>
        <w:jc w:val="both"/>
        <w:rPr>
          <w:rFonts w:ascii="Open Sans" w:hAnsi="Open Sans" w:cs="Open Sans"/>
        </w:rPr>
      </w:pPr>
    </w:p>
    <w:p w14:paraId="1AA784C6" w14:textId="77777777" w:rsidR="00120FD6" w:rsidRPr="00E4336B" w:rsidRDefault="00120FD6" w:rsidP="00120FD6">
      <w:pPr>
        <w:suppressAutoHyphens/>
        <w:spacing w:after="0" w:line="240" w:lineRule="auto"/>
        <w:jc w:val="both"/>
        <w:rPr>
          <w:rFonts w:ascii="Open Sans" w:hAnsi="Open Sans" w:cs="Open Sans"/>
          <w:lang w:eastAsia="ar-SA"/>
        </w:rPr>
      </w:pPr>
      <w:r w:rsidRPr="00E4336B">
        <w:rPr>
          <w:rFonts w:ascii="Open Sans" w:hAnsi="Open Sans" w:cs="Open Sans"/>
          <w:lang w:eastAsia="ar-SA"/>
        </w:rPr>
        <w:t>Poniższe należy uwzględnić przygotowując ofertę.</w:t>
      </w:r>
    </w:p>
    <w:p w14:paraId="04D24689" w14:textId="77777777" w:rsidR="00120FD6" w:rsidRPr="00E4336B" w:rsidRDefault="00120FD6" w:rsidP="00120FD6">
      <w:pPr>
        <w:jc w:val="both"/>
        <w:rPr>
          <w:rFonts w:ascii="Open Sans" w:hAnsi="Open Sans" w:cs="Open Sans"/>
          <w:b/>
          <w:bCs/>
        </w:rPr>
      </w:pPr>
    </w:p>
    <w:p w14:paraId="2903BEFC" w14:textId="77777777" w:rsidR="00E4336B" w:rsidRPr="00E4336B" w:rsidRDefault="00E4336B" w:rsidP="00E4336B">
      <w:pPr>
        <w:pStyle w:val="v1msonormal"/>
        <w:jc w:val="both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sz w:val="22"/>
          <w:szCs w:val="22"/>
        </w:rPr>
        <w:t xml:space="preserve">1) Prosimy o dopisanie w § 1 postanowień o treści: </w:t>
      </w:r>
    </w:p>
    <w:p w14:paraId="0FC295AD" w14:textId="77777777" w:rsidR="00E4336B" w:rsidRPr="00E4336B" w:rsidRDefault="00E4336B" w:rsidP="00E4336B">
      <w:pPr>
        <w:pStyle w:val="v1msonormal"/>
        <w:jc w:val="both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sz w:val="22"/>
          <w:szCs w:val="22"/>
        </w:rPr>
        <w:t xml:space="preserve">Niniejsza umowa w żadnym razie nie stanowi umowy ubezpieczenia w rozumieniu art. 805 </w:t>
      </w:r>
      <w:proofErr w:type="spellStart"/>
      <w:r w:rsidRPr="00E4336B">
        <w:rPr>
          <w:rFonts w:ascii="Open Sans" w:hAnsi="Open Sans" w:cs="Open Sans"/>
          <w:sz w:val="22"/>
          <w:szCs w:val="22"/>
        </w:rPr>
        <w:t>kc</w:t>
      </w:r>
      <w:proofErr w:type="spellEnd"/>
      <w:r w:rsidRPr="00E4336B">
        <w:rPr>
          <w:rFonts w:ascii="Open Sans" w:hAnsi="Open Sans" w:cs="Open Sans"/>
          <w:sz w:val="22"/>
          <w:szCs w:val="22"/>
        </w:rPr>
        <w:t xml:space="preserve">. i nie może być w ten sposób interpretowana. Umowami ubezpieczenia i potwierdzeniem udzielenia ochrony ubezpieczeniowej oraz jej źródłem będą polisy wystawiane na podstawie złożonej przez Wykonawcę oferty w 12 miesięcznych okresach odpowiedzialności. </w:t>
      </w:r>
    </w:p>
    <w:p w14:paraId="36F4D64E" w14:textId="77777777" w:rsidR="00E4336B" w:rsidRPr="00E4336B" w:rsidRDefault="00E4336B" w:rsidP="00E4336B">
      <w:pPr>
        <w:pStyle w:val="v1msonormal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b/>
          <w:bCs/>
          <w:i/>
          <w:iCs/>
          <w:sz w:val="22"/>
          <w:szCs w:val="22"/>
        </w:rPr>
        <w:t>Odpowiedź: Zamawiający wyraża zgodę</w:t>
      </w:r>
    </w:p>
    <w:p w14:paraId="587B37AA" w14:textId="77777777" w:rsidR="00E4336B" w:rsidRPr="00E4336B" w:rsidRDefault="00E4336B" w:rsidP="00E4336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E4336B">
        <w:rPr>
          <w:rFonts w:ascii="Open Sans" w:hAnsi="Open Sans" w:cs="Open Sans"/>
          <w:b/>
          <w:bCs/>
          <w:i/>
          <w:iCs/>
        </w:rPr>
        <w:t> </w:t>
      </w:r>
      <w:r w:rsidRPr="00E4336B">
        <w:rPr>
          <w:rFonts w:ascii="Open Sans" w:hAnsi="Open Sans" w:cs="Open Sans"/>
        </w:rPr>
        <w:t>2) Prosimy o zmianę w § 4 pkt 2 – na te podstawie, że Zamawiający błędnie interpretuje i stosuje przepisy:</w:t>
      </w:r>
    </w:p>
    <w:p w14:paraId="486C2C59" w14:textId="08AE82A7" w:rsidR="00E4336B" w:rsidRPr="00E4336B" w:rsidRDefault="00E4336B" w:rsidP="00E4336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E4336B">
        <w:rPr>
          <w:rFonts w:ascii="Open Sans" w:hAnsi="Open Sans" w:cs="Open Sans"/>
        </w:rPr>
        <w:t>Składka za ubezpieczenie płatna będzie przez Ubezpieczającego przelewem na rachunek bankowy Wykonawcy wskazany w</w:t>
      </w:r>
      <w:r w:rsidRPr="00E4336B"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zgłoszeniu identyfikacyjnym do naczelnika urzędu skarbowego właściwego dla Wykonawcy zgodnie z przepisami ustawy z</w:t>
      </w:r>
      <w:r w:rsidRPr="00E4336B"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dnia 13 października 1995 r. o zasadach ewidencji i identyfikacji podatników i płatników (Dz.U z 2022</w:t>
      </w:r>
      <w:r w:rsidRPr="00E4336B">
        <w:rPr>
          <w:rFonts w:ascii="Open Sans" w:hAnsi="Open Sans" w:cs="Open Sans"/>
        </w:rPr>
        <w:t xml:space="preserve"> </w:t>
      </w:r>
      <w:proofErr w:type="spellStart"/>
      <w:r w:rsidRPr="00E4336B">
        <w:rPr>
          <w:rFonts w:ascii="Open Sans" w:hAnsi="Open Sans" w:cs="Open Sans"/>
        </w:rPr>
        <w:t>r.poz</w:t>
      </w:r>
      <w:proofErr w:type="spellEnd"/>
      <w:r w:rsidRPr="00E4336B">
        <w:rPr>
          <w:rFonts w:ascii="Open Sans" w:hAnsi="Open Sans" w:cs="Open Sans"/>
        </w:rPr>
        <w:t>. 166 ze zm.).</w:t>
      </w:r>
    </w:p>
    <w:p w14:paraId="78EE3AC7" w14:textId="77777777" w:rsidR="00E4336B" w:rsidRPr="00E4336B" w:rsidRDefault="00E4336B" w:rsidP="00E4336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E4336B">
        <w:rPr>
          <w:rFonts w:ascii="Open Sans" w:hAnsi="Open Sans" w:cs="Open Sans"/>
        </w:rPr>
        <w:t>Zmiana na:</w:t>
      </w:r>
    </w:p>
    <w:p w14:paraId="6FE8602C" w14:textId="1DE88B41" w:rsidR="00E4336B" w:rsidRPr="00E4336B" w:rsidRDefault="00E4336B" w:rsidP="00E4336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E4336B">
        <w:rPr>
          <w:rFonts w:ascii="Open Sans" w:hAnsi="Open Sans" w:cs="Open Sans"/>
        </w:rPr>
        <w:t>Składka za ubezpieczenie płatna będzie przez Ubezpieczającego przelewem na rachunek bankowy Wykonawcy wskazany</w:t>
      </w:r>
      <w:r w:rsidRPr="00E4336B"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każdorazowo w polisie.</w:t>
      </w:r>
    </w:p>
    <w:p w14:paraId="69CE3A9C" w14:textId="2298A32D" w:rsidR="00E4336B" w:rsidRPr="00E4336B" w:rsidRDefault="00E4336B" w:rsidP="00E4336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E4336B">
        <w:rPr>
          <w:rFonts w:ascii="Open Sans" w:hAnsi="Open Sans" w:cs="Open Sans"/>
        </w:rPr>
        <w:t>W naszej ocenie przywołane przepisy w sposób oczywisty nie mają zastosowania. Zgodnie z art. 1 pkt 1 c) ustawa</w:t>
      </w:r>
      <w:r w:rsidRPr="00E4336B"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reguluje kwestie związane z zasadami ewidencji płatników składek na ubezpieczenia społeczne oraz ubezpieczenia</w:t>
      </w:r>
      <w:r w:rsidRPr="00E4336B"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zdrowotne, zwanych dalej „płatnikami składek ubezpieczeniowych”. Nie jest to więc potoczne rozumienie wszelkich</w:t>
      </w:r>
      <w:r w:rsidRPr="00E4336B"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składek ubezpieczeniowych, ale składek na ubezpieczenia społeczne, a więc o charakterze podatkowym. Nie ma to</w:t>
      </w:r>
      <w:r w:rsidRPr="00E4336B"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nic wspólnego ze składkami dla zakładów ubezpieczeń, tylko dla organu od ubezpieczeń społecznych jakim jest ZUS.</w:t>
      </w:r>
      <w:r w:rsidRPr="00E4336B"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Zakład Ubezpieczeń również jako płatnik składek na ubezpieczenia społeczne do ZUS za swoich pracowników</w:t>
      </w:r>
      <w:r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 xml:space="preserve">podlega tym przepisom ale do celów podatkowych, a nie bieżącej działalności. Gdyby zastosować </w:t>
      </w:r>
      <w:r w:rsidRPr="00E4336B">
        <w:rPr>
          <w:rFonts w:ascii="Open Sans" w:hAnsi="Open Sans" w:cs="Open Sans"/>
        </w:rPr>
        <w:lastRenderedPageBreak/>
        <w:t>interpretację</w:t>
      </w:r>
      <w:r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Zamawiającego, spowodowało by to paraliż zakładu ubezpieczeń, bo oznaczałoby, że całą działalność operacyjną</w:t>
      </w:r>
      <w:r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musiałby prowadzić na jednym koncie bankowym, a są to miliony operacji, które w zautomatyzowanych procesach</w:t>
      </w:r>
      <w:r>
        <w:rPr>
          <w:rFonts w:ascii="Open Sans" w:hAnsi="Open Sans" w:cs="Open Sans"/>
        </w:rPr>
        <w:t xml:space="preserve"> </w:t>
      </w:r>
      <w:r w:rsidRPr="00E4336B">
        <w:rPr>
          <w:rFonts w:ascii="Open Sans" w:hAnsi="Open Sans" w:cs="Open Sans"/>
        </w:rPr>
        <w:t>są obsługiwane na indywidualnych subkontach generowanych do każdej polisy.</w:t>
      </w:r>
    </w:p>
    <w:p w14:paraId="37413707" w14:textId="41D527BD" w:rsidR="00E4336B" w:rsidRPr="00E4336B" w:rsidRDefault="00E4336B" w:rsidP="00E4336B">
      <w:pPr>
        <w:pStyle w:val="v1msonormal"/>
        <w:jc w:val="both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b/>
          <w:bCs/>
          <w:i/>
          <w:iCs/>
          <w:sz w:val="22"/>
          <w:szCs w:val="22"/>
        </w:rPr>
        <w:t>Odpowiedź:</w:t>
      </w:r>
      <w:r w:rsidRPr="00E4336B">
        <w:rPr>
          <w:rFonts w:ascii="Open Sans" w:hAnsi="Open Sans" w:cs="Open Sans"/>
          <w:sz w:val="22"/>
          <w:szCs w:val="22"/>
        </w:rPr>
        <w:t xml:space="preserve"> </w:t>
      </w:r>
      <w:r w:rsidRPr="00E4336B">
        <w:rPr>
          <w:rFonts w:ascii="Open Sans" w:hAnsi="Open Sans" w:cs="Open Sans"/>
          <w:b/>
          <w:bCs/>
          <w:i/>
          <w:iCs/>
          <w:sz w:val="22"/>
          <w:szCs w:val="22"/>
        </w:rPr>
        <w:t>Zapłata wynagrodzenia dokonywana będzie na rachunki bankowe związane z prowadzoną przez Wykonawcę działalnością gospodarczą. Rachunek ten musi być zgodny z art. 96b ust. 2 pkt 13 ustawy z dnia 11 marca 2018 r. o podatku od towarów i usług, musi być ujawniony w prowadzonym przez KAS elektronicznym wykazie podmiotów , tzw. „Białej liście podatników VAT” chyba, że Wykonawcy nie dotyczy obowiązek ujawnienia na tej liście.</w:t>
      </w:r>
    </w:p>
    <w:p w14:paraId="27AB6F6E" w14:textId="77777777" w:rsidR="00E4336B" w:rsidRPr="00E4336B" w:rsidRDefault="00E4336B" w:rsidP="00E4336B">
      <w:pPr>
        <w:pStyle w:val="v1msonormal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sz w:val="22"/>
          <w:szCs w:val="22"/>
        </w:rPr>
        <w:t xml:space="preserve">3) Prosimy o dodanie w § 7 postanowień o treści: </w:t>
      </w:r>
    </w:p>
    <w:p w14:paraId="76DE92FE" w14:textId="77777777" w:rsidR="00E4336B" w:rsidRPr="00E4336B" w:rsidRDefault="00E4336B" w:rsidP="00E4336B">
      <w:pPr>
        <w:pStyle w:val="v1msonormal"/>
        <w:jc w:val="both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sz w:val="22"/>
          <w:szCs w:val="22"/>
        </w:rPr>
        <w:t>Wykonawca może wypowiedzieć niniejszą umowę ze skutkiem na koniec pierwszego okresu ubezpieczenia, nie później niż 45 dni przed jego upływem, z ważnych powodów, którym jest brak możliwości zachowania ustalonych postępowaniu warunków ubezpieczenia na kolejny okres odpowiedzialności,  ze względu na znaczące zmiany parametrów służących do oceny ryzyka i/lub na rynku ubezpieczeniowym i/lub reasekuracyjnym.</w:t>
      </w:r>
    </w:p>
    <w:p w14:paraId="252F10BA" w14:textId="6ECB210D" w:rsidR="00E4336B" w:rsidRPr="00E4336B" w:rsidRDefault="00E4336B" w:rsidP="00E4336B">
      <w:pPr>
        <w:pStyle w:val="v1msonormal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b/>
          <w:bCs/>
          <w:i/>
          <w:iCs/>
          <w:sz w:val="22"/>
          <w:szCs w:val="22"/>
        </w:rPr>
        <w:t>Odpowiedź: Zamawiający wyraża zgodę.</w:t>
      </w:r>
    </w:p>
    <w:p w14:paraId="19A16479" w14:textId="77777777" w:rsidR="00E4336B" w:rsidRPr="00E4336B" w:rsidRDefault="00E4336B" w:rsidP="00E4336B">
      <w:pPr>
        <w:pStyle w:val="v1msonormal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sz w:val="22"/>
          <w:szCs w:val="22"/>
        </w:rPr>
        <w:t>4) Prosimy o wykreślenie § 12 – kary umowne.</w:t>
      </w:r>
    </w:p>
    <w:p w14:paraId="5F983293" w14:textId="77777777" w:rsidR="00E4336B" w:rsidRPr="00E4336B" w:rsidRDefault="00E4336B" w:rsidP="00E4336B">
      <w:pPr>
        <w:pStyle w:val="v1msonormal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Odpowiedź: Zamawiający nie wyraża zgody. </w:t>
      </w:r>
    </w:p>
    <w:p w14:paraId="6CD90937" w14:textId="77777777" w:rsidR="00E4336B" w:rsidRPr="00E4336B" w:rsidRDefault="00E4336B" w:rsidP="00E4336B">
      <w:pPr>
        <w:pStyle w:val="v1msonormal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b/>
          <w:bCs/>
          <w:i/>
          <w:iCs/>
          <w:sz w:val="22"/>
          <w:szCs w:val="22"/>
        </w:rPr>
        <w:t>Zamawiający zmienia treść umowy w §12 na następującą:</w:t>
      </w:r>
    </w:p>
    <w:p w14:paraId="5D437EB0" w14:textId="77777777" w:rsidR="00E4336B" w:rsidRPr="00E4336B" w:rsidRDefault="00E4336B" w:rsidP="00E4336B">
      <w:pPr>
        <w:pStyle w:val="v1msonormal"/>
        <w:jc w:val="both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i/>
          <w:iCs/>
          <w:sz w:val="22"/>
          <w:szCs w:val="22"/>
        </w:rPr>
        <w:t>Wykonawca zapłaci Zamawiającemu karę umowną tytułu braku zapłaty lub nieterminowej zapłaty wynagrodzenia należnego podwykonawcom z tytułu zmiany wysokości wynagrodzenia, o której mowa w art. 439 ust. 5:</w:t>
      </w:r>
    </w:p>
    <w:p w14:paraId="015FFB96" w14:textId="77777777" w:rsidR="00E4336B" w:rsidRPr="00E4336B" w:rsidRDefault="00E4336B" w:rsidP="00E4336B">
      <w:pPr>
        <w:pStyle w:val="v1msolistparagraph"/>
        <w:ind w:left="709" w:hanging="425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i/>
          <w:iCs/>
          <w:sz w:val="22"/>
          <w:szCs w:val="22"/>
        </w:rPr>
        <w:t xml:space="preserve">1)     w wysokości 5% łącznej wartości zamówienia (składek) określonej w § 3 z tytułu braku zapłaty wynagrodzenia należnego podwykonawcom </w:t>
      </w:r>
    </w:p>
    <w:p w14:paraId="5A434E35" w14:textId="77777777" w:rsidR="00E4336B" w:rsidRPr="00E4336B" w:rsidRDefault="00E4336B" w:rsidP="00E4336B">
      <w:pPr>
        <w:pStyle w:val="v1msolistparagraph"/>
        <w:ind w:left="709" w:hanging="425"/>
        <w:rPr>
          <w:rFonts w:ascii="Open Sans" w:hAnsi="Open Sans" w:cs="Open Sans"/>
          <w:sz w:val="22"/>
          <w:szCs w:val="22"/>
        </w:rPr>
      </w:pPr>
      <w:r w:rsidRPr="00E4336B">
        <w:rPr>
          <w:rFonts w:ascii="Open Sans" w:hAnsi="Open Sans" w:cs="Open Sans"/>
          <w:i/>
          <w:iCs/>
          <w:sz w:val="22"/>
          <w:szCs w:val="22"/>
        </w:rPr>
        <w:t>2)     w wysokości 3% łącznej wartości zamówienia (składek) określonej w § 3 z tytułu nieterminowej zapłaty wynagrodzenia należnego podwykonawcom</w:t>
      </w:r>
    </w:p>
    <w:p w14:paraId="450491A2" w14:textId="77777777" w:rsidR="00F36FB7" w:rsidRPr="00120FD6" w:rsidRDefault="00F36FB7" w:rsidP="00120FD6">
      <w:pPr>
        <w:jc w:val="both"/>
        <w:rPr>
          <w:rFonts w:ascii="Open Sans" w:hAnsi="Open Sans" w:cs="Open Sans"/>
        </w:rPr>
      </w:pPr>
    </w:p>
    <w:sectPr w:rsidR="00F36FB7" w:rsidRPr="0012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7F22" w14:textId="77777777" w:rsidR="00120FD6" w:rsidRDefault="00120FD6" w:rsidP="00120FD6">
      <w:pPr>
        <w:spacing w:after="0" w:line="240" w:lineRule="auto"/>
      </w:pPr>
      <w:r>
        <w:separator/>
      </w:r>
    </w:p>
  </w:endnote>
  <w:endnote w:type="continuationSeparator" w:id="0">
    <w:p w14:paraId="15F2F3E6" w14:textId="77777777" w:rsidR="00120FD6" w:rsidRDefault="00120FD6" w:rsidP="001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85B" w14:textId="77777777" w:rsidR="00120FD6" w:rsidRDefault="00120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012" w14:textId="77777777" w:rsidR="00120FD6" w:rsidRDefault="00120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6FE2" w14:textId="77777777" w:rsidR="00120FD6" w:rsidRDefault="0012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73A0" w14:textId="77777777" w:rsidR="00120FD6" w:rsidRDefault="00120FD6" w:rsidP="00120FD6">
      <w:pPr>
        <w:spacing w:after="0" w:line="240" w:lineRule="auto"/>
      </w:pPr>
      <w:r>
        <w:separator/>
      </w:r>
    </w:p>
  </w:footnote>
  <w:footnote w:type="continuationSeparator" w:id="0">
    <w:p w14:paraId="62B133EF" w14:textId="77777777" w:rsidR="00120FD6" w:rsidRDefault="00120FD6" w:rsidP="001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BF80" w14:textId="77777777" w:rsidR="00120FD6" w:rsidRDefault="00120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BF90" w14:textId="07CCB335" w:rsidR="00120FD6" w:rsidRDefault="00120FD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9168" wp14:editId="488552C8">
          <wp:simplePos x="0" y="0"/>
          <wp:positionH relativeFrom="page">
            <wp:posOffset>668655</wp:posOffset>
          </wp:positionH>
          <wp:positionV relativeFrom="paragraph">
            <wp:posOffset>-85725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7FB5" w14:textId="77777777" w:rsidR="00120FD6" w:rsidRDefault="0012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4F43"/>
    <w:multiLevelType w:val="hybridMultilevel"/>
    <w:tmpl w:val="EDE04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024CCDE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2" w15:restartNumberingAfterBreak="0">
    <w:nsid w:val="2BEE1634"/>
    <w:multiLevelType w:val="hybridMultilevel"/>
    <w:tmpl w:val="FB4A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F4042"/>
    <w:multiLevelType w:val="hybridMultilevel"/>
    <w:tmpl w:val="DBF270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120FD6"/>
    <w:rsid w:val="003B0D1D"/>
    <w:rsid w:val="003E7EC4"/>
    <w:rsid w:val="004F04DD"/>
    <w:rsid w:val="005A3BAB"/>
    <w:rsid w:val="0064772F"/>
    <w:rsid w:val="00671650"/>
    <w:rsid w:val="007D696F"/>
    <w:rsid w:val="00832D97"/>
    <w:rsid w:val="008E0AEA"/>
    <w:rsid w:val="00966F36"/>
    <w:rsid w:val="0098515E"/>
    <w:rsid w:val="00CF1A0F"/>
    <w:rsid w:val="00E21B8E"/>
    <w:rsid w:val="00E4336B"/>
    <w:rsid w:val="00F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58656A"/>
  <w15:chartTrackingRefBased/>
  <w15:docId w15:val="{4A8A0F2B-9186-4DC2-AEB7-D78C579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7D69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D696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E0AEA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E0AEA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FD6"/>
  </w:style>
  <w:style w:type="paragraph" w:styleId="Stopka">
    <w:name w:val="footer"/>
    <w:basedOn w:val="Normalny"/>
    <w:link w:val="Stopka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FD6"/>
  </w:style>
  <w:style w:type="paragraph" w:customStyle="1" w:styleId="v1msonormal">
    <w:name w:val="v1msonormal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Piotrowski Sławomir</cp:lastModifiedBy>
  <cp:revision>5</cp:revision>
  <dcterms:created xsi:type="dcterms:W3CDTF">2022-12-22T07:50:00Z</dcterms:created>
  <dcterms:modified xsi:type="dcterms:W3CDTF">2023-01-05T12:03:00Z</dcterms:modified>
</cp:coreProperties>
</file>