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E1" w:rsidRPr="00CB09E1" w:rsidRDefault="00DE5EE7" w:rsidP="00CB09E1">
      <w:pPr>
        <w:pStyle w:val="Default"/>
        <w:spacing w:line="276" w:lineRule="auto"/>
        <w:jc w:val="right"/>
        <w:rPr>
          <w:rFonts w:ascii="Arial" w:hAnsi="Arial" w:cs="Arial"/>
          <w:sz w:val="21"/>
          <w:szCs w:val="21"/>
        </w:rPr>
      </w:pPr>
      <w:r w:rsidRPr="0040719D">
        <w:rPr>
          <w:rFonts w:ascii="Arial" w:hAnsi="Arial" w:cs="Arial"/>
          <w:color w:val="auto"/>
          <w:sz w:val="21"/>
          <w:szCs w:val="21"/>
        </w:rPr>
        <w:t xml:space="preserve">Łomża, dnia </w:t>
      </w:r>
      <w:r w:rsidR="00CB09E1" w:rsidRPr="0040719D">
        <w:rPr>
          <w:rFonts w:ascii="Arial" w:hAnsi="Arial" w:cs="Arial"/>
          <w:color w:val="auto"/>
          <w:sz w:val="21"/>
          <w:szCs w:val="21"/>
        </w:rPr>
        <w:t>23.11</w:t>
      </w:r>
      <w:r w:rsidRPr="0040719D">
        <w:rPr>
          <w:rFonts w:ascii="Arial" w:hAnsi="Arial" w:cs="Arial"/>
          <w:color w:val="auto"/>
          <w:sz w:val="21"/>
          <w:szCs w:val="21"/>
        </w:rPr>
        <w:t>.2021</w:t>
      </w:r>
      <w:r w:rsidR="000619C0" w:rsidRPr="0040719D">
        <w:rPr>
          <w:rFonts w:ascii="Arial" w:hAnsi="Arial" w:cs="Arial"/>
          <w:color w:val="auto"/>
          <w:sz w:val="21"/>
          <w:szCs w:val="21"/>
        </w:rPr>
        <w:t xml:space="preserve"> </w:t>
      </w:r>
      <w:r w:rsidRPr="0040719D">
        <w:rPr>
          <w:rFonts w:ascii="Arial" w:hAnsi="Arial" w:cs="Arial"/>
          <w:color w:val="auto"/>
          <w:sz w:val="21"/>
          <w:szCs w:val="21"/>
        </w:rPr>
        <w:t>r.</w:t>
      </w:r>
    </w:p>
    <w:p w:rsidR="001A4C12" w:rsidRDefault="00CB09E1" w:rsidP="00CB09E1">
      <w:pPr>
        <w:pStyle w:val="Default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0719D">
        <w:rPr>
          <w:rFonts w:ascii="Arial" w:hAnsi="Arial" w:cs="Arial"/>
          <w:sz w:val="21"/>
          <w:szCs w:val="21"/>
        </w:rPr>
        <w:t xml:space="preserve"> </w:t>
      </w:r>
      <w:r w:rsidRPr="0040719D">
        <w:rPr>
          <w:rFonts w:ascii="Arial" w:hAnsi="Arial" w:cs="Arial"/>
          <w:b/>
          <w:bCs/>
          <w:sz w:val="21"/>
          <w:szCs w:val="21"/>
        </w:rPr>
        <w:t>WOU.271.5.2021</w:t>
      </w:r>
    </w:p>
    <w:p w:rsidR="0040719D" w:rsidRPr="0040719D" w:rsidRDefault="0040719D" w:rsidP="00CB09E1">
      <w:pPr>
        <w:pStyle w:val="Default"/>
        <w:spacing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:rsidR="00CB09E1" w:rsidRPr="00CB09E1" w:rsidRDefault="00CB09E1" w:rsidP="00CB09E1">
      <w:pPr>
        <w:pStyle w:val="Default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E5EE7" w:rsidRPr="00CB09E1" w:rsidRDefault="00DE5EE7" w:rsidP="00DE5EE7">
      <w:pPr>
        <w:pStyle w:val="Default"/>
        <w:tabs>
          <w:tab w:val="left" w:pos="2610"/>
          <w:tab w:val="center" w:pos="4536"/>
        </w:tabs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B09E1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CB09E1"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WYJAŚNIENIA </w:t>
      </w:r>
      <w:r w:rsidR="00EA30CD">
        <w:rPr>
          <w:rFonts w:ascii="Arial" w:hAnsi="Arial" w:cs="Arial"/>
          <w:b/>
          <w:bCs/>
          <w:color w:val="auto"/>
          <w:sz w:val="22"/>
          <w:szCs w:val="22"/>
        </w:rPr>
        <w:t xml:space="preserve">I ZMIANA </w:t>
      </w:r>
      <w:r w:rsidRPr="00CB09E1">
        <w:rPr>
          <w:rFonts w:ascii="Arial" w:hAnsi="Arial" w:cs="Arial"/>
          <w:b/>
          <w:bCs/>
          <w:color w:val="auto"/>
          <w:sz w:val="22"/>
          <w:szCs w:val="22"/>
        </w:rPr>
        <w:t>TREŚCI SWZ</w:t>
      </w:r>
    </w:p>
    <w:p w:rsidR="00DE5EE7" w:rsidRPr="00CB09E1" w:rsidRDefault="00DE5EE7" w:rsidP="00DE5EE7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DE5EE7" w:rsidRPr="005E6096" w:rsidRDefault="00345336" w:rsidP="00345336">
      <w:pPr>
        <w:spacing w:after="0" w:line="276" w:lineRule="auto"/>
        <w:ind w:left="1134" w:hanging="1134"/>
        <w:jc w:val="both"/>
        <w:rPr>
          <w:rFonts w:ascii="Arial" w:hAnsi="Arial" w:cs="Arial"/>
          <w:b/>
          <w:lang w:val="pl-PL"/>
        </w:rPr>
      </w:pPr>
      <w:r w:rsidRPr="00CB09E1">
        <w:rPr>
          <w:rFonts w:ascii="Arial" w:hAnsi="Arial" w:cs="Arial"/>
          <w:b/>
          <w:color w:val="000000"/>
          <w:lang w:val="pl-PL"/>
        </w:rPr>
        <w:t xml:space="preserve">Dotyczy: </w:t>
      </w:r>
      <w:r w:rsidR="00DE5EE7" w:rsidRPr="005E6096">
        <w:rPr>
          <w:rFonts w:ascii="Arial" w:hAnsi="Arial" w:cs="Arial"/>
          <w:b/>
          <w:color w:val="000000"/>
          <w:lang w:val="pl-PL"/>
        </w:rPr>
        <w:t xml:space="preserve">postępowania o udzielenie zamówienia publicznego nr </w:t>
      </w:r>
      <w:r w:rsidR="005E6096" w:rsidRPr="005E6096">
        <w:rPr>
          <w:rFonts w:ascii="Arial" w:hAnsi="Arial" w:cs="Arial"/>
          <w:b/>
          <w:bCs/>
        </w:rPr>
        <w:t>WOU.271.5.2021</w:t>
      </w:r>
      <w:r w:rsidR="00DE5EE7" w:rsidRPr="005E6096">
        <w:rPr>
          <w:rFonts w:ascii="Arial" w:hAnsi="Arial" w:cs="Arial"/>
          <w:b/>
          <w:lang w:val="pl-PL"/>
        </w:rPr>
        <w:t xml:space="preserve"> pn.: „</w:t>
      </w:r>
      <w:r w:rsidRPr="005E6096">
        <w:rPr>
          <w:rFonts w:ascii="Arial" w:hAnsi="Arial" w:cs="Arial"/>
          <w:b/>
          <w:lang w:val="pl-PL"/>
        </w:rPr>
        <w:t>Kompleksowe sprzątanie pomieszczeń biurowych, sanitarnych, ciągów komunikacyjnych w budynku Urzędu Miejskiego w Łomży, Stary Rynek 14 oraz pomieszczeń użytkowanyc</w:t>
      </w:r>
      <w:r w:rsidR="00CB09E1" w:rsidRPr="005E6096">
        <w:rPr>
          <w:rFonts w:ascii="Arial" w:hAnsi="Arial" w:cs="Arial"/>
          <w:b/>
          <w:lang w:val="pl-PL"/>
        </w:rPr>
        <w:t>h przez Urząd w innych budynkach</w:t>
      </w:r>
      <w:r w:rsidR="00DE5EE7" w:rsidRPr="005E6096">
        <w:rPr>
          <w:rFonts w:ascii="Arial" w:hAnsi="Arial" w:cs="Arial"/>
          <w:b/>
          <w:i/>
          <w:lang w:val="pl-PL"/>
        </w:rPr>
        <w:t>”</w:t>
      </w:r>
    </w:p>
    <w:p w:rsidR="0010766E" w:rsidRPr="005E6096" w:rsidRDefault="0010766E" w:rsidP="0010766E">
      <w:pPr>
        <w:pStyle w:val="Default"/>
        <w:rPr>
          <w:rFonts w:ascii="Arial" w:hAnsi="Arial" w:cs="Arial"/>
          <w:sz w:val="20"/>
          <w:szCs w:val="20"/>
        </w:rPr>
      </w:pPr>
    </w:p>
    <w:p w:rsidR="00F20AB3" w:rsidRDefault="00F20AB3" w:rsidP="00DE5EE7">
      <w:pPr>
        <w:pStyle w:val="Default"/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E5EE7" w:rsidRPr="0040719D" w:rsidRDefault="00DE5EE7" w:rsidP="00DE5EE7">
      <w:pPr>
        <w:pStyle w:val="Default"/>
        <w:spacing w:line="276" w:lineRule="auto"/>
        <w:ind w:firstLine="708"/>
        <w:jc w:val="both"/>
        <w:rPr>
          <w:rFonts w:ascii="Arial" w:hAnsi="Arial" w:cs="Arial"/>
          <w:color w:val="auto"/>
          <w:sz w:val="21"/>
          <w:szCs w:val="21"/>
        </w:rPr>
      </w:pPr>
      <w:r w:rsidRPr="0040719D">
        <w:rPr>
          <w:rFonts w:ascii="Arial" w:hAnsi="Arial" w:cs="Arial"/>
          <w:sz w:val="21"/>
          <w:szCs w:val="21"/>
        </w:rPr>
        <w:t>Zamawiający, Miasto Łomża, działając</w:t>
      </w:r>
      <w:r w:rsidRPr="0040719D">
        <w:rPr>
          <w:rFonts w:ascii="Arial" w:hAnsi="Arial" w:cs="Arial"/>
          <w:color w:val="auto"/>
          <w:sz w:val="21"/>
          <w:szCs w:val="21"/>
        </w:rPr>
        <w:t xml:space="preserve"> na podstawie art. </w:t>
      </w:r>
      <w:r w:rsidR="003C5EA7" w:rsidRPr="0040719D">
        <w:rPr>
          <w:rFonts w:ascii="Arial" w:hAnsi="Arial" w:cs="Arial"/>
          <w:color w:val="auto"/>
          <w:sz w:val="21"/>
          <w:szCs w:val="21"/>
        </w:rPr>
        <w:t>284</w:t>
      </w:r>
      <w:r w:rsidR="00A75394" w:rsidRPr="0040719D">
        <w:rPr>
          <w:rFonts w:ascii="Arial" w:hAnsi="Arial" w:cs="Arial"/>
          <w:color w:val="auto"/>
          <w:sz w:val="21"/>
          <w:szCs w:val="21"/>
        </w:rPr>
        <w:t xml:space="preserve"> ust. </w:t>
      </w:r>
      <w:r w:rsidR="0010766E" w:rsidRPr="0040719D">
        <w:rPr>
          <w:rFonts w:ascii="Arial" w:hAnsi="Arial" w:cs="Arial"/>
          <w:color w:val="auto"/>
          <w:sz w:val="21"/>
          <w:szCs w:val="21"/>
        </w:rPr>
        <w:t xml:space="preserve">2 </w:t>
      </w:r>
      <w:r w:rsidRPr="0040719D">
        <w:rPr>
          <w:rFonts w:ascii="Arial" w:hAnsi="Arial" w:cs="Arial"/>
          <w:color w:val="auto"/>
          <w:sz w:val="21"/>
          <w:szCs w:val="21"/>
        </w:rPr>
        <w:t xml:space="preserve">i 6 ustawy z dnia 11 września 2019 r. Prawo zamówień publicznych (Dz. U. z 2021 r. poz. 1129 z późń. zm.), zwanej dalej „ustawą Pzp”, </w:t>
      </w:r>
      <w:r w:rsidRPr="0040719D">
        <w:rPr>
          <w:rFonts w:ascii="Arial" w:hAnsi="Arial" w:cs="Arial"/>
          <w:sz w:val="21"/>
          <w:szCs w:val="21"/>
        </w:rPr>
        <w:t>udziela wyjaśnień treści Specyfikacji Warunków Zamówienia zwanej dalej „SWZ”:</w:t>
      </w:r>
    </w:p>
    <w:p w:rsidR="00DE5EE7" w:rsidRPr="0040719D" w:rsidRDefault="00DE5EE7" w:rsidP="00DE5EE7">
      <w:pPr>
        <w:pStyle w:val="Default"/>
        <w:spacing w:line="276" w:lineRule="auto"/>
        <w:rPr>
          <w:rFonts w:ascii="Arial" w:hAnsi="Arial" w:cs="Arial"/>
          <w:color w:val="auto"/>
          <w:sz w:val="21"/>
          <w:szCs w:val="21"/>
        </w:rPr>
      </w:pPr>
    </w:p>
    <w:p w:rsidR="00A75EF7" w:rsidRPr="0040719D" w:rsidRDefault="00A75EF7" w:rsidP="00580B5D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lang w:val="pl-PL"/>
        </w:rPr>
      </w:pPr>
      <w:r w:rsidRPr="0040719D">
        <w:rPr>
          <w:rFonts w:ascii="Arial" w:hAnsi="Arial" w:cs="Arial"/>
          <w:b/>
          <w:bCs/>
          <w:sz w:val="21"/>
          <w:szCs w:val="21"/>
          <w:lang w:val="pl-PL"/>
        </w:rPr>
        <w:t>Pytanie</w:t>
      </w:r>
      <w:r w:rsidR="000619C0" w:rsidRPr="0040719D">
        <w:rPr>
          <w:rFonts w:ascii="Arial" w:hAnsi="Arial" w:cs="Arial"/>
          <w:b/>
          <w:bCs/>
          <w:sz w:val="21"/>
          <w:szCs w:val="21"/>
          <w:lang w:val="pl-PL"/>
        </w:rPr>
        <w:t xml:space="preserve"> nr</w:t>
      </w:r>
      <w:r w:rsidRPr="0040719D">
        <w:rPr>
          <w:rFonts w:ascii="Arial" w:hAnsi="Arial" w:cs="Arial"/>
          <w:b/>
          <w:bCs/>
          <w:sz w:val="21"/>
          <w:szCs w:val="21"/>
          <w:lang w:val="pl-PL"/>
        </w:rPr>
        <w:t xml:space="preserve"> 1:</w:t>
      </w:r>
    </w:p>
    <w:p w:rsidR="004551E7" w:rsidRPr="0040719D" w:rsidRDefault="004551E7" w:rsidP="00F20AB3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val="pl-PL"/>
        </w:rPr>
      </w:pPr>
      <w:r w:rsidRPr="0040719D">
        <w:rPr>
          <w:rFonts w:ascii="Arial" w:hAnsi="Arial" w:cs="Arial"/>
          <w:sz w:val="21"/>
          <w:szCs w:val="21"/>
          <w:lang w:val="pl-PL"/>
        </w:rPr>
        <w:t xml:space="preserve">Mając na uwadze treść wzoru umowy wnoszę o zmianę o 50% wysokości kar umownych zastrzeżonych w powyższych przepisach. W doktrynie prawa </w:t>
      </w:r>
      <w:r w:rsidR="00F20AB3" w:rsidRPr="0040719D">
        <w:rPr>
          <w:rFonts w:ascii="Arial" w:hAnsi="Arial" w:cs="Arial"/>
          <w:sz w:val="21"/>
          <w:szCs w:val="21"/>
          <w:lang w:val="pl-PL"/>
        </w:rPr>
        <w:t>zamówień publicznych oraz</w:t>
      </w:r>
      <w:r w:rsidR="00F20AB3" w:rsidRPr="0040719D">
        <w:rPr>
          <w:rFonts w:ascii="Arial" w:hAnsi="Arial" w:cs="Arial"/>
          <w:sz w:val="21"/>
          <w:szCs w:val="21"/>
          <w:lang w:val="pl-PL"/>
        </w:rPr>
        <w:br/>
      </w:r>
      <w:r w:rsidRPr="0040719D">
        <w:rPr>
          <w:rFonts w:ascii="Arial" w:hAnsi="Arial" w:cs="Arial"/>
          <w:sz w:val="21"/>
          <w:szCs w:val="21"/>
          <w:lang w:val="pl-PL"/>
        </w:rPr>
        <w:t>w aktualnym orzecznictwie Krajowej Izby Odwoławczej przy Prezesie Urzędu Zamówień Publicznych dominuje pogląd, że ustanawianie przez zamawiającego w umowie rażąco wysokich kar umownych uznać należy bezwzględnie za naruszenie zasad zachowania uczciwej konkurencji wyrażonej w przepisie art. 7 ustawy z dnia 29 stycznia 2004 r. prawo zamówień publicznych (tekst jednolity Dz. U. z 2006 roku, nr 164, poz. 1163 z późn. zm.), które może być uzasadnioną podstawą do żądania unieważnienia postępowania o udzielenie zamówienia publicznego w trybie art. 93 ust. 1 pkt. 7 ustawy prawo zamówień publicznych z uwagi, iż postępowanie jest obarczone wadą uniemożliwiającą zawarcie ważnej umowy w sprawie zamówienia publicznego. Stanowisko powyższe znajduje pełne potwierdzenie m.in. wyroku Krajowej Izby Odwoławczej z dnia 31 lipca 2015 r. sygn. akt: KIO/1519/15. Zważyć bowiem należy, że kara umowna (odszkodowanie umowne) ze swojej istoty ma charakter wyłącznie odszkodowawczy i kompensacyjny, a nie zaś prewencyjny. Ustalenie przez Zamawiającego zbyt wygórowanych kar umownych dla wykonawców stanowi zatem bezspornie rażące naruszenie prawa w za</w:t>
      </w:r>
      <w:r w:rsidR="00B7518E">
        <w:rPr>
          <w:rFonts w:ascii="Arial" w:hAnsi="Arial" w:cs="Arial"/>
          <w:sz w:val="21"/>
          <w:szCs w:val="21"/>
          <w:lang w:val="pl-PL"/>
        </w:rPr>
        <w:t>kresie równości stron umowy, co</w:t>
      </w:r>
      <w:r w:rsidR="00B7518E">
        <w:rPr>
          <w:rFonts w:ascii="Arial" w:hAnsi="Arial" w:cs="Arial"/>
          <w:sz w:val="21"/>
          <w:szCs w:val="21"/>
          <w:lang w:val="pl-PL"/>
        </w:rPr>
        <w:br/>
      </w:r>
      <w:r w:rsidRPr="0040719D">
        <w:rPr>
          <w:rFonts w:ascii="Arial" w:hAnsi="Arial" w:cs="Arial"/>
          <w:sz w:val="21"/>
          <w:szCs w:val="21"/>
          <w:lang w:val="pl-PL"/>
        </w:rPr>
        <w:t>w konsekwencji prowadzi do sprzeczności celu takiej umowy z zasadami współżycia społecznego i skutkować winno bezwzględną nieważność czynności prawnej na podstawie przepisu art. 3531 k.c. w związku z art. 58 § 1 k.c. Należy mieć również na względzie stanowisko Sądu Najwyższego wyrażone w wyroku z 29 listopada 2013 roku Sygn. akt I CSK 124/13, dotyczącego przesłanek miarkowania kar umownych jako rażąco wygórowanych. W uzasadnieniu wyroku Sąd wskazał, iż „kara umowna nie może być instrumentem służącym wzbogaceniu wierzyciela, a zatem przyznającym mu korzyść majątkową w istotny sposób przekraczającą wysokość poniesionej przez wierzyciela szkody. Celem miarkowania kary umownej jest natomiast ochrona równowagi interesów stron i zapobieżenie nadmiernemu obciążeniu dłużnika oraz niesłusznemu wzbogaceniu wierzyciela”.</w:t>
      </w:r>
      <w:r w:rsidRPr="0040719D">
        <w:rPr>
          <w:rFonts w:ascii="Arial" w:hAnsi="Arial" w:cs="Arial"/>
          <w:b/>
          <w:bCs/>
          <w:sz w:val="21"/>
          <w:szCs w:val="21"/>
          <w:u w:val="single"/>
          <w:lang w:val="pl-PL"/>
        </w:rPr>
        <w:t xml:space="preserve"> </w:t>
      </w:r>
    </w:p>
    <w:p w:rsidR="00A75EF7" w:rsidRPr="0040719D" w:rsidRDefault="00A75EF7" w:rsidP="00F20AB3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val="pl-PL"/>
        </w:rPr>
      </w:pPr>
      <w:r w:rsidRPr="0040719D">
        <w:rPr>
          <w:rFonts w:ascii="Arial" w:hAnsi="Arial" w:cs="Arial"/>
          <w:b/>
          <w:bCs/>
          <w:sz w:val="21"/>
          <w:szCs w:val="21"/>
          <w:u w:val="single"/>
          <w:lang w:val="pl-PL"/>
        </w:rPr>
        <w:t xml:space="preserve">Odpowiedź </w:t>
      </w:r>
      <w:r w:rsidR="000619C0" w:rsidRPr="0040719D">
        <w:rPr>
          <w:rFonts w:ascii="Arial" w:hAnsi="Arial" w:cs="Arial"/>
          <w:b/>
          <w:bCs/>
          <w:sz w:val="21"/>
          <w:szCs w:val="21"/>
          <w:u w:val="single"/>
          <w:lang w:val="pl-PL"/>
        </w:rPr>
        <w:t>na pytanie nr 1:</w:t>
      </w:r>
    </w:p>
    <w:p w:rsidR="008B70B6" w:rsidRPr="008B70B6" w:rsidRDefault="0010766E" w:rsidP="00514601">
      <w:pPr>
        <w:spacing w:after="0" w:line="276" w:lineRule="auto"/>
        <w:jc w:val="both"/>
        <w:rPr>
          <w:rFonts w:ascii="Arial" w:eastAsia="Calibri" w:hAnsi="Arial" w:cs="Arial"/>
          <w:bCs/>
          <w:sz w:val="21"/>
          <w:szCs w:val="21"/>
          <w:lang w:val="pl-PL" w:eastAsia="pl-PL"/>
        </w:rPr>
      </w:pPr>
      <w:r w:rsidRPr="0040719D">
        <w:rPr>
          <w:rFonts w:ascii="Arial" w:eastAsia="Calibri" w:hAnsi="Arial" w:cs="Arial"/>
          <w:bCs/>
          <w:sz w:val="21"/>
          <w:szCs w:val="21"/>
          <w:lang w:val="pl-PL" w:eastAsia="pl-PL"/>
        </w:rPr>
        <w:t xml:space="preserve">Zamawiający nie </w:t>
      </w:r>
      <w:r w:rsidR="00A74659" w:rsidRPr="0040719D">
        <w:rPr>
          <w:rFonts w:ascii="Arial" w:eastAsia="Calibri" w:hAnsi="Arial" w:cs="Arial"/>
          <w:bCs/>
          <w:sz w:val="21"/>
          <w:szCs w:val="21"/>
          <w:lang w:val="pl-PL" w:eastAsia="pl-PL"/>
        </w:rPr>
        <w:t>wyraża zgody na dokonanie zmian w treści umowy w zakresie kar umownych</w:t>
      </w:r>
      <w:r w:rsidRPr="0040719D">
        <w:rPr>
          <w:rFonts w:ascii="Arial" w:eastAsia="Calibri" w:hAnsi="Arial" w:cs="Arial"/>
          <w:bCs/>
          <w:sz w:val="21"/>
          <w:szCs w:val="21"/>
          <w:lang w:val="pl-PL" w:eastAsia="pl-PL"/>
        </w:rPr>
        <w:t>.</w:t>
      </w:r>
      <w:r w:rsidR="00A74659" w:rsidRPr="0040719D">
        <w:rPr>
          <w:rFonts w:ascii="Arial" w:eastAsia="Calibri" w:hAnsi="Arial" w:cs="Arial"/>
          <w:bCs/>
          <w:sz w:val="21"/>
          <w:szCs w:val="21"/>
          <w:lang w:val="pl-PL" w:eastAsia="pl-PL"/>
        </w:rPr>
        <w:t xml:space="preserve"> Kary te są identyczne do kar określonych w umowach funkcjonujących w latach ubiegłych. Określone przez</w:t>
      </w:r>
      <w:r w:rsidR="008B70B6" w:rsidRPr="0040719D">
        <w:rPr>
          <w:rFonts w:ascii="Arial" w:eastAsia="Calibri" w:hAnsi="Arial" w:cs="Arial"/>
          <w:bCs/>
          <w:sz w:val="21"/>
          <w:szCs w:val="21"/>
          <w:lang w:val="pl-PL" w:eastAsia="pl-PL"/>
        </w:rPr>
        <w:t xml:space="preserve"> Zamawiającego kary nie stanowią  </w:t>
      </w:r>
      <w:r w:rsidR="008B70B6" w:rsidRPr="0040719D">
        <w:rPr>
          <w:rFonts w:ascii="Arial" w:hAnsi="Arial" w:cs="Arial"/>
          <w:sz w:val="21"/>
          <w:szCs w:val="21"/>
          <w:lang w:val="pl-PL"/>
        </w:rPr>
        <w:t xml:space="preserve">rażąco wysokich kar umownych i </w:t>
      </w:r>
      <w:r w:rsidR="008B70B6" w:rsidRPr="0040719D">
        <w:rPr>
          <w:rFonts w:ascii="Arial" w:eastAsia="Calibri" w:hAnsi="Arial" w:cs="Arial"/>
          <w:bCs/>
          <w:sz w:val="21"/>
          <w:szCs w:val="21"/>
          <w:lang w:val="pl-PL" w:eastAsia="pl-PL"/>
        </w:rPr>
        <w:t xml:space="preserve">mają charakter wyłącznie </w:t>
      </w:r>
      <w:r w:rsidR="008B70B6" w:rsidRPr="0040719D">
        <w:rPr>
          <w:rFonts w:ascii="Arial" w:hAnsi="Arial" w:cs="Arial"/>
          <w:sz w:val="21"/>
          <w:szCs w:val="21"/>
          <w:lang w:val="pl-PL"/>
        </w:rPr>
        <w:t>odszkodowawczy i kompensacyjny, a nie zaś prewencyjny</w:t>
      </w:r>
      <w:r w:rsidR="0040719D">
        <w:rPr>
          <w:rFonts w:ascii="Arial" w:hAnsi="Arial" w:cs="Arial"/>
          <w:sz w:val="21"/>
          <w:szCs w:val="21"/>
          <w:lang w:val="pl-PL"/>
        </w:rPr>
        <w:t xml:space="preserve">. </w:t>
      </w:r>
      <w:r w:rsidR="008B70B6" w:rsidRPr="0040719D">
        <w:rPr>
          <w:rFonts w:ascii="Arial" w:hAnsi="Arial" w:cs="Arial"/>
          <w:sz w:val="21"/>
          <w:szCs w:val="21"/>
          <w:lang w:val="pl-PL"/>
        </w:rPr>
        <w:t xml:space="preserve">W przypadku niewłaściwego (uporczywych i powtarzających się zaniedbań ze strony Wykonawcy) świadczenia usługi Zamawiający będzie zmuszony do zatrudnienia dodatkowej firmy, która właściwie wykona prace objęte umową, za co będzie zobowiązany </w:t>
      </w:r>
      <w:r w:rsidR="00B30D80" w:rsidRPr="0040719D">
        <w:rPr>
          <w:rFonts w:ascii="Arial" w:hAnsi="Arial" w:cs="Arial"/>
          <w:sz w:val="21"/>
          <w:szCs w:val="21"/>
          <w:lang w:val="pl-PL"/>
        </w:rPr>
        <w:t>dokonać zapłaty</w:t>
      </w:r>
      <w:r w:rsidR="008B70B6" w:rsidRPr="0040719D">
        <w:rPr>
          <w:rFonts w:ascii="Arial" w:hAnsi="Arial" w:cs="Arial"/>
          <w:sz w:val="21"/>
          <w:szCs w:val="21"/>
          <w:lang w:val="pl-PL"/>
        </w:rPr>
        <w:t xml:space="preserve">. W przypadku odstąpienia od </w:t>
      </w:r>
      <w:r w:rsidR="008B70B6" w:rsidRPr="0040719D">
        <w:rPr>
          <w:rFonts w:ascii="Arial" w:hAnsi="Arial" w:cs="Arial"/>
          <w:sz w:val="21"/>
          <w:szCs w:val="21"/>
          <w:lang w:val="pl-PL"/>
        </w:rPr>
        <w:lastRenderedPageBreak/>
        <w:t>umowy</w:t>
      </w:r>
      <w:r w:rsidR="0040719D">
        <w:rPr>
          <w:rFonts w:ascii="Arial" w:hAnsi="Arial" w:cs="Arial"/>
          <w:sz w:val="21"/>
          <w:szCs w:val="21"/>
          <w:lang w:val="pl-PL"/>
        </w:rPr>
        <w:t>,</w:t>
      </w:r>
      <w:r w:rsidR="008B70B6" w:rsidRPr="0040719D">
        <w:rPr>
          <w:rFonts w:ascii="Arial" w:hAnsi="Arial" w:cs="Arial"/>
          <w:sz w:val="21"/>
          <w:szCs w:val="21"/>
          <w:lang w:val="pl-PL"/>
        </w:rPr>
        <w:t xml:space="preserve"> także</w:t>
      </w:r>
      <w:r w:rsidR="00514601" w:rsidRPr="0040719D">
        <w:rPr>
          <w:rFonts w:ascii="Arial" w:hAnsi="Arial" w:cs="Arial"/>
          <w:sz w:val="21"/>
          <w:szCs w:val="21"/>
          <w:lang w:val="pl-PL"/>
        </w:rPr>
        <w:t xml:space="preserve"> do czasu wyboru nowego Wykonawcy</w:t>
      </w:r>
      <w:r w:rsidR="0040719D" w:rsidRPr="0040719D">
        <w:rPr>
          <w:rFonts w:ascii="Arial" w:hAnsi="Arial" w:cs="Arial"/>
          <w:sz w:val="21"/>
          <w:szCs w:val="21"/>
          <w:lang w:val="pl-PL"/>
        </w:rPr>
        <w:t xml:space="preserve"> </w:t>
      </w:r>
      <w:r w:rsidR="0040719D">
        <w:rPr>
          <w:rFonts w:ascii="Arial" w:hAnsi="Arial" w:cs="Arial"/>
          <w:sz w:val="21"/>
          <w:szCs w:val="21"/>
          <w:lang w:val="pl-PL"/>
        </w:rPr>
        <w:t>(</w:t>
      </w:r>
      <w:r w:rsidR="0040719D" w:rsidRPr="0040719D">
        <w:rPr>
          <w:rFonts w:ascii="Arial" w:hAnsi="Arial" w:cs="Arial"/>
          <w:sz w:val="21"/>
          <w:szCs w:val="21"/>
          <w:lang w:val="pl-PL"/>
        </w:rPr>
        <w:t>do czasu przeprowadzenia i rozstrzygnięcia nowego postępowania</w:t>
      </w:r>
      <w:r w:rsidR="0040719D">
        <w:rPr>
          <w:rFonts w:ascii="Arial" w:hAnsi="Arial" w:cs="Arial"/>
          <w:sz w:val="21"/>
          <w:szCs w:val="21"/>
          <w:lang w:val="pl-PL"/>
        </w:rPr>
        <w:t>)</w:t>
      </w:r>
      <w:r w:rsidR="00514601" w:rsidRPr="0040719D">
        <w:rPr>
          <w:rFonts w:ascii="Arial" w:hAnsi="Arial" w:cs="Arial"/>
          <w:sz w:val="21"/>
          <w:szCs w:val="21"/>
          <w:lang w:val="pl-PL"/>
        </w:rPr>
        <w:t xml:space="preserve">, Zamawiający będzie zmuszony do zapewniania świadczenia usługi przez innego Wykonawcę. </w:t>
      </w:r>
      <w:r w:rsidR="008B70B6" w:rsidRPr="0040719D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>Do kontroli przestrzegania przez Wykonawcę przepisów prawa pracy obliguje Zamawiającego ustawa</w:t>
      </w:r>
      <w:r w:rsidR="00514601" w:rsidRPr="0040719D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>, nie jest to</w:t>
      </w:r>
      <w:r w:rsidR="008B70B6" w:rsidRPr="0040719D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 xml:space="preserve"> także wygórowana kara, tym bardziej, że </w:t>
      </w:r>
      <w:r w:rsidR="00514601" w:rsidRPr="0040719D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>Wykonawca</w:t>
      </w:r>
      <w:r w:rsidR="00EF0567" w:rsidRPr="0040719D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 xml:space="preserve">, który wypełnia wymogi </w:t>
      </w:r>
      <w:r w:rsidR="00514601" w:rsidRPr="0040719D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>w zakresie prawa pracy nie</w:t>
      </w:r>
      <w:r w:rsidR="00EF0567" w:rsidRPr="0040719D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 xml:space="preserve"> będzie obciążony żadną karą. </w:t>
      </w:r>
      <w:r w:rsidR="00514601" w:rsidRPr="0040719D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 xml:space="preserve">    </w:t>
      </w:r>
    </w:p>
    <w:p w:rsidR="00A74659" w:rsidRPr="0040719D" w:rsidRDefault="00A74659" w:rsidP="00580B5D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lang w:val="pl-PL"/>
        </w:rPr>
      </w:pPr>
    </w:p>
    <w:p w:rsidR="00A75EF7" w:rsidRPr="0040719D" w:rsidRDefault="00A75EF7" w:rsidP="00580B5D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lang w:val="pl-PL"/>
        </w:rPr>
      </w:pPr>
      <w:r w:rsidRPr="0040719D">
        <w:rPr>
          <w:rFonts w:ascii="Arial" w:hAnsi="Arial" w:cs="Arial"/>
          <w:b/>
          <w:bCs/>
          <w:sz w:val="21"/>
          <w:szCs w:val="21"/>
          <w:lang w:val="pl-PL"/>
        </w:rPr>
        <w:t xml:space="preserve">Pytanie </w:t>
      </w:r>
      <w:r w:rsidR="000619C0" w:rsidRPr="0040719D">
        <w:rPr>
          <w:rFonts w:ascii="Arial" w:hAnsi="Arial" w:cs="Arial"/>
          <w:b/>
          <w:bCs/>
          <w:sz w:val="21"/>
          <w:szCs w:val="21"/>
          <w:lang w:val="pl-PL"/>
        </w:rPr>
        <w:t xml:space="preserve">nr </w:t>
      </w:r>
      <w:r w:rsidRPr="0040719D">
        <w:rPr>
          <w:rFonts w:ascii="Arial" w:hAnsi="Arial" w:cs="Arial"/>
          <w:b/>
          <w:bCs/>
          <w:sz w:val="21"/>
          <w:szCs w:val="21"/>
          <w:lang w:val="pl-PL"/>
        </w:rPr>
        <w:t>2:</w:t>
      </w:r>
    </w:p>
    <w:p w:rsidR="004551E7" w:rsidRPr="0040719D" w:rsidRDefault="004551E7" w:rsidP="00F20AB3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val="pl-PL"/>
        </w:rPr>
      </w:pPr>
      <w:r w:rsidRPr="0040719D">
        <w:rPr>
          <w:rFonts w:ascii="Arial" w:hAnsi="Arial" w:cs="Arial"/>
          <w:sz w:val="21"/>
          <w:szCs w:val="21"/>
          <w:lang w:val="pl-PL"/>
        </w:rPr>
        <w:t>Proszę o potwierdzenie, że Zamawiający dopuszcza - w przypadku wykonawców wspólnie realizujących usługę (konsorcjum) - aby każdy członek konsorcjum mógł wystawić odrębną fakturę za wykonanie swojej części przedmiotu umowy, zgodnie z określonym w umowie konsorcjum podziałem czynności.</w:t>
      </w:r>
      <w:r w:rsidRPr="0040719D">
        <w:rPr>
          <w:rFonts w:ascii="Arial" w:hAnsi="Arial" w:cs="Arial"/>
          <w:b/>
          <w:bCs/>
          <w:sz w:val="21"/>
          <w:szCs w:val="21"/>
          <w:u w:val="single"/>
          <w:lang w:val="pl-PL"/>
        </w:rPr>
        <w:t xml:space="preserve"> </w:t>
      </w:r>
    </w:p>
    <w:p w:rsidR="000619C0" w:rsidRPr="0040719D" w:rsidRDefault="000619C0" w:rsidP="00F20AB3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val="pl-PL"/>
        </w:rPr>
      </w:pPr>
      <w:r w:rsidRPr="0040719D">
        <w:rPr>
          <w:rFonts w:ascii="Arial" w:hAnsi="Arial" w:cs="Arial"/>
          <w:b/>
          <w:bCs/>
          <w:sz w:val="21"/>
          <w:szCs w:val="21"/>
          <w:u w:val="single"/>
          <w:lang w:val="pl-PL"/>
        </w:rPr>
        <w:t>Odpowiedź na pytanie nr 2:</w:t>
      </w:r>
    </w:p>
    <w:p w:rsidR="000619C0" w:rsidRPr="0040719D" w:rsidRDefault="0010766E" w:rsidP="00580B5D">
      <w:pPr>
        <w:spacing w:after="0" w:line="276" w:lineRule="auto"/>
        <w:jc w:val="both"/>
        <w:rPr>
          <w:rFonts w:ascii="Arial" w:eastAsia="Calibri" w:hAnsi="Arial" w:cs="Arial"/>
          <w:bCs/>
          <w:sz w:val="21"/>
          <w:szCs w:val="21"/>
          <w:lang w:val="pl-PL" w:eastAsia="pl-PL"/>
        </w:rPr>
      </w:pPr>
      <w:r w:rsidRPr="0040719D">
        <w:rPr>
          <w:rFonts w:ascii="Arial" w:eastAsia="Calibri" w:hAnsi="Arial" w:cs="Arial"/>
          <w:bCs/>
          <w:sz w:val="21"/>
          <w:szCs w:val="21"/>
          <w:lang w:val="pl-PL" w:eastAsia="pl-PL"/>
        </w:rPr>
        <w:t xml:space="preserve">Zamawiający nie </w:t>
      </w:r>
      <w:r w:rsidR="00654C2A" w:rsidRPr="0040719D">
        <w:rPr>
          <w:rFonts w:ascii="Arial" w:eastAsia="Calibri" w:hAnsi="Arial" w:cs="Arial"/>
          <w:bCs/>
          <w:sz w:val="21"/>
          <w:szCs w:val="21"/>
          <w:lang w:val="pl-PL" w:eastAsia="pl-PL"/>
        </w:rPr>
        <w:t>wyraża zgody</w:t>
      </w:r>
      <w:r w:rsidR="009C41F8" w:rsidRPr="0040719D">
        <w:rPr>
          <w:rFonts w:ascii="Arial" w:eastAsia="Calibri" w:hAnsi="Arial" w:cs="Arial"/>
          <w:bCs/>
          <w:sz w:val="21"/>
          <w:szCs w:val="21"/>
          <w:lang w:val="pl-PL" w:eastAsia="pl-PL"/>
        </w:rPr>
        <w:t xml:space="preserve"> i nie dopuszcza wystawienia</w:t>
      </w:r>
      <w:r w:rsidR="00654C2A" w:rsidRPr="0040719D">
        <w:rPr>
          <w:rFonts w:ascii="Arial" w:eastAsia="Calibri" w:hAnsi="Arial" w:cs="Arial"/>
          <w:bCs/>
          <w:sz w:val="21"/>
          <w:szCs w:val="21"/>
          <w:lang w:val="pl-PL" w:eastAsia="pl-PL"/>
        </w:rPr>
        <w:t xml:space="preserve"> odrębnych faktur </w:t>
      </w:r>
      <w:r w:rsidR="009C41F8" w:rsidRPr="0040719D">
        <w:rPr>
          <w:rFonts w:ascii="Arial" w:eastAsia="Calibri" w:hAnsi="Arial" w:cs="Arial"/>
          <w:bCs/>
          <w:sz w:val="21"/>
          <w:szCs w:val="21"/>
          <w:lang w:val="pl-PL" w:eastAsia="pl-PL"/>
        </w:rPr>
        <w:t xml:space="preserve">przez Wykonawców </w:t>
      </w:r>
      <w:r w:rsidR="009C41F8" w:rsidRPr="0040719D">
        <w:rPr>
          <w:rFonts w:ascii="Arial" w:hAnsi="Arial" w:cs="Arial"/>
          <w:sz w:val="21"/>
          <w:szCs w:val="21"/>
          <w:lang w:val="pl-PL"/>
        </w:rPr>
        <w:t>wspólnie realizujących usługę (konsorcjum)</w:t>
      </w:r>
      <w:r w:rsidR="00E55D9F" w:rsidRPr="0040719D">
        <w:rPr>
          <w:rFonts w:ascii="Arial" w:hAnsi="Arial" w:cs="Arial"/>
          <w:b/>
          <w:sz w:val="21"/>
          <w:szCs w:val="21"/>
          <w:lang w:val="pl-PL"/>
        </w:rPr>
        <w:t>.</w:t>
      </w:r>
    </w:p>
    <w:p w:rsidR="000619C0" w:rsidRPr="0040719D" w:rsidRDefault="000619C0" w:rsidP="00580B5D">
      <w:pPr>
        <w:spacing w:after="0" w:line="276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4B2124" w:rsidRPr="0040719D" w:rsidRDefault="004B2124" w:rsidP="00580B5D">
      <w:pPr>
        <w:spacing w:after="0" w:line="276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40719D">
        <w:rPr>
          <w:rFonts w:ascii="Arial" w:hAnsi="Arial" w:cs="Arial"/>
          <w:b/>
          <w:bCs/>
          <w:sz w:val="21"/>
          <w:szCs w:val="21"/>
          <w:lang w:val="pl-PL"/>
        </w:rPr>
        <w:t xml:space="preserve">Pytanie </w:t>
      </w:r>
      <w:r w:rsidR="000619C0" w:rsidRPr="0040719D">
        <w:rPr>
          <w:rFonts w:ascii="Arial" w:hAnsi="Arial" w:cs="Arial"/>
          <w:b/>
          <w:bCs/>
          <w:sz w:val="21"/>
          <w:szCs w:val="21"/>
          <w:lang w:val="pl-PL"/>
        </w:rPr>
        <w:t xml:space="preserve">nr </w:t>
      </w:r>
      <w:r w:rsidRPr="0040719D">
        <w:rPr>
          <w:rFonts w:ascii="Arial" w:hAnsi="Arial" w:cs="Arial"/>
          <w:b/>
          <w:bCs/>
          <w:sz w:val="21"/>
          <w:szCs w:val="21"/>
          <w:lang w:val="pl-PL"/>
        </w:rPr>
        <w:t>3:</w:t>
      </w:r>
    </w:p>
    <w:p w:rsidR="00F20AB3" w:rsidRPr="0040719D" w:rsidRDefault="004551E7" w:rsidP="00580B5D">
      <w:pPr>
        <w:spacing w:after="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0719D">
        <w:rPr>
          <w:rFonts w:ascii="Arial" w:hAnsi="Arial" w:cs="Arial"/>
          <w:sz w:val="21"/>
          <w:szCs w:val="21"/>
          <w:lang w:val="pl-PL"/>
        </w:rPr>
        <w:t>Uprzejmie proszę o informację, czy Zamawiający akceptuje wystawienie przez wykonawcę ustrukturyzowanych faktur korygujących oraz innych ustrukturyzowanych dokumentów elektronicznych, dotyczących wykonania umowy o przedmiotowe zamówienie publiczne oraz przesłanie tychże dokumentów za pośrednictwem Platformy Elektronicznego Fakturowania https://www.br</w:t>
      </w:r>
      <w:r w:rsidR="00654C2A" w:rsidRPr="0040719D">
        <w:rPr>
          <w:rFonts w:ascii="Arial" w:hAnsi="Arial" w:cs="Arial"/>
          <w:sz w:val="21"/>
          <w:szCs w:val="21"/>
          <w:lang w:val="pl-PL"/>
        </w:rPr>
        <w:t>okerinfinite.efaktura.gov.pl/</w:t>
      </w:r>
      <w:r w:rsidR="00F20AB3" w:rsidRPr="0040719D">
        <w:rPr>
          <w:rFonts w:ascii="Arial" w:hAnsi="Arial" w:cs="Arial"/>
          <w:sz w:val="21"/>
          <w:szCs w:val="21"/>
          <w:lang w:val="pl-PL"/>
        </w:rPr>
        <w:t>?</w:t>
      </w:r>
    </w:p>
    <w:p w:rsidR="00F20AB3" w:rsidRPr="0040719D" w:rsidRDefault="004551E7" w:rsidP="00580B5D">
      <w:pPr>
        <w:spacing w:after="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0719D">
        <w:rPr>
          <w:rFonts w:ascii="Arial" w:hAnsi="Arial" w:cs="Arial"/>
          <w:sz w:val="21"/>
          <w:szCs w:val="21"/>
          <w:lang w:val="pl-PL"/>
        </w:rPr>
        <w:t>Podkreślam przy tym, że pytanie nie dotyczy zgody na wystawianie ustrukturyzowanych faktur elektronicznych, gdyż takowe Zamawiający jest zobowiązany odbierać od wykonawcy na podstawie art. 4.1 ustawy z dnia 9 listopada 2018 r. o elektronicznym fakturowaniu w zamówieniach publicznych…. (t.j. Dz.U. z 2020 r. poz. 1666), lecz zgody na wystawianie ustrukturyzowanych faktur korygujących oraz innych ustrukturyzowan</w:t>
      </w:r>
      <w:r w:rsidR="00F20AB3" w:rsidRPr="0040719D">
        <w:rPr>
          <w:rFonts w:ascii="Arial" w:hAnsi="Arial" w:cs="Arial"/>
          <w:sz w:val="21"/>
          <w:szCs w:val="21"/>
          <w:lang w:val="pl-PL"/>
        </w:rPr>
        <w:t>ych dokumentów elektronicznych.</w:t>
      </w:r>
    </w:p>
    <w:p w:rsidR="00654C2A" w:rsidRPr="0040719D" w:rsidRDefault="004551E7" w:rsidP="00580B5D">
      <w:pPr>
        <w:spacing w:after="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0719D">
        <w:rPr>
          <w:rFonts w:ascii="Arial" w:hAnsi="Arial" w:cs="Arial"/>
          <w:sz w:val="21"/>
          <w:szCs w:val="21"/>
          <w:lang w:val="pl-PL"/>
        </w:rPr>
        <w:t>Fakturowanie oraz wystawienie innych dokumentów w ustrukturyzowanej formie elektronicznej jest zgodne z przepisami podatkowymi, wynikającymi z ustawy o podatku od towarów i usług (VAT) oraz jest powszechnie stosowane pomiędzy Zamawiającymi a wykonawcami. Taki sposób przekazywania dokumentów ułatwia wzajemną komunikację oraz eliminuje szereg błędów, występujących w procesie tradycyjnego fakturowania. Jest on też rekomendowany, jako docelowy sposób obiegu dokumentów księgowych przez Ministerstwo Rozwoju, Pracy i Technologii (https://www.gov.pl/web/rozwoj-praca-technologia/e-fakturowanie-w-zamowieniach-publicznych). Ponadto, w dobie epidemii COVID-19, taki sposób przekazywania dokumentów rozliczeniowych jest jedną ze skutecznych metod w powstrzymywaniu rozprzestrzenianiu się wirusa oraz gwarantuje utrzymanie ciągłości pro</w:t>
      </w:r>
      <w:r w:rsidR="00654C2A" w:rsidRPr="0040719D">
        <w:rPr>
          <w:rFonts w:ascii="Arial" w:hAnsi="Arial" w:cs="Arial"/>
          <w:sz w:val="21"/>
          <w:szCs w:val="21"/>
          <w:lang w:val="pl-PL"/>
        </w:rPr>
        <w:t>cesów księgowych i podatkowych.</w:t>
      </w:r>
    </w:p>
    <w:p w:rsidR="004551E7" w:rsidRPr="0040719D" w:rsidRDefault="004551E7" w:rsidP="00580B5D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val="pl-PL"/>
        </w:rPr>
      </w:pPr>
      <w:r w:rsidRPr="0040719D">
        <w:rPr>
          <w:rFonts w:ascii="Arial" w:hAnsi="Arial" w:cs="Arial"/>
          <w:sz w:val="21"/>
          <w:szCs w:val="21"/>
          <w:lang w:val="pl-PL"/>
        </w:rPr>
        <w:t>Jednocześnie proszę o podanie konta Zamawiającego znajdującego się na Platformie Elektronicznego Fakturowania, umożliwiającego przesłanie ustrukturyzowanych dokumentów.</w:t>
      </w:r>
      <w:r w:rsidRPr="0040719D">
        <w:rPr>
          <w:rFonts w:ascii="Arial" w:hAnsi="Arial" w:cs="Arial"/>
          <w:b/>
          <w:bCs/>
          <w:sz w:val="21"/>
          <w:szCs w:val="21"/>
          <w:u w:val="single"/>
          <w:lang w:val="pl-PL"/>
        </w:rPr>
        <w:t xml:space="preserve"> </w:t>
      </w:r>
    </w:p>
    <w:p w:rsidR="004B2124" w:rsidRPr="0040719D" w:rsidRDefault="000619C0" w:rsidP="00580B5D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val="pl-PL"/>
        </w:rPr>
      </w:pPr>
      <w:r w:rsidRPr="0040719D">
        <w:rPr>
          <w:rFonts w:ascii="Arial" w:hAnsi="Arial" w:cs="Arial"/>
          <w:b/>
          <w:bCs/>
          <w:sz w:val="21"/>
          <w:szCs w:val="21"/>
          <w:u w:val="single"/>
          <w:lang w:val="pl-PL"/>
        </w:rPr>
        <w:t>Odpowiedź na pytanie nr 3</w:t>
      </w:r>
      <w:r w:rsidR="00580B5D" w:rsidRPr="0040719D">
        <w:rPr>
          <w:rFonts w:ascii="Arial" w:hAnsi="Arial" w:cs="Arial"/>
          <w:b/>
          <w:bCs/>
          <w:sz w:val="21"/>
          <w:szCs w:val="21"/>
          <w:u w:val="single"/>
          <w:lang w:val="pl-PL"/>
        </w:rPr>
        <w:t>:</w:t>
      </w:r>
    </w:p>
    <w:p w:rsidR="000F198F" w:rsidRDefault="0040719D" w:rsidP="000F198F">
      <w:pPr>
        <w:spacing w:after="0" w:line="276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40719D">
        <w:rPr>
          <w:rFonts w:ascii="Arial" w:eastAsia="Calibri" w:hAnsi="Arial" w:cs="Arial"/>
          <w:bCs/>
          <w:sz w:val="21"/>
          <w:szCs w:val="21"/>
          <w:lang w:val="pl-PL" w:eastAsia="pl-PL"/>
        </w:rPr>
        <w:t>Zamawiający wyraża zgodę</w:t>
      </w:r>
      <w:r w:rsidR="009C41F8" w:rsidRPr="0040719D">
        <w:rPr>
          <w:rFonts w:ascii="Arial" w:eastAsia="Calibri" w:hAnsi="Arial" w:cs="Arial"/>
          <w:bCs/>
          <w:sz w:val="21"/>
          <w:szCs w:val="21"/>
          <w:lang w:val="pl-PL" w:eastAsia="pl-PL"/>
        </w:rPr>
        <w:t xml:space="preserve"> na </w:t>
      </w:r>
      <w:r w:rsidR="009C41F8" w:rsidRPr="0040719D">
        <w:rPr>
          <w:rFonts w:ascii="Arial" w:hAnsi="Arial" w:cs="Arial"/>
          <w:sz w:val="21"/>
          <w:szCs w:val="21"/>
          <w:lang w:val="pl-PL"/>
        </w:rPr>
        <w:t xml:space="preserve">wystawienie przez wykonawcę ustrukturyzowanych faktur korygujących oraz innych ustrukturyzowanych dokumentów elektronicznych, dotyczących </w:t>
      </w:r>
      <w:r w:rsidRPr="0040719D">
        <w:rPr>
          <w:rFonts w:ascii="Arial" w:hAnsi="Arial" w:cs="Arial"/>
          <w:sz w:val="21"/>
          <w:szCs w:val="21"/>
          <w:lang w:val="pl-PL"/>
        </w:rPr>
        <w:t xml:space="preserve">przedmiotowego zamówienia </w:t>
      </w:r>
      <w:r w:rsidR="009C41F8" w:rsidRPr="0040719D">
        <w:rPr>
          <w:rFonts w:ascii="Arial" w:hAnsi="Arial" w:cs="Arial"/>
          <w:sz w:val="21"/>
          <w:szCs w:val="21"/>
          <w:lang w:val="pl-PL"/>
        </w:rPr>
        <w:t>oraz przesłanie tychże dokumentów za pośrednictwem Platformy Elektronic</w:t>
      </w:r>
      <w:r w:rsidR="00A74659" w:rsidRPr="0040719D">
        <w:rPr>
          <w:rFonts w:ascii="Arial" w:hAnsi="Arial" w:cs="Arial"/>
          <w:sz w:val="21"/>
          <w:szCs w:val="21"/>
          <w:lang w:val="pl-PL"/>
        </w:rPr>
        <w:t xml:space="preserve">znego Fakturowania </w:t>
      </w:r>
      <w:r w:rsidR="009C41F8" w:rsidRPr="0040719D">
        <w:rPr>
          <w:rFonts w:ascii="Arial" w:hAnsi="Arial" w:cs="Arial"/>
          <w:sz w:val="21"/>
          <w:szCs w:val="21"/>
          <w:lang w:val="pl-PL"/>
        </w:rPr>
        <w:t>https://www.brokerinfinite.efaktura.gov.pl/</w:t>
      </w:r>
      <w:r w:rsidR="00E55D9F" w:rsidRPr="0040719D">
        <w:rPr>
          <w:rFonts w:ascii="Arial" w:hAnsi="Arial" w:cs="Arial"/>
          <w:b/>
          <w:sz w:val="21"/>
          <w:szCs w:val="21"/>
          <w:lang w:val="pl-PL"/>
        </w:rPr>
        <w:t>.</w:t>
      </w:r>
      <w:r w:rsidR="004B2124" w:rsidRPr="0040719D">
        <w:rPr>
          <w:rFonts w:ascii="Arial" w:hAnsi="Arial" w:cs="Arial"/>
          <w:b/>
          <w:sz w:val="21"/>
          <w:szCs w:val="21"/>
          <w:lang w:val="pl-PL"/>
        </w:rPr>
        <w:t xml:space="preserve"> </w:t>
      </w:r>
    </w:p>
    <w:p w:rsidR="0040719D" w:rsidRPr="000F198F" w:rsidRDefault="0040719D" w:rsidP="000F198F">
      <w:pPr>
        <w:spacing w:after="0" w:line="276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40719D">
        <w:rPr>
          <w:rFonts w:ascii="Arial" w:eastAsia="Times New Roman" w:hAnsi="Arial" w:cs="Arial"/>
          <w:bCs/>
          <w:sz w:val="21"/>
          <w:szCs w:val="21"/>
          <w:lang w:val="pl-PL" w:eastAsia="pl-PL"/>
        </w:rPr>
        <w:t>Dane identyfikacyjne skrzynki</w:t>
      </w:r>
      <w:r w:rsidRPr="000F198F">
        <w:rPr>
          <w:rFonts w:ascii="Arial" w:eastAsia="Times New Roman" w:hAnsi="Arial" w:cs="Arial"/>
          <w:bCs/>
          <w:sz w:val="21"/>
          <w:szCs w:val="21"/>
          <w:lang w:val="pl-PL" w:eastAsia="pl-PL"/>
        </w:rPr>
        <w:t xml:space="preserve"> na</w:t>
      </w:r>
      <w:r w:rsidRPr="0040719D">
        <w:rPr>
          <w:rFonts w:ascii="Arial" w:eastAsia="Times New Roman" w:hAnsi="Arial" w:cs="Arial"/>
          <w:b/>
          <w:bCs/>
          <w:sz w:val="21"/>
          <w:szCs w:val="21"/>
          <w:lang w:val="pl-PL" w:eastAsia="pl-PL"/>
        </w:rPr>
        <w:t xml:space="preserve"> </w:t>
      </w:r>
      <w:r w:rsidRPr="0040719D">
        <w:rPr>
          <w:rFonts w:ascii="Arial" w:hAnsi="Arial" w:cs="Arial"/>
          <w:sz w:val="21"/>
          <w:szCs w:val="21"/>
          <w:lang w:val="pl-PL"/>
        </w:rPr>
        <w:t>Platformie Elektronicznego Fakturowania https://www.brokerinfinite.efaktura.gov.pl/</w:t>
      </w:r>
      <w:r w:rsidRPr="0040719D">
        <w:rPr>
          <w:rFonts w:ascii="Arial" w:eastAsia="Times New Roman" w:hAnsi="Arial" w:cs="Arial"/>
          <w:b/>
          <w:bCs/>
          <w:sz w:val="21"/>
          <w:szCs w:val="21"/>
          <w:lang w:val="pl-PL" w:eastAsia="pl-PL"/>
        </w:rPr>
        <w:t>:</w:t>
      </w:r>
    </w:p>
    <w:p w:rsidR="0040719D" w:rsidRPr="0040719D" w:rsidRDefault="0040719D" w:rsidP="0040719D">
      <w:pPr>
        <w:spacing w:after="0" w:line="276" w:lineRule="auto"/>
        <w:jc w:val="both"/>
        <w:outlineLvl w:val="2"/>
        <w:rPr>
          <w:rFonts w:ascii="Arial" w:eastAsia="Times New Roman" w:hAnsi="Arial" w:cs="Arial"/>
          <w:b/>
          <w:bCs/>
          <w:sz w:val="21"/>
          <w:szCs w:val="21"/>
          <w:lang w:val="pl-PL" w:eastAsia="pl-PL"/>
        </w:rPr>
      </w:pPr>
      <w:r w:rsidRPr="0040719D">
        <w:rPr>
          <w:rFonts w:ascii="Arial" w:eastAsia="Times New Roman" w:hAnsi="Arial" w:cs="Arial"/>
          <w:sz w:val="21"/>
          <w:szCs w:val="21"/>
          <w:lang w:val="pl-PL" w:eastAsia="pl-PL"/>
        </w:rPr>
        <w:t>Typ numeru PEPPOL: NIP</w:t>
      </w:r>
    </w:p>
    <w:p w:rsidR="0040719D" w:rsidRPr="0040719D" w:rsidRDefault="0040719D" w:rsidP="0040719D">
      <w:pPr>
        <w:spacing w:after="0" w:line="276" w:lineRule="auto"/>
        <w:rPr>
          <w:rFonts w:ascii="Arial" w:eastAsia="Times New Roman" w:hAnsi="Arial" w:cs="Arial"/>
          <w:sz w:val="21"/>
          <w:szCs w:val="21"/>
          <w:lang w:val="pl-PL" w:eastAsia="pl-PL"/>
        </w:rPr>
      </w:pPr>
      <w:r w:rsidRPr="0040719D">
        <w:rPr>
          <w:rFonts w:ascii="Arial" w:eastAsia="Times New Roman" w:hAnsi="Arial" w:cs="Arial"/>
          <w:sz w:val="21"/>
          <w:szCs w:val="21"/>
          <w:lang w:val="pl-PL" w:eastAsia="pl-PL"/>
        </w:rPr>
        <w:t>Numer PEPPOL: 7182144919</w:t>
      </w:r>
    </w:p>
    <w:p w:rsidR="0040719D" w:rsidRPr="0040719D" w:rsidRDefault="0040719D" w:rsidP="0040719D">
      <w:pPr>
        <w:spacing w:after="0" w:line="276" w:lineRule="auto"/>
        <w:rPr>
          <w:rFonts w:ascii="Arial" w:eastAsia="Times New Roman" w:hAnsi="Arial" w:cs="Arial"/>
          <w:sz w:val="21"/>
          <w:szCs w:val="21"/>
          <w:lang w:val="pl-PL" w:eastAsia="pl-PL"/>
        </w:rPr>
      </w:pPr>
      <w:r w:rsidRPr="0040719D">
        <w:rPr>
          <w:rFonts w:ascii="Arial" w:eastAsia="Times New Roman" w:hAnsi="Arial" w:cs="Arial"/>
          <w:sz w:val="21"/>
          <w:szCs w:val="21"/>
          <w:lang w:val="pl-PL" w:eastAsia="pl-PL"/>
        </w:rPr>
        <w:t>Skrócona nazwa skrzynki: Miasto Łomża Urząd Miejski w Łomży</w:t>
      </w:r>
    </w:p>
    <w:p w:rsidR="0040719D" w:rsidRDefault="0040719D" w:rsidP="00580B5D">
      <w:pPr>
        <w:spacing w:after="0" w:line="276" w:lineRule="auto"/>
        <w:jc w:val="both"/>
        <w:rPr>
          <w:rFonts w:ascii="Arial" w:eastAsia="Calibri" w:hAnsi="Arial" w:cs="Arial"/>
          <w:bCs/>
          <w:sz w:val="21"/>
          <w:szCs w:val="21"/>
          <w:lang w:val="pl-PL" w:eastAsia="pl-PL"/>
        </w:rPr>
      </w:pPr>
    </w:p>
    <w:p w:rsidR="00B7518E" w:rsidRDefault="00B7518E" w:rsidP="00580B5D">
      <w:pPr>
        <w:spacing w:after="0" w:line="276" w:lineRule="auto"/>
        <w:jc w:val="both"/>
        <w:rPr>
          <w:rFonts w:ascii="Arial" w:eastAsia="Calibri" w:hAnsi="Arial" w:cs="Arial"/>
          <w:bCs/>
          <w:sz w:val="21"/>
          <w:szCs w:val="21"/>
          <w:lang w:val="pl-PL" w:eastAsia="pl-PL"/>
        </w:rPr>
      </w:pPr>
    </w:p>
    <w:p w:rsidR="00B7518E" w:rsidRPr="0040719D" w:rsidRDefault="00B7518E" w:rsidP="00580B5D">
      <w:pPr>
        <w:spacing w:after="0" w:line="276" w:lineRule="auto"/>
        <w:jc w:val="both"/>
        <w:rPr>
          <w:rFonts w:ascii="Arial" w:eastAsia="Calibri" w:hAnsi="Arial" w:cs="Arial"/>
          <w:bCs/>
          <w:sz w:val="21"/>
          <w:szCs w:val="21"/>
          <w:lang w:val="pl-PL" w:eastAsia="pl-PL"/>
        </w:rPr>
      </w:pPr>
    </w:p>
    <w:p w:rsidR="004B2124" w:rsidRPr="0040719D" w:rsidRDefault="004B2124" w:rsidP="00580B5D">
      <w:pPr>
        <w:spacing w:after="0" w:line="276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40719D">
        <w:rPr>
          <w:rFonts w:ascii="Arial" w:hAnsi="Arial" w:cs="Arial"/>
          <w:b/>
          <w:bCs/>
          <w:sz w:val="21"/>
          <w:szCs w:val="21"/>
          <w:lang w:val="pl-PL"/>
        </w:rPr>
        <w:lastRenderedPageBreak/>
        <w:t xml:space="preserve">Pytanie </w:t>
      </w:r>
      <w:r w:rsidR="000619C0" w:rsidRPr="0040719D">
        <w:rPr>
          <w:rFonts w:ascii="Arial" w:hAnsi="Arial" w:cs="Arial"/>
          <w:b/>
          <w:bCs/>
          <w:sz w:val="21"/>
          <w:szCs w:val="21"/>
          <w:lang w:val="pl-PL"/>
        </w:rPr>
        <w:t xml:space="preserve">nr </w:t>
      </w:r>
      <w:r w:rsidRPr="0040719D">
        <w:rPr>
          <w:rFonts w:ascii="Arial" w:hAnsi="Arial" w:cs="Arial"/>
          <w:b/>
          <w:bCs/>
          <w:sz w:val="21"/>
          <w:szCs w:val="21"/>
          <w:lang w:val="pl-PL"/>
        </w:rPr>
        <w:t>4:</w:t>
      </w:r>
    </w:p>
    <w:p w:rsidR="00F20AB3" w:rsidRPr="0040719D" w:rsidRDefault="004551E7" w:rsidP="00580B5D">
      <w:pPr>
        <w:spacing w:after="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0719D">
        <w:rPr>
          <w:rFonts w:ascii="Arial" w:hAnsi="Arial" w:cs="Arial"/>
          <w:sz w:val="21"/>
          <w:szCs w:val="21"/>
          <w:lang w:val="pl-PL"/>
        </w:rPr>
        <w:t>Wnosimy o usunięcie zapisów rozdziału XXI pkt. 6 SWZ - gdyż podział zabezpieczenia należytego wykonania usługi zaproponowany przez Zamawiającego nie ma zastosowania w przedmiotowym zamówieniu.</w:t>
      </w:r>
    </w:p>
    <w:p w:rsidR="00F20AB3" w:rsidRPr="0040719D" w:rsidRDefault="000619C0" w:rsidP="00F20AB3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val="pl-PL"/>
        </w:rPr>
      </w:pPr>
      <w:r w:rsidRPr="0040719D">
        <w:rPr>
          <w:rFonts w:ascii="Arial" w:hAnsi="Arial" w:cs="Arial"/>
          <w:b/>
          <w:bCs/>
          <w:sz w:val="21"/>
          <w:szCs w:val="21"/>
          <w:u w:val="single"/>
          <w:lang w:val="pl-PL"/>
        </w:rPr>
        <w:t>Odpowiedź na pytanie nr 4:</w:t>
      </w:r>
    </w:p>
    <w:p w:rsidR="00A75EF7" w:rsidRPr="0040719D" w:rsidRDefault="00F20AB3" w:rsidP="00580B5D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  <w:u w:val="single"/>
          <w:lang w:val="pl-PL"/>
        </w:rPr>
      </w:pPr>
      <w:r w:rsidRPr="0040719D">
        <w:rPr>
          <w:rFonts w:ascii="Arial" w:eastAsiaTheme="minorHAnsi" w:hAnsi="Arial" w:cs="Arial"/>
          <w:bCs/>
          <w:color w:val="000000"/>
          <w:sz w:val="21"/>
          <w:szCs w:val="21"/>
          <w:lang w:val="pl-PL" w:eastAsia="en-US"/>
        </w:rPr>
        <w:t xml:space="preserve">W odpowiedzi na pytanie Zamawiający zmienia treść pkt 6 </w:t>
      </w:r>
      <w:r w:rsidRPr="0040719D">
        <w:rPr>
          <w:rFonts w:ascii="Arial" w:hAnsi="Arial" w:cs="Arial"/>
          <w:sz w:val="21"/>
          <w:szCs w:val="21"/>
          <w:lang w:val="pl-PL"/>
        </w:rPr>
        <w:t>rozdziału XXI SWZ zgodnie z poniższą treścią:</w:t>
      </w:r>
      <w:r w:rsidRPr="0040719D">
        <w:rPr>
          <w:rFonts w:ascii="Arial" w:eastAsiaTheme="minorHAnsi" w:hAnsi="Arial" w:cs="Arial"/>
          <w:bCs/>
          <w:color w:val="000000"/>
          <w:sz w:val="21"/>
          <w:szCs w:val="21"/>
          <w:lang w:val="pl-PL" w:eastAsia="en-US"/>
        </w:rPr>
        <w:t xml:space="preserve"> „</w:t>
      </w:r>
      <w:r w:rsidRPr="00F20AB3">
        <w:rPr>
          <w:rFonts w:ascii="Arial" w:eastAsiaTheme="minorHAnsi" w:hAnsi="Arial" w:cs="Arial"/>
          <w:bCs/>
          <w:color w:val="000000"/>
          <w:sz w:val="21"/>
          <w:szCs w:val="21"/>
          <w:lang w:val="pl-PL" w:eastAsia="en-US"/>
        </w:rPr>
        <w:t xml:space="preserve">Zamawiający </w:t>
      </w:r>
      <w:r w:rsidRPr="00F20AB3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 xml:space="preserve">(zgodnie z treścią art. 453 ust.1 ustawy Pzp) </w:t>
      </w:r>
      <w:r w:rsidRPr="0040719D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>dokona</w:t>
      </w:r>
      <w:r w:rsidRPr="00F20AB3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 xml:space="preserve"> zwrotu zabezpieczenia na rzecz </w:t>
      </w:r>
      <w:r w:rsidRPr="00F20AB3">
        <w:rPr>
          <w:rFonts w:ascii="Arial" w:eastAsiaTheme="minorHAnsi" w:hAnsi="Arial" w:cs="Arial"/>
          <w:bCs/>
          <w:color w:val="000000"/>
          <w:sz w:val="21"/>
          <w:szCs w:val="21"/>
          <w:lang w:val="pl-PL" w:eastAsia="en-US"/>
        </w:rPr>
        <w:t>Wykonawcy</w:t>
      </w:r>
      <w:r w:rsidRPr="00F20AB3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 xml:space="preserve">, w terminie 30 dni kalendarzowych liczonych od dnia następującego po dniu zakończenia realizacji usługi, z zastrzeżeniem </w:t>
      </w:r>
      <w:r w:rsidRPr="0040719D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>zapisów Umowy – załącznik nr 6 do SWZ.”.</w:t>
      </w:r>
    </w:p>
    <w:p w:rsidR="00B30D80" w:rsidRPr="0040719D" w:rsidRDefault="00B30D80" w:rsidP="00580B5D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lang w:val="pl-PL"/>
        </w:rPr>
      </w:pPr>
    </w:p>
    <w:p w:rsidR="00A75EF7" w:rsidRPr="0040719D" w:rsidRDefault="00A75EF7" w:rsidP="00580B5D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lang w:val="pl-PL"/>
        </w:rPr>
      </w:pPr>
      <w:r w:rsidRPr="0040719D">
        <w:rPr>
          <w:rFonts w:ascii="Arial" w:hAnsi="Arial" w:cs="Arial"/>
          <w:b/>
          <w:bCs/>
          <w:sz w:val="21"/>
          <w:szCs w:val="21"/>
          <w:lang w:val="pl-PL"/>
        </w:rPr>
        <w:t xml:space="preserve">Pytanie </w:t>
      </w:r>
      <w:r w:rsidR="00DD7D5F" w:rsidRPr="0040719D">
        <w:rPr>
          <w:rFonts w:ascii="Arial" w:hAnsi="Arial" w:cs="Arial"/>
          <w:b/>
          <w:bCs/>
          <w:sz w:val="21"/>
          <w:szCs w:val="21"/>
          <w:lang w:val="pl-PL"/>
        </w:rPr>
        <w:t xml:space="preserve">nr </w:t>
      </w:r>
      <w:r w:rsidR="00C70290" w:rsidRPr="0040719D">
        <w:rPr>
          <w:rFonts w:ascii="Arial" w:hAnsi="Arial" w:cs="Arial"/>
          <w:b/>
          <w:bCs/>
          <w:sz w:val="21"/>
          <w:szCs w:val="21"/>
          <w:lang w:val="pl-PL"/>
        </w:rPr>
        <w:t>5</w:t>
      </w:r>
      <w:r w:rsidRPr="0040719D">
        <w:rPr>
          <w:rFonts w:ascii="Arial" w:hAnsi="Arial" w:cs="Arial"/>
          <w:b/>
          <w:bCs/>
          <w:sz w:val="21"/>
          <w:szCs w:val="21"/>
          <w:lang w:val="pl-PL"/>
        </w:rPr>
        <w:t>:</w:t>
      </w:r>
    </w:p>
    <w:p w:rsidR="00B7518E" w:rsidRDefault="004551E7" w:rsidP="00580B5D">
      <w:pPr>
        <w:spacing w:after="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0719D">
        <w:rPr>
          <w:rFonts w:ascii="Arial" w:hAnsi="Arial" w:cs="Arial"/>
          <w:sz w:val="21"/>
          <w:szCs w:val="21"/>
          <w:lang w:val="pl-PL"/>
        </w:rPr>
        <w:t>Wnosimy o zmianę postanowień projektu umowy par. 9 ust. 1 pkt. 2 i wskazanie przez Zamawiającego realnej, minimalnej wartości zamówienia, np. gwarantując 90 % wartości</w:t>
      </w:r>
      <w:r w:rsidR="009C41F8" w:rsidRPr="0040719D">
        <w:rPr>
          <w:rFonts w:ascii="Arial" w:hAnsi="Arial" w:cs="Arial"/>
          <w:sz w:val="21"/>
          <w:szCs w:val="21"/>
          <w:lang w:val="pl-PL"/>
        </w:rPr>
        <w:t xml:space="preserve"> zamówienia. Wykonawca zaznacza</w:t>
      </w:r>
      <w:r w:rsidRPr="0040719D">
        <w:rPr>
          <w:rFonts w:ascii="Arial" w:hAnsi="Arial" w:cs="Arial"/>
          <w:sz w:val="21"/>
          <w:szCs w:val="21"/>
          <w:lang w:val="pl-PL"/>
        </w:rPr>
        <w:t>, że obecne postanowienia SWZ wprost naruszają dyspozycję ws</w:t>
      </w:r>
      <w:r w:rsidR="00F20AB3" w:rsidRPr="0040719D">
        <w:rPr>
          <w:rFonts w:ascii="Arial" w:hAnsi="Arial" w:cs="Arial"/>
          <w:sz w:val="21"/>
          <w:szCs w:val="21"/>
          <w:lang w:val="pl-PL"/>
        </w:rPr>
        <w:t xml:space="preserve">kazanego art. 433 pkt. 4 ustawy </w:t>
      </w:r>
      <w:r w:rsidRPr="0040719D">
        <w:rPr>
          <w:rFonts w:ascii="Arial" w:hAnsi="Arial" w:cs="Arial"/>
          <w:sz w:val="21"/>
          <w:szCs w:val="21"/>
          <w:lang w:val="pl-PL"/>
        </w:rPr>
        <w:t>Prawo zamówień publicznych. Zamawiający nie określił minimalnego zakresu zamówienia, jednocześnie zastrzegając dla siebie w ww. postanowieniach SWZ możliwość dowolnych ograniczeń wielkościowych, co stanowi przejaw praktyki, która miała miejsce przed 1 stycznia 2021</w:t>
      </w:r>
      <w:r w:rsidR="009C41F8" w:rsidRPr="0040719D">
        <w:rPr>
          <w:rFonts w:ascii="Arial" w:hAnsi="Arial" w:cs="Arial"/>
          <w:sz w:val="21"/>
          <w:szCs w:val="21"/>
          <w:lang w:val="pl-PL"/>
        </w:rPr>
        <w:t xml:space="preserve"> </w:t>
      </w:r>
      <w:r w:rsidRPr="0040719D">
        <w:rPr>
          <w:rFonts w:ascii="Arial" w:hAnsi="Arial" w:cs="Arial"/>
          <w:sz w:val="21"/>
          <w:szCs w:val="21"/>
          <w:lang w:val="pl-PL"/>
        </w:rPr>
        <w:t>r</w:t>
      </w:r>
      <w:r w:rsidR="009C41F8" w:rsidRPr="0040719D">
        <w:rPr>
          <w:rFonts w:ascii="Arial" w:hAnsi="Arial" w:cs="Arial"/>
          <w:sz w:val="21"/>
          <w:szCs w:val="21"/>
          <w:lang w:val="pl-PL"/>
        </w:rPr>
        <w:t xml:space="preserve">. </w:t>
      </w:r>
      <w:r w:rsidRPr="0040719D">
        <w:rPr>
          <w:rFonts w:ascii="Arial" w:hAnsi="Arial" w:cs="Arial"/>
          <w:sz w:val="21"/>
          <w:szCs w:val="21"/>
          <w:lang w:val="pl-PL"/>
        </w:rPr>
        <w:t>; a wyeliminowanie której stało się ratio legis art. 433 nowej, obec</w:t>
      </w:r>
      <w:r w:rsidR="00F20AB3" w:rsidRPr="0040719D">
        <w:rPr>
          <w:rFonts w:ascii="Arial" w:hAnsi="Arial" w:cs="Arial"/>
          <w:sz w:val="21"/>
          <w:szCs w:val="21"/>
          <w:lang w:val="pl-PL"/>
        </w:rPr>
        <w:t xml:space="preserve">nie obowiązującej, ustawy Pzp. </w:t>
      </w:r>
      <w:r w:rsidRPr="0040719D">
        <w:rPr>
          <w:rFonts w:ascii="Arial" w:hAnsi="Arial" w:cs="Arial"/>
          <w:sz w:val="21"/>
          <w:szCs w:val="21"/>
          <w:lang w:val="pl-PL"/>
        </w:rPr>
        <w:t>Zamawiający dokonał opisu przedmiotu zamówienia w sposób niejednoznaczny i niewyczerpujący, za pomocą określeń nieprecyzyjnych i ogólnych, tj. w sposób nieuwzględniający wszystkich wymagań i okoliczności, mogących mieć wpływ na sporządzenie oferty oraz w sposób, który utrudnia uczciwą konkurencję. Działanie Zamawiającego prowadzi do sytuacji, w której to Zamawiający będzie miał możliwość dowolnego interpretowania i stosowania mechanizmu obniżenia wielkości zamawianej usługi (wpływającego na zmianę wynagrodzenia będącego istotną, w rozumieniu art. 454 ust. 2 ustawy pzp, zmianą postanowień zawartej umowy), co narusza zasadę swobody umów, wyrażoną w art. 3531 kodeksu cywilnego. W konsekwencji powyższego, Zamawiający pozbawia Wykonawców możliwości dokonania rzetelnej oceny ryzyka zmiany wysokości wynagrodzenia na skutek stosowania obniżenia, która to ocena powinna być dokonywana w oparciu o jednoznaczne i jednolicie interpretowane przez wszystkich Wykonawców kryteria. Prowadzi to z kolei do niemożliwości przyjęcia przez wszystkich Wykonawców tych samych założeń przy budowie swoich ofert, a tym samym - obliczenia ich ceny, która stanowi istotne kryterium oceny of</w:t>
      </w:r>
      <w:r w:rsidR="00F20AB3" w:rsidRPr="0040719D">
        <w:rPr>
          <w:rFonts w:ascii="Arial" w:hAnsi="Arial" w:cs="Arial"/>
          <w:sz w:val="21"/>
          <w:szCs w:val="21"/>
          <w:lang w:val="pl-PL"/>
        </w:rPr>
        <w:t xml:space="preserve">ert w niniejszym postępowaniu. </w:t>
      </w:r>
    </w:p>
    <w:p w:rsidR="00F20AB3" w:rsidRPr="0040719D" w:rsidRDefault="004551E7" w:rsidP="00580B5D">
      <w:pPr>
        <w:spacing w:after="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0719D">
        <w:rPr>
          <w:rFonts w:ascii="Arial" w:hAnsi="Arial" w:cs="Arial"/>
          <w:sz w:val="21"/>
          <w:szCs w:val="21"/>
          <w:lang w:val="pl-PL"/>
        </w:rPr>
        <w:t>Efektem postępowania prowadzonego na podstawie tak skonstruowanych zapisów SWZ, ma być zawarcie umowy z wykonawcą. Umowa ta jest umową wzajemną, jej postanowienia nie mogą być korzystne tylko dla jednej strony lub przyznawać tylko jednej stronie przywilejów. Istnienie kwestionowanego zapisu w SWZ powoduje to, że tylko Zamawiający jest stroną uprzywilejowaną w umowie, gdyż może jednostronnie (bez jakiejkolwiek ochrony interesu Wykonawcy) zmieniać ilość i wartość świadczeń wykonawcy. Wykonawca na etapie składania oferty nie ma żadnej wiedzy, co będzie wpływać na decyzję Zamawiającego o zmianie wielkości zamówienia. Zamawiający winien precyzyjnie podać, w jakich przypadkach i z czym związanych, będzie możliwa zmiana umowy w zakresie wielkości sprzątanych powierzchni i jednocześnie (równie</w:t>
      </w:r>
      <w:r w:rsidR="00654C2A" w:rsidRPr="0040719D">
        <w:rPr>
          <w:rFonts w:ascii="Arial" w:hAnsi="Arial" w:cs="Arial"/>
          <w:sz w:val="21"/>
          <w:szCs w:val="21"/>
          <w:lang w:val="pl-PL"/>
        </w:rPr>
        <w:t xml:space="preserve"> precyzyjnie) określić warunki </w:t>
      </w:r>
      <w:r w:rsidRPr="0040719D">
        <w:rPr>
          <w:rFonts w:ascii="Arial" w:hAnsi="Arial" w:cs="Arial"/>
          <w:sz w:val="21"/>
          <w:szCs w:val="21"/>
          <w:lang w:val="pl-PL"/>
        </w:rPr>
        <w:t>i t</w:t>
      </w:r>
      <w:r w:rsidR="00F20AB3" w:rsidRPr="0040719D">
        <w:rPr>
          <w:rFonts w:ascii="Arial" w:hAnsi="Arial" w:cs="Arial"/>
          <w:sz w:val="21"/>
          <w:szCs w:val="21"/>
          <w:lang w:val="pl-PL"/>
        </w:rPr>
        <w:t xml:space="preserve">ermin dokonania takiej zmiany. </w:t>
      </w:r>
    </w:p>
    <w:p w:rsidR="00F20AB3" w:rsidRPr="0040719D" w:rsidRDefault="004551E7" w:rsidP="00580B5D">
      <w:pPr>
        <w:spacing w:after="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0719D">
        <w:rPr>
          <w:rFonts w:ascii="Arial" w:hAnsi="Arial" w:cs="Arial"/>
          <w:sz w:val="21"/>
          <w:szCs w:val="21"/>
          <w:lang w:val="pl-PL"/>
        </w:rPr>
        <w:t>Przy obecnym brzemieniu zapisów SWZ, wykonawca nie jest w stanie racjonalnie oszacować ryzyka związanego z potencjalnym zmniejszeniem wielkości zamówienia i nie ma szans uwzględnić t</w:t>
      </w:r>
      <w:r w:rsidR="00F20AB3" w:rsidRPr="0040719D">
        <w:rPr>
          <w:rFonts w:ascii="Arial" w:hAnsi="Arial" w:cs="Arial"/>
          <w:sz w:val="21"/>
          <w:szCs w:val="21"/>
          <w:lang w:val="pl-PL"/>
        </w:rPr>
        <w:t xml:space="preserve">ego ryzyka w oferowanej cenie. </w:t>
      </w:r>
    </w:p>
    <w:p w:rsidR="00F20AB3" w:rsidRPr="0040719D" w:rsidRDefault="004551E7" w:rsidP="00580B5D">
      <w:pPr>
        <w:spacing w:after="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0719D">
        <w:rPr>
          <w:rFonts w:ascii="Arial" w:hAnsi="Arial" w:cs="Arial"/>
          <w:sz w:val="21"/>
          <w:szCs w:val="21"/>
          <w:lang w:val="pl-PL"/>
        </w:rPr>
        <w:t>Wykonawca podnosi również, że zastrzeżenie dowolnego ograniczenia wielkości zamówienia jest również niezgodne z art. 455 ust. 1 pkt 1 ustawy Prawo zamówień. Zamawiający przyznał sobie bowiem w SWZ prawo do każdej, w tym także istotnej zmiany</w:t>
      </w:r>
      <w:r w:rsidR="00B7518E">
        <w:rPr>
          <w:rFonts w:ascii="Arial" w:hAnsi="Arial" w:cs="Arial"/>
          <w:sz w:val="21"/>
          <w:szCs w:val="21"/>
          <w:lang w:val="pl-PL"/>
        </w:rPr>
        <w:t xml:space="preserve"> umowy. podkreślamy, że zgodnie</w:t>
      </w:r>
      <w:r w:rsidR="00B7518E">
        <w:rPr>
          <w:rFonts w:ascii="Arial" w:hAnsi="Arial" w:cs="Arial"/>
          <w:sz w:val="21"/>
          <w:szCs w:val="21"/>
          <w:lang w:val="pl-PL"/>
        </w:rPr>
        <w:br/>
      </w:r>
      <w:r w:rsidRPr="0040719D">
        <w:rPr>
          <w:rFonts w:ascii="Arial" w:hAnsi="Arial" w:cs="Arial"/>
          <w:sz w:val="21"/>
          <w:szCs w:val="21"/>
          <w:lang w:val="pl-PL"/>
        </w:rPr>
        <w:t>z art. 455 ust. 1 pkt 1 pzp – zmiana umowy jest dopuszcza</w:t>
      </w:r>
      <w:r w:rsidR="00B7518E">
        <w:rPr>
          <w:rFonts w:ascii="Arial" w:hAnsi="Arial" w:cs="Arial"/>
          <w:sz w:val="21"/>
          <w:szCs w:val="21"/>
          <w:lang w:val="pl-PL"/>
        </w:rPr>
        <w:t>lna, o ile została przewidziana</w:t>
      </w:r>
      <w:r w:rsidR="00B7518E">
        <w:rPr>
          <w:rFonts w:ascii="Arial" w:hAnsi="Arial" w:cs="Arial"/>
          <w:sz w:val="21"/>
          <w:szCs w:val="21"/>
          <w:lang w:val="pl-PL"/>
        </w:rPr>
        <w:br/>
      </w:r>
      <w:r w:rsidRPr="0040719D">
        <w:rPr>
          <w:rFonts w:ascii="Arial" w:hAnsi="Arial" w:cs="Arial"/>
          <w:sz w:val="21"/>
          <w:szCs w:val="21"/>
          <w:lang w:val="pl-PL"/>
        </w:rPr>
        <w:t xml:space="preserve">w ogłoszeniu o zamówieniu lub specyfikacji istotnych warunków zamówienia w postaci jednoznacznych postanowień umownych, które określają ich zakres, w szczególności możliwość </w:t>
      </w:r>
      <w:r w:rsidRPr="0040719D">
        <w:rPr>
          <w:rFonts w:ascii="Arial" w:hAnsi="Arial" w:cs="Arial"/>
          <w:sz w:val="21"/>
          <w:szCs w:val="21"/>
          <w:lang w:val="pl-PL"/>
        </w:rPr>
        <w:lastRenderedPageBreak/>
        <w:t xml:space="preserve">zmiany wysokości wynagrodzenia wykonawcy, i charakter oraz warunki wprowadzenia zmian. Skuteczny i zgodny z prawem opis klauzuli dot. zmiany, w tym ograniczenia zakresu rzeczowego umowy, wymaga więc „jednoznacznych postanowień umownych, które określają ich zakres”. Umowa i SWZ niniejszego postępowania, dopuszcza dowolne ograniczenie zamówienia. Tym samym zastrzeżenie to narusza art. 455 ust. 1 pkt 1 pzp, gdyż nie spełnia wymogu, co do jednoznacznego opisu zakresu zmiany. Dopuszczalna wielkość zmiany jest nieograniczona, co narusza wymogi co do ww. klauzuli, a nadto stanowi przejaw nadużycia prawa podmiotowego (prawa do kształtowania postanowień umownych) </w:t>
      </w:r>
      <w:r w:rsidR="00F20AB3" w:rsidRPr="0040719D">
        <w:rPr>
          <w:rFonts w:ascii="Arial" w:hAnsi="Arial" w:cs="Arial"/>
          <w:sz w:val="21"/>
          <w:szCs w:val="21"/>
          <w:lang w:val="pl-PL"/>
        </w:rPr>
        <w:t xml:space="preserve">przysługujących zamawiającemu. </w:t>
      </w:r>
    </w:p>
    <w:p w:rsidR="004551E7" w:rsidRPr="0040719D" w:rsidRDefault="004551E7" w:rsidP="00580B5D">
      <w:pPr>
        <w:spacing w:after="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0719D">
        <w:rPr>
          <w:rFonts w:ascii="Arial" w:hAnsi="Arial" w:cs="Arial"/>
          <w:sz w:val="21"/>
          <w:szCs w:val="21"/>
          <w:lang w:val="pl-PL"/>
        </w:rPr>
        <w:t xml:space="preserve">Wykonawca wskazuje, że brak wskazania minimalnej wartości lub wielkości świadczenia stron, wpływa na decyzję wykonawców o udziale w postępowaniu. Krąg wykonawców zainteresowanych małym - niewielkim wolumenem/ zamówieniem, jest inny, niż dużym. </w:t>
      </w:r>
    </w:p>
    <w:p w:rsidR="00C70290" w:rsidRPr="0040719D" w:rsidRDefault="00DD7D5F" w:rsidP="00580B5D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val="pl-PL"/>
        </w:rPr>
      </w:pPr>
      <w:r w:rsidRPr="0040719D">
        <w:rPr>
          <w:rFonts w:ascii="Arial" w:hAnsi="Arial" w:cs="Arial"/>
          <w:b/>
          <w:bCs/>
          <w:sz w:val="21"/>
          <w:szCs w:val="21"/>
          <w:u w:val="single"/>
          <w:lang w:val="pl-PL"/>
        </w:rPr>
        <w:t>Odpowiedź na pytanie nr 5:</w:t>
      </w:r>
    </w:p>
    <w:p w:rsidR="00A74659" w:rsidRPr="0040719D" w:rsidRDefault="00A74659" w:rsidP="00580B5D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40719D">
        <w:rPr>
          <w:rFonts w:ascii="Arial" w:hAnsi="Arial" w:cs="Arial"/>
          <w:bCs/>
          <w:sz w:val="21"/>
          <w:szCs w:val="21"/>
          <w:lang w:val="pl-PL"/>
        </w:rPr>
        <w:t>Zamawiający zmienia treść załącznika nr 6 do SWZ – wzoru umowy w następującym zakresie:</w:t>
      </w:r>
    </w:p>
    <w:p w:rsidR="00A74659" w:rsidRPr="0040719D" w:rsidRDefault="00A74659" w:rsidP="00580B5D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40719D">
        <w:rPr>
          <w:rFonts w:ascii="Arial" w:hAnsi="Arial" w:cs="Arial"/>
          <w:bCs/>
          <w:sz w:val="21"/>
          <w:szCs w:val="21"/>
          <w:lang w:val="pl-PL"/>
        </w:rPr>
        <w:t>W § 9 dodaje się ust. 8 o następującej treści:</w:t>
      </w:r>
    </w:p>
    <w:p w:rsidR="00A74659" w:rsidRDefault="00A74659" w:rsidP="00A74659">
      <w:pPr>
        <w:pStyle w:val="Default"/>
        <w:jc w:val="both"/>
        <w:rPr>
          <w:rFonts w:ascii="Arial" w:hAnsi="Arial" w:cs="Arial"/>
          <w:bCs/>
          <w:sz w:val="21"/>
          <w:szCs w:val="21"/>
        </w:rPr>
      </w:pPr>
      <w:r w:rsidRPr="0040719D">
        <w:rPr>
          <w:rFonts w:ascii="Arial" w:hAnsi="Arial" w:cs="Arial"/>
          <w:bCs/>
          <w:sz w:val="21"/>
          <w:szCs w:val="21"/>
        </w:rPr>
        <w:t>„</w:t>
      </w:r>
      <w:r w:rsidR="00ED54B2" w:rsidRPr="0040719D">
        <w:rPr>
          <w:rFonts w:ascii="Arial" w:hAnsi="Arial" w:cs="Arial"/>
          <w:bCs/>
          <w:sz w:val="21"/>
          <w:szCs w:val="21"/>
        </w:rPr>
        <w:t xml:space="preserve">8. </w:t>
      </w:r>
      <w:r w:rsidRPr="0040719D">
        <w:rPr>
          <w:rFonts w:ascii="Arial" w:hAnsi="Arial" w:cs="Arial"/>
          <w:bCs/>
          <w:sz w:val="21"/>
          <w:szCs w:val="21"/>
        </w:rPr>
        <w:t>Łączna wartość zmian wynagrodzenia dokonanych na podstawie zapisów ust. 1 pkt 3 niniejszej umowy nie może przekroczyć 20% wynagrodzenia</w:t>
      </w:r>
      <w:r w:rsidRPr="00A74659">
        <w:rPr>
          <w:rFonts w:ascii="Arial" w:hAnsi="Arial" w:cs="Arial"/>
          <w:bCs/>
          <w:sz w:val="21"/>
          <w:szCs w:val="21"/>
        </w:rPr>
        <w:t xml:space="preserve"> całkowite</w:t>
      </w:r>
      <w:r w:rsidRPr="0040719D">
        <w:rPr>
          <w:rFonts w:ascii="Arial" w:hAnsi="Arial" w:cs="Arial"/>
          <w:bCs/>
          <w:sz w:val="21"/>
          <w:szCs w:val="21"/>
        </w:rPr>
        <w:t>go brutto, o którym mowa w § 6 ust. 1 niniejszej umowy.”</w:t>
      </w:r>
      <w:r w:rsidR="0073417C" w:rsidRPr="0040719D">
        <w:rPr>
          <w:rFonts w:ascii="Arial" w:hAnsi="Arial" w:cs="Arial"/>
          <w:bCs/>
          <w:sz w:val="21"/>
          <w:szCs w:val="21"/>
        </w:rPr>
        <w:t>.</w:t>
      </w:r>
      <w:r w:rsidRPr="0040719D">
        <w:rPr>
          <w:rFonts w:ascii="Arial" w:hAnsi="Arial" w:cs="Arial"/>
          <w:bCs/>
          <w:sz w:val="21"/>
          <w:szCs w:val="21"/>
        </w:rPr>
        <w:t xml:space="preserve"> </w:t>
      </w:r>
    </w:p>
    <w:p w:rsidR="009F1071" w:rsidRPr="0040719D" w:rsidRDefault="009F1071" w:rsidP="009F1071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lang w:val="pl-PL"/>
        </w:rPr>
      </w:pPr>
    </w:p>
    <w:p w:rsidR="009F1071" w:rsidRPr="009F1071" w:rsidRDefault="009F1071" w:rsidP="009F1071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lang w:val="pl-PL"/>
        </w:rPr>
      </w:pPr>
      <w:r w:rsidRPr="009F1071">
        <w:rPr>
          <w:rFonts w:ascii="Arial" w:hAnsi="Arial" w:cs="Arial"/>
          <w:b/>
          <w:bCs/>
          <w:sz w:val="21"/>
          <w:szCs w:val="21"/>
          <w:lang w:val="pl-PL"/>
        </w:rPr>
        <w:t>Pytanie nr 6:</w:t>
      </w:r>
    </w:p>
    <w:p w:rsidR="009F1071" w:rsidRPr="009F1071" w:rsidRDefault="009F1071" w:rsidP="009F107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pl-PL" w:eastAsia="pl-PL"/>
        </w:rPr>
      </w:pPr>
      <w:r w:rsidRPr="009F1071">
        <w:rPr>
          <w:rFonts w:ascii="Arial" w:eastAsia="Times New Roman" w:hAnsi="Arial" w:cs="Arial"/>
          <w:sz w:val="21"/>
          <w:szCs w:val="21"/>
          <w:lang w:val="pl-PL" w:eastAsia="pl-PL"/>
        </w:rPr>
        <w:t>W związku z koniecznością zapewnienia dezynfekcji wyposażenia i powierzchni dotykowych zgodnie z zakresem określonym w Opisie Przedmiotu Zamówienia, prosimy o potwierdzenie, że środki do wykonania w/w dezynfekcji zapewnia Wykonawca?</w:t>
      </w:r>
    </w:p>
    <w:p w:rsidR="009F1071" w:rsidRPr="009F1071" w:rsidRDefault="009F1071" w:rsidP="009F1071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val="pl-PL"/>
        </w:rPr>
      </w:pPr>
      <w:r w:rsidRPr="009F1071">
        <w:rPr>
          <w:rFonts w:ascii="Arial" w:hAnsi="Arial" w:cs="Arial"/>
          <w:b/>
          <w:bCs/>
          <w:sz w:val="21"/>
          <w:szCs w:val="21"/>
          <w:u w:val="single"/>
          <w:lang w:val="pl-PL"/>
        </w:rPr>
        <w:t>Odpowiedź na pytanie nr 6:</w:t>
      </w:r>
    </w:p>
    <w:p w:rsidR="009F1071" w:rsidRDefault="00AE6C13" w:rsidP="009F1071">
      <w:pPr>
        <w:spacing w:after="0" w:line="276" w:lineRule="auto"/>
        <w:jc w:val="both"/>
        <w:rPr>
          <w:rFonts w:ascii="Arial" w:eastAsiaTheme="minorHAnsi" w:hAnsi="Arial" w:cs="Arial"/>
          <w:bCs/>
          <w:color w:val="000000"/>
          <w:sz w:val="21"/>
          <w:szCs w:val="21"/>
          <w:lang w:val="pl-PL" w:eastAsia="en-US"/>
        </w:rPr>
      </w:pPr>
      <w:r>
        <w:rPr>
          <w:rFonts w:ascii="Arial" w:eastAsiaTheme="minorHAnsi" w:hAnsi="Arial" w:cs="Arial"/>
          <w:bCs/>
          <w:color w:val="000000"/>
          <w:sz w:val="21"/>
          <w:szCs w:val="21"/>
          <w:lang w:val="pl-PL" w:eastAsia="en-US"/>
        </w:rPr>
        <w:t xml:space="preserve">Zamawiający potwierdza, ze środki do </w:t>
      </w:r>
      <w:r w:rsidRPr="009F1071">
        <w:rPr>
          <w:rFonts w:ascii="Arial" w:eastAsia="Times New Roman" w:hAnsi="Arial" w:cs="Arial"/>
          <w:sz w:val="21"/>
          <w:szCs w:val="21"/>
          <w:lang w:val="pl-PL" w:eastAsia="pl-PL"/>
        </w:rPr>
        <w:t>dezynfekcji wyposażenia i powierzchni dotykowych zgodnie z zakresem określonym w Opisie Przedmiotu Zamówienia</w:t>
      </w:r>
      <w:r w:rsidR="003E16B0">
        <w:rPr>
          <w:rFonts w:ascii="Arial" w:eastAsia="Times New Roman" w:hAnsi="Arial" w:cs="Arial"/>
          <w:sz w:val="21"/>
          <w:szCs w:val="21"/>
          <w:lang w:val="pl-PL" w:eastAsia="pl-PL"/>
        </w:rPr>
        <w:t xml:space="preserve"> zapewnia W</w:t>
      </w:r>
      <w:r>
        <w:rPr>
          <w:rFonts w:ascii="Arial" w:eastAsia="Times New Roman" w:hAnsi="Arial" w:cs="Arial"/>
          <w:sz w:val="21"/>
          <w:szCs w:val="21"/>
          <w:lang w:val="pl-PL" w:eastAsia="pl-PL"/>
        </w:rPr>
        <w:t xml:space="preserve">ykonawca. </w:t>
      </w:r>
    </w:p>
    <w:p w:rsidR="00AE6C13" w:rsidRPr="009F1071" w:rsidRDefault="00AE6C13" w:rsidP="009F1071">
      <w:pPr>
        <w:spacing w:after="0" w:line="276" w:lineRule="auto"/>
        <w:jc w:val="both"/>
        <w:rPr>
          <w:rFonts w:ascii="Arial" w:eastAsiaTheme="minorHAnsi" w:hAnsi="Arial" w:cs="Arial"/>
          <w:bCs/>
          <w:color w:val="000000"/>
          <w:sz w:val="21"/>
          <w:szCs w:val="21"/>
          <w:lang w:val="pl-PL" w:eastAsia="en-US"/>
        </w:rPr>
      </w:pPr>
    </w:p>
    <w:p w:rsidR="009F1071" w:rsidRPr="009F1071" w:rsidRDefault="009F1071" w:rsidP="009F1071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lang w:val="pl-PL"/>
        </w:rPr>
      </w:pPr>
      <w:r w:rsidRPr="009F1071">
        <w:rPr>
          <w:rFonts w:ascii="Arial" w:hAnsi="Arial" w:cs="Arial"/>
          <w:b/>
          <w:bCs/>
          <w:sz w:val="21"/>
          <w:szCs w:val="21"/>
          <w:lang w:val="pl-PL"/>
        </w:rPr>
        <w:t>Pytanie nr 7:</w:t>
      </w:r>
    </w:p>
    <w:p w:rsidR="009F1071" w:rsidRPr="009F1071" w:rsidRDefault="009F1071" w:rsidP="009F107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pl-PL" w:eastAsia="pl-PL"/>
        </w:rPr>
      </w:pPr>
      <w:r w:rsidRPr="009F1071">
        <w:rPr>
          <w:rFonts w:ascii="Arial" w:eastAsia="Times New Roman" w:hAnsi="Arial" w:cs="Arial"/>
          <w:sz w:val="21"/>
          <w:szCs w:val="21"/>
          <w:lang w:val="pl-PL" w:eastAsia="pl-PL"/>
        </w:rPr>
        <w:t>Prosimy o informację jakie dozowniki na mydło w płynie i mydło w pianie –wkłady jednorazowe czy na mydło dolewane posiada Zamawiający? W przypadku wkładów jednorazowych prosimy o wskazanie producenta dozowników.</w:t>
      </w:r>
    </w:p>
    <w:p w:rsidR="009F1071" w:rsidRDefault="009F1071" w:rsidP="009F1071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val="pl-PL"/>
        </w:rPr>
      </w:pPr>
      <w:r w:rsidRPr="009F1071">
        <w:rPr>
          <w:rFonts w:ascii="Arial" w:hAnsi="Arial" w:cs="Arial"/>
          <w:b/>
          <w:bCs/>
          <w:sz w:val="21"/>
          <w:szCs w:val="21"/>
          <w:u w:val="single"/>
          <w:lang w:val="pl-PL"/>
        </w:rPr>
        <w:t>Odpowiedź na pytanie nr 7:</w:t>
      </w:r>
    </w:p>
    <w:p w:rsidR="0039068E" w:rsidRDefault="0039068E" w:rsidP="009F1071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>Dozowniki do mydła:</w:t>
      </w:r>
    </w:p>
    <w:p w:rsidR="0039068E" w:rsidRDefault="0039068E" w:rsidP="009F1071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>1/ MERIDA DSM206 – piana, jednorazowy wkład,</w:t>
      </w:r>
    </w:p>
    <w:p w:rsidR="0039068E" w:rsidRDefault="0039068E" w:rsidP="009F1071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>2/ MERIDA DSP102 – mydło w płynie, do uzupełnienia,</w:t>
      </w:r>
    </w:p>
    <w:p w:rsidR="0039068E" w:rsidRDefault="0039068E" w:rsidP="009F1071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 xml:space="preserve">3/ </w:t>
      </w:r>
      <w:r w:rsidR="002C0384">
        <w:rPr>
          <w:rFonts w:ascii="Arial" w:hAnsi="Arial" w:cs="Arial"/>
          <w:bCs/>
          <w:sz w:val="21"/>
          <w:szCs w:val="21"/>
          <w:lang w:val="pl-PL"/>
        </w:rPr>
        <w:t>E</w:t>
      </w:r>
      <w:r>
        <w:rPr>
          <w:rFonts w:ascii="Arial" w:hAnsi="Arial" w:cs="Arial"/>
          <w:bCs/>
          <w:sz w:val="21"/>
          <w:szCs w:val="21"/>
          <w:lang w:val="pl-PL"/>
        </w:rPr>
        <w:t>KA PLAST 0,75 – mydło w płynie, do uzupełnienia,</w:t>
      </w:r>
    </w:p>
    <w:p w:rsidR="0039068E" w:rsidRPr="0039068E" w:rsidRDefault="0039068E" w:rsidP="009F1071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>4/ w pozostałych miejscach mydło w płynie w pojemnikach jednorazowych.</w:t>
      </w:r>
    </w:p>
    <w:p w:rsidR="009F1071" w:rsidRPr="009F1071" w:rsidRDefault="009F1071" w:rsidP="009F1071">
      <w:pPr>
        <w:pStyle w:val="Default"/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:rsidR="009F1071" w:rsidRPr="009F1071" w:rsidRDefault="009F1071" w:rsidP="009F1071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lang w:val="pl-PL"/>
        </w:rPr>
      </w:pPr>
      <w:r w:rsidRPr="009F1071">
        <w:rPr>
          <w:rFonts w:ascii="Arial" w:hAnsi="Arial" w:cs="Arial"/>
          <w:b/>
          <w:bCs/>
          <w:sz w:val="21"/>
          <w:szCs w:val="21"/>
          <w:lang w:val="pl-PL"/>
        </w:rPr>
        <w:t>Pytanie nr 8:</w:t>
      </w:r>
    </w:p>
    <w:p w:rsidR="009F1071" w:rsidRPr="009F1071" w:rsidRDefault="009F1071" w:rsidP="009F107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pl-PL" w:eastAsia="pl-PL"/>
        </w:rPr>
      </w:pPr>
      <w:r w:rsidRPr="009F1071">
        <w:rPr>
          <w:rFonts w:ascii="Arial" w:eastAsia="Times New Roman" w:hAnsi="Arial" w:cs="Arial"/>
          <w:sz w:val="21"/>
          <w:szCs w:val="21"/>
          <w:lang w:val="pl-PL" w:eastAsia="pl-PL"/>
        </w:rPr>
        <w:t>Prosimy o informację jakie dozowniki na papier toaletowy – na małe czy duże rolki – ma Zamawiający?</w:t>
      </w:r>
    </w:p>
    <w:p w:rsidR="009F1071" w:rsidRDefault="009F1071" w:rsidP="009F1071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val="pl-PL"/>
        </w:rPr>
      </w:pPr>
      <w:r w:rsidRPr="009F1071">
        <w:rPr>
          <w:rFonts w:ascii="Arial" w:hAnsi="Arial" w:cs="Arial"/>
          <w:b/>
          <w:bCs/>
          <w:sz w:val="21"/>
          <w:szCs w:val="21"/>
          <w:u w:val="single"/>
          <w:lang w:val="pl-PL"/>
        </w:rPr>
        <w:t>Odpowiedź na pytanie nr 8.</w:t>
      </w:r>
    </w:p>
    <w:p w:rsidR="0039068E" w:rsidRDefault="0039068E" w:rsidP="009F1071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>Pojemniki na papier toaletowy:</w:t>
      </w:r>
    </w:p>
    <w:p w:rsidR="0039068E" w:rsidRDefault="0039068E" w:rsidP="009F1071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>1/ MERIDA BSM401 – papier w listach,</w:t>
      </w:r>
    </w:p>
    <w:p w:rsidR="0039068E" w:rsidRDefault="0039068E" w:rsidP="009F1071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>2/ MERIDA BSP201 – papier w rolkach,</w:t>
      </w:r>
    </w:p>
    <w:p w:rsidR="0039068E" w:rsidRPr="0039068E" w:rsidRDefault="0039068E" w:rsidP="009F1071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>3/ w pozostałych miejscach pojemniki na duże rol</w:t>
      </w:r>
      <w:r w:rsidR="002C0384">
        <w:rPr>
          <w:rFonts w:ascii="Arial" w:hAnsi="Arial" w:cs="Arial"/>
          <w:bCs/>
          <w:sz w:val="21"/>
          <w:szCs w:val="21"/>
          <w:lang w:val="pl-PL"/>
        </w:rPr>
        <w:t>k</w:t>
      </w:r>
      <w:r>
        <w:rPr>
          <w:rFonts w:ascii="Arial" w:hAnsi="Arial" w:cs="Arial"/>
          <w:bCs/>
          <w:sz w:val="21"/>
          <w:szCs w:val="21"/>
          <w:lang w:val="pl-PL"/>
        </w:rPr>
        <w:t>i i zwykłe uchwyty na małe rolki.</w:t>
      </w:r>
    </w:p>
    <w:p w:rsidR="00AE6C13" w:rsidRPr="009F1071" w:rsidRDefault="00AE6C13" w:rsidP="009F1071">
      <w:pPr>
        <w:pStyle w:val="Default"/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:rsidR="009F1071" w:rsidRPr="009F1071" w:rsidRDefault="009F1071" w:rsidP="009F1071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lang w:val="pl-PL"/>
        </w:rPr>
      </w:pPr>
      <w:r w:rsidRPr="009F1071">
        <w:rPr>
          <w:rFonts w:ascii="Arial" w:hAnsi="Arial" w:cs="Arial"/>
          <w:b/>
          <w:bCs/>
          <w:sz w:val="21"/>
          <w:szCs w:val="21"/>
          <w:lang w:val="pl-PL"/>
        </w:rPr>
        <w:t>Pytanie nr 9:</w:t>
      </w:r>
    </w:p>
    <w:p w:rsidR="009F1071" w:rsidRPr="009F1071" w:rsidRDefault="009F1071" w:rsidP="009F107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pl-PL" w:eastAsia="pl-PL"/>
        </w:rPr>
      </w:pPr>
      <w:r w:rsidRPr="009F1071">
        <w:rPr>
          <w:rFonts w:ascii="Arial" w:eastAsia="Times New Roman" w:hAnsi="Arial" w:cs="Arial"/>
          <w:sz w:val="21"/>
          <w:szCs w:val="21"/>
          <w:lang w:val="pl-PL" w:eastAsia="pl-PL"/>
        </w:rPr>
        <w:t>Prosimy o informację jakie dozowniki na ręczniki papierowe – składane czy na ręczniki                               w roli – ma Zamawiający?</w:t>
      </w:r>
    </w:p>
    <w:p w:rsidR="003E16B0" w:rsidRDefault="003E16B0" w:rsidP="009F1071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val="pl-PL"/>
        </w:rPr>
      </w:pPr>
    </w:p>
    <w:p w:rsidR="003E16B0" w:rsidRDefault="003E16B0" w:rsidP="009F1071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val="pl-PL"/>
        </w:rPr>
      </w:pPr>
    </w:p>
    <w:p w:rsidR="009F1071" w:rsidRDefault="009F1071" w:rsidP="009F1071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val="pl-PL"/>
        </w:rPr>
      </w:pPr>
      <w:r w:rsidRPr="009F1071">
        <w:rPr>
          <w:rFonts w:ascii="Arial" w:hAnsi="Arial" w:cs="Arial"/>
          <w:b/>
          <w:bCs/>
          <w:sz w:val="21"/>
          <w:szCs w:val="21"/>
          <w:u w:val="single"/>
          <w:lang w:val="pl-PL"/>
        </w:rPr>
        <w:lastRenderedPageBreak/>
        <w:t>Odpowiedź na pytanie nr 9:</w:t>
      </w:r>
    </w:p>
    <w:p w:rsidR="0039068E" w:rsidRDefault="0039068E" w:rsidP="009F1071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>Dozowniki na ręczniki papierowe składane:</w:t>
      </w:r>
    </w:p>
    <w:p w:rsidR="0039068E" w:rsidRDefault="0039068E" w:rsidP="009F1071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>1/ MERIDA ASM201,</w:t>
      </w:r>
    </w:p>
    <w:p w:rsidR="0039068E" w:rsidRDefault="0039068E" w:rsidP="009F1071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>2/ MERIDA ASP101,</w:t>
      </w:r>
    </w:p>
    <w:p w:rsidR="0039068E" w:rsidRPr="0039068E" w:rsidRDefault="0039068E" w:rsidP="009F1071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>3/ zwykłe pojemniki na ręczniki papierowe składane.</w:t>
      </w:r>
    </w:p>
    <w:p w:rsidR="00AE6C13" w:rsidRPr="009F1071" w:rsidRDefault="00AE6C13" w:rsidP="009F1071">
      <w:pPr>
        <w:pStyle w:val="Default"/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:rsidR="009F1071" w:rsidRPr="009F1071" w:rsidRDefault="009F1071" w:rsidP="009F1071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lang w:val="pl-PL"/>
        </w:rPr>
      </w:pPr>
      <w:r w:rsidRPr="009F1071">
        <w:rPr>
          <w:rFonts w:ascii="Arial" w:hAnsi="Arial" w:cs="Arial"/>
          <w:b/>
          <w:bCs/>
          <w:sz w:val="21"/>
          <w:szCs w:val="21"/>
          <w:lang w:val="pl-PL"/>
        </w:rPr>
        <w:t>Pytanie nr 10:</w:t>
      </w:r>
    </w:p>
    <w:p w:rsidR="009F1071" w:rsidRPr="009F1071" w:rsidRDefault="009F1071" w:rsidP="009F107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pl-PL" w:eastAsia="pl-PL"/>
        </w:rPr>
      </w:pPr>
      <w:r w:rsidRPr="009F1071">
        <w:rPr>
          <w:rFonts w:ascii="Arial" w:eastAsia="Times New Roman" w:hAnsi="Arial" w:cs="Arial"/>
          <w:sz w:val="21"/>
          <w:szCs w:val="21"/>
          <w:lang w:val="pl-PL" w:eastAsia="pl-PL"/>
        </w:rPr>
        <w:t>W związku z koniecznością zapewnienia preparatu do dezynfekcji rąk:</w:t>
      </w:r>
    </w:p>
    <w:p w:rsidR="009F1071" w:rsidRDefault="009F1071" w:rsidP="009F107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pl-PL" w:eastAsia="pl-PL"/>
        </w:rPr>
      </w:pPr>
      <w:r w:rsidRPr="009F1071">
        <w:rPr>
          <w:rFonts w:ascii="Arial" w:eastAsia="Times New Roman" w:hAnsi="Arial" w:cs="Arial"/>
          <w:sz w:val="21"/>
          <w:szCs w:val="21"/>
          <w:lang w:val="pl-PL" w:eastAsia="pl-PL"/>
        </w:rPr>
        <w:t>p</w:t>
      </w:r>
      <w:r w:rsidR="00AE6C13">
        <w:rPr>
          <w:rFonts w:ascii="Arial" w:eastAsia="Times New Roman" w:hAnsi="Arial" w:cs="Arial"/>
          <w:sz w:val="21"/>
          <w:szCs w:val="21"/>
          <w:lang w:val="pl-PL" w:eastAsia="pl-PL"/>
        </w:rPr>
        <w:t>rosimy o doprecyzowanie czy i</w:t>
      </w:r>
      <w:r w:rsidRPr="009F1071">
        <w:rPr>
          <w:rFonts w:ascii="Arial" w:eastAsia="Times New Roman" w:hAnsi="Arial" w:cs="Arial"/>
          <w:sz w:val="21"/>
          <w:szCs w:val="21"/>
          <w:lang w:val="pl-PL" w:eastAsia="pl-PL"/>
        </w:rPr>
        <w:t xml:space="preserve"> jakie dozowniki na środki do dezynfekcji rąk posiada Zamawiający? Prosimy o wskazanie producenta tych dozowników.</w:t>
      </w:r>
    </w:p>
    <w:p w:rsidR="002C0384" w:rsidRPr="003E16B0" w:rsidRDefault="009F1071" w:rsidP="009F1071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pl-PL" w:eastAsia="pl-PL"/>
        </w:rPr>
      </w:pPr>
      <w:r w:rsidRPr="009F1071">
        <w:rPr>
          <w:rFonts w:ascii="Arial" w:eastAsia="Times New Roman" w:hAnsi="Arial" w:cs="Arial"/>
          <w:color w:val="000000" w:themeColor="text1"/>
          <w:sz w:val="21"/>
          <w:szCs w:val="21"/>
          <w:lang w:val="pl-PL" w:eastAsia="pl-PL"/>
        </w:rPr>
        <w:t>prosimy o wskazanie jakie ilości preparatu do dezynfekcji rąk są wymagane?</w:t>
      </w:r>
    </w:p>
    <w:p w:rsidR="002C0384" w:rsidRDefault="009F1071" w:rsidP="009F1071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val="pl-PL"/>
        </w:rPr>
      </w:pPr>
      <w:r w:rsidRPr="009F1071">
        <w:rPr>
          <w:rFonts w:ascii="Arial" w:hAnsi="Arial" w:cs="Arial"/>
          <w:b/>
          <w:bCs/>
          <w:sz w:val="21"/>
          <w:szCs w:val="21"/>
          <w:u w:val="single"/>
          <w:lang w:val="pl-PL"/>
        </w:rPr>
        <w:t>Odpowiedź na pytanie nr 10:</w:t>
      </w:r>
    </w:p>
    <w:p w:rsidR="0039068E" w:rsidRPr="003E16B0" w:rsidRDefault="0039068E" w:rsidP="003E16B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3E16B0">
        <w:rPr>
          <w:rFonts w:ascii="Arial" w:hAnsi="Arial" w:cs="Arial"/>
          <w:bCs/>
          <w:sz w:val="21"/>
          <w:szCs w:val="21"/>
          <w:lang w:val="pl-PL"/>
        </w:rPr>
        <w:t>Dozownik na płyn do dezynfekcji:</w:t>
      </w:r>
    </w:p>
    <w:p w:rsidR="0039068E" w:rsidRDefault="0039068E" w:rsidP="003E16B0">
      <w:pPr>
        <w:spacing w:after="0" w:line="276" w:lineRule="auto"/>
        <w:ind w:left="360"/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>1/ MERIDA DSM 410, wkład,</w:t>
      </w:r>
    </w:p>
    <w:p w:rsidR="0039068E" w:rsidRDefault="0039068E" w:rsidP="003E16B0">
      <w:pPr>
        <w:spacing w:after="0" w:line="276" w:lineRule="auto"/>
        <w:ind w:left="360"/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>2/ QP HARDT, płyn do uzupełnienia,</w:t>
      </w:r>
    </w:p>
    <w:p w:rsidR="0039068E" w:rsidRDefault="0039068E" w:rsidP="003E16B0">
      <w:pPr>
        <w:spacing w:after="0" w:line="276" w:lineRule="auto"/>
        <w:ind w:left="360"/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>3/ EKA PLAST, płyn do uzupełnienia,</w:t>
      </w:r>
    </w:p>
    <w:p w:rsidR="002C0384" w:rsidRDefault="0039068E" w:rsidP="003E16B0">
      <w:pPr>
        <w:spacing w:after="0" w:line="276" w:lineRule="auto"/>
        <w:ind w:left="360"/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>4/ jednorazowe pojemniki plastikowe.</w:t>
      </w:r>
    </w:p>
    <w:p w:rsidR="002C0384" w:rsidRPr="0039068E" w:rsidRDefault="002C0384" w:rsidP="003E16B0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3E16B0">
        <w:rPr>
          <w:rFonts w:ascii="Arial" w:hAnsi="Arial" w:cs="Arial"/>
          <w:bCs/>
          <w:sz w:val="21"/>
          <w:szCs w:val="21"/>
          <w:lang w:val="pl-PL"/>
        </w:rPr>
        <w:t xml:space="preserve">Zamawiający </w:t>
      </w:r>
      <w:r w:rsidR="003E16B0" w:rsidRPr="003E16B0">
        <w:rPr>
          <w:rFonts w:ascii="Arial" w:hAnsi="Arial" w:cs="Arial"/>
          <w:bCs/>
          <w:sz w:val="21"/>
          <w:szCs w:val="21"/>
          <w:lang w:val="pl-PL"/>
        </w:rPr>
        <w:t xml:space="preserve">na etapie składania ofert </w:t>
      </w:r>
      <w:r w:rsidRPr="003E16B0">
        <w:rPr>
          <w:rFonts w:ascii="Arial" w:hAnsi="Arial" w:cs="Arial"/>
          <w:bCs/>
          <w:sz w:val="21"/>
          <w:szCs w:val="21"/>
          <w:lang w:val="pl-PL"/>
        </w:rPr>
        <w:t>nie jest w stanie</w:t>
      </w:r>
      <w:r>
        <w:rPr>
          <w:rFonts w:ascii="Arial" w:hAnsi="Arial" w:cs="Arial"/>
          <w:bCs/>
          <w:sz w:val="21"/>
          <w:szCs w:val="21"/>
          <w:lang w:val="pl-PL"/>
        </w:rPr>
        <w:t xml:space="preserve"> określić </w:t>
      </w:r>
      <w:r w:rsidR="003E16B0">
        <w:rPr>
          <w:rFonts w:ascii="Arial" w:hAnsi="Arial" w:cs="Arial"/>
          <w:bCs/>
          <w:sz w:val="21"/>
          <w:szCs w:val="21"/>
          <w:lang w:val="pl-PL"/>
        </w:rPr>
        <w:t>ilości</w:t>
      </w:r>
      <w:r w:rsidR="003E16B0">
        <w:rPr>
          <w:rFonts w:ascii="Arial" w:hAnsi="Arial" w:cs="Arial"/>
          <w:bCs/>
          <w:sz w:val="21"/>
          <w:szCs w:val="21"/>
          <w:lang w:val="pl-PL"/>
        </w:rPr>
        <w:t xml:space="preserve"> </w:t>
      </w:r>
      <w:r>
        <w:rPr>
          <w:rFonts w:ascii="Arial" w:hAnsi="Arial" w:cs="Arial"/>
          <w:bCs/>
          <w:sz w:val="21"/>
          <w:szCs w:val="21"/>
          <w:lang w:val="pl-PL"/>
        </w:rPr>
        <w:t>zużycia płynu do dezynfekcji rąk.</w:t>
      </w:r>
    </w:p>
    <w:p w:rsidR="009F1071" w:rsidRPr="009F1071" w:rsidRDefault="009F1071" w:rsidP="009F1071">
      <w:pPr>
        <w:pStyle w:val="Default"/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:rsidR="009F1071" w:rsidRPr="009F1071" w:rsidRDefault="009F1071" w:rsidP="009F1071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lang w:val="pl-PL"/>
        </w:rPr>
      </w:pPr>
      <w:r w:rsidRPr="009F1071">
        <w:rPr>
          <w:rFonts w:ascii="Arial" w:hAnsi="Arial" w:cs="Arial"/>
          <w:b/>
          <w:bCs/>
          <w:sz w:val="21"/>
          <w:szCs w:val="21"/>
          <w:lang w:val="pl-PL"/>
        </w:rPr>
        <w:t>Pytanie nr 11:</w:t>
      </w:r>
    </w:p>
    <w:p w:rsidR="009F1071" w:rsidRPr="009F1071" w:rsidRDefault="009F1071" w:rsidP="009F1071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val="pl-PL" w:eastAsia="pl-PL"/>
        </w:rPr>
      </w:pPr>
      <w:r w:rsidRPr="009F1071">
        <w:rPr>
          <w:rFonts w:ascii="Arial" w:eastAsia="Times New Roman" w:hAnsi="Arial" w:cs="Arial"/>
          <w:color w:val="000000" w:themeColor="text1"/>
          <w:sz w:val="21"/>
          <w:szCs w:val="21"/>
          <w:lang w:val="pl-PL" w:eastAsia="pl-PL"/>
        </w:rPr>
        <w:t xml:space="preserve">W nawiązaniu do pytań II-V </w:t>
      </w:r>
      <w:r w:rsidR="00AE6C13">
        <w:rPr>
          <w:rFonts w:ascii="Arial" w:eastAsia="Times New Roman" w:hAnsi="Arial" w:cs="Arial"/>
          <w:color w:val="000000" w:themeColor="text1"/>
          <w:sz w:val="21"/>
          <w:szCs w:val="21"/>
          <w:lang w:val="pl-PL" w:eastAsia="pl-PL"/>
        </w:rPr>
        <w:t xml:space="preserve">(6-10) </w:t>
      </w:r>
      <w:r w:rsidRPr="009F1071">
        <w:rPr>
          <w:rFonts w:ascii="Arial" w:eastAsia="Times New Roman" w:hAnsi="Arial" w:cs="Arial"/>
          <w:color w:val="000000" w:themeColor="text1"/>
          <w:sz w:val="21"/>
          <w:szCs w:val="21"/>
          <w:lang w:val="pl-PL" w:eastAsia="pl-PL"/>
        </w:rPr>
        <w:t>prosimy o informację czy Zamawiający przewiduje wymianę obecnie zainstalowanych dozowników na papier, ręczniki, mydło i płyn do dezynfekcji rąk? Jeżeli tak, prosimy o podanie nazwy producenta/modelu dozowników, które będą instalowane.</w:t>
      </w:r>
    </w:p>
    <w:p w:rsidR="002C0384" w:rsidRDefault="009F1071" w:rsidP="009F1071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val="pl-PL"/>
        </w:rPr>
      </w:pPr>
      <w:r w:rsidRPr="009F1071">
        <w:rPr>
          <w:rFonts w:ascii="Arial" w:hAnsi="Arial" w:cs="Arial"/>
          <w:b/>
          <w:bCs/>
          <w:sz w:val="21"/>
          <w:szCs w:val="21"/>
          <w:u w:val="single"/>
          <w:lang w:val="pl-PL"/>
        </w:rPr>
        <w:t>Odpowiedź na pytanie nr 11:</w:t>
      </w:r>
    </w:p>
    <w:p w:rsidR="002C0384" w:rsidRPr="002C0384" w:rsidRDefault="002C0384" w:rsidP="009F1071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>
        <w:rPr>
          <w:rFonts w:ascii="Arial" w:hAnsi="Arial" w:cs="Arial"/>
          <w:bCs/>
          <w:sz w:val="21"/>
          <w:szCs w:val="21"/>
          <w:lang w:val="pl-PL"/>
        </w:rPr>
        <w:t>Tak</w:t>
      </w:r>
      <w:r w:rsidR="003E16B0">
        <w:rPr>
          <w:rFonts w:ascii="Arial" w:hAnsi="Arial" w:cs="Arial"/>
          <w:bCs/>
          <w:sz w:val="21"/>
          <w:szCs w:val="21"/>
          <w:lang w:val="pl-PL"/>
        </w:rPr>
        <w:t xml:space="preserve"> zamawiający przewiduje zmianę</w:t>
      </w:r>
      <w:r>
        <w:rPr>
          <w:rFonts w:ascii="Arial" w:hAnsi="Arial" w:cs="Arial"/>
          <w:bCs/>
          <w:sz w:val="21"/>
          <w:szCs w:val="21"/>
          <w:lang w:val="pl-PL"/>
        </w:rPr>
        <w:t xml:space="preserve"> na pojemniki i dozowniki </w:t>
      </w:r>
      <w:r w:rsidR="003E16B0" w:rsidRPr="009F1071">
        <w:rPr>
          <w:rFonts w:ascii="Arial" w:eastAsia="Times New Roman" w:hAnsi="Arial" w:cs="Arial"/>
          <w:color w:val="000000" w:themeColor="text1"/>
          <w:sz w:val="21"/>
          <w:szCs w:val="21"/>
          <w:lang w:val="pl-PL" w:eastAsia="pl-PL"/>
        </w:rPr>
        <w:t>producenta</w:t>
      </w:r>
      <w:r w:rsidR="003E16B0">
        <w:rPr>
          <w:rFonts w:ascii="Arial" w:hAnsi="Arial" w:cs="Arial"/>
          <w:bCs/>
          <w:sz w:val="21"/>
          <w:szCs w:val="21"/>
          <w:lang w:val="pl-PL"/>
        </w:rPr>
        <w:t xml:space="preserve"> </w:t>
      </w:r>
      <w:r>
        <w:rPr>
          <w:rFonts w:ascii="Arial" w:hAnsi="Arial" w:cs="Arial"/>
          <w:bCs/>
          <w:sz w:val="21"/>
          <w:szCs w:val="21"/>
          <w:lang w:val="pl-PL"/>
        </w:rPr>
        <w:t>MERIDA</w:t>
      </w:r>
      <w:bookmarkStart w:id="0" w:name="_GoBack"/>
      <w:bookmarkEnd w:id="0"/>
      <w:r>
        <w:rPr>
          <w:rFonts w:ascii="Arial" w:hAnsi="Arial" w:cs="Arial"/>
          <w:bCs/>
          <w:sz w:val="21"/>
          <w:szCs w:val="21"/>
          <w:lang w:val="pl-PL"/>
        </w:rPr>
        <w:t>.</w:t>
      </w:r>
    </w:p>
    <w:p w:rsidR="009F1071" w:rsidRPr="009F1071" w:rsidRDefault="009F1071" w:rsidP="009F1071">
      <w:pPr>
        <w:pStyle w:val="Default"/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:rsidR="009F1071" w:rsidRPr="009F1071" w:rsidRDefault="009F1071" w:rsidP="009F1071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lang w:val="pl-PL"/>
        </w:rPr>
      </w:pPr>
      <w:r w:rsidRPr="009F1071">
        <w:rPr>
          <w:rFonts w:ascii="Arial" w:hAnsi="Arial" w:cs="Arial"/>
          <w:b/>
          <w:bCs/>
          <w:sz w:val="21"/>
          <w:szCs w:val="21"/>
          <w:lang w:val="pl-PL"/>
        </w:rPr>
        <w:t>Pytanie nr 12:</w:t>
      </w:r>
    </w:p>
    <w:p w:rsidR="009F1071" w:rsidRPr="009F1071" w:rsidRDefault="009F1071" w:rsidP="009F107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pl-PL" w:eastAsia="pl-PL"/>
        </w:rPr>
      </w:pPr>
      <w:r w:rsidRPr="009F1071">
        <w:rPr>
          <w:rFonts w:ascii="Arial" w:eastAsia="Times New Roman" w:hAnsi="Arial" w:cs="Arial"/>
          <w:sz w:val="21"/>
          <w:szCs w:val="21"/>
          <w:lang w:val="pl-PL" w:eastAsia="pl-PL"/>
        </w:rPr>
        <w:t>Prosimy o informację jakich od</w:t>
      </w:r>
      <w:r w:rsidR="00AE6C13">
        <w:rPr>
          <w:rFonts w:ascii="Arial" w:eastAsia="Times New Roman" w:hAnsi="Arial" w:cs="Arial"/>
          <w:sz w:val="21"/>
          <w:szCs w:val="21"/>
          <w:lang w:val="pl-PL" w:eastAsia="pl-PL"/>
        </w:rPr>
        <w:t>świeżaczy powietrza (</w:t>
      </w:r>
      <w:r w:rsidRPr="009F1071">
        <w:rPr>
          <w:rFonts w:ascii="Arial" w:eastAsia="Times New Roman" w:hAnsi="Arial" w:cs="Arial"/>
          <w:sz w:val="21"/>
          <w:szCs w:val="21"/>
          <w:lang w:val="pl-PL" w:eastAsia="pl-PL"/>
        </w:rPr>
        <w:t>w sprayu, elektrycznych, w żelu) oczekuje Zamawiający?</w:t>
      </w:r>
    </w:p>
    <w:p w:rsidR="002C0384" w:rsidRDefault="009F1071" w:rsidP="009F1071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val="pl-PL"/>
        </w:rPr>
      </w:pPr>
      <w:r w:rsidRPr="009F1071">
        <w:rPr>
          <w:rFonts w:ascii="Arial" w:hAnsi="Arial" w:cs="Arial"/>
          <w:b/>
          <w:bCs/>
          <w:sz w:val="21"/>
          <w:szCs w:val="21"/>
          <w:u w:val="single"/>
          <w:lang w:val="pl-PL"/>
        </w:rPr>
        <w:t>Odpowiedź na pytanie nr 12:</w:t>
      </w:r>
    </w:p>
    <w:p w:rsidR="002C0384" w:rsidRPr="002C0384" w:rsidRDefault="002C0384" w:rsidP="009F1071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  <w:r w:rsidRPr="002C0384">
        <w:rPr>
          <w:rFonts w:ascii="Arial" w:hAnsi="Arial" w:cs="Arial"/>
          <w:bCs/>
          <w:sz w:val="21"/>
          <w:szCs w:val="21"/>
          <w:lang w:val="pl-PL"/>
        </w:rPr>
        <w:t>Odświeżacz powietrza w spray i w żelu.</w:t>
      </w:r>
    </w:p>
    <w:p w:rsidR="009F1071" w:rsidRPr="009F1071" w:rsidRDefault="009F1071" w:rsidP="009F1071">
      <w:pPr>
        <w:pStyle w:val="Default"/>
        <w:spacing w:line="276" w:lineRule="auto"/>
        <w:jc w:val="both"/>
        <w:rPr>
          <w:rFonts w:ascii="Arial" w:hAnsi="Arial" w:cs="Arial"/>
          <w:bCs/>
          <w:sz w:val="21"/>
          <w:szCs w:val="21"/>
        </w:rPr>
      </w:pPr>
    </w:p>
    <w:p w:rsidR="009F1071" w:rsidRPr="009F1071" w:rsidRDefault="009F1071" w:rsidP="009F1071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lang w:val="pl-PL"/>
        </w:rPr>
      </w:pPr>
      <w:r w:rsidRPr="009F1071">
        <w:rPr>
          <w:rFonts w:ascii="Arial" w:hAnsi="Arial" w:cs="Arial"/>
          <w:b/>
          <w:bCs/>
          <w:sz w:val="21"/>
          <w:szCs w:val="21"/>
          <w:lang w:val="pl-PL"/>
        </w:rPr>
        <w:t>Pytanie nr 13:</w:t>
      </w:r>
    </w:p>
    <w:p w:rsidR="009F1071" w:rsidRPr="009F1071" w:rsidRDefault="009F1071" w:rsidP="009F107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pl-PL" w:eastAsia="pl-PL"/>
        </w:rPr>
      </w:pPr>
      <w:r w:rsidRPr="009F1071">
        <w:rPr>
          <w:rFonts w:ascii="Arial" w:eastAsia="Times New Roman" w:hAnsi="Arial" w:cs="Arial"/>
          <w:sz w:val="21"/>
          <w:szCs w:val="21"/>
          <w:lang w:val="pl-PL" w:eastAsia="pl-PL"/>
        </w:rPr>
        <w:t xml:space="preserve">Zamawiający wymaga, aby materiały i środki chemiczne posiadały atesty PZH lub równoważne. </w:t>
      </w:r>
      <w:r w:rsidRPr="009F1071">
        <w:rPr>
          <w:rFonts w:ascii="Arial" w:hAnsi="Arial" w:cs="Arial"/>
          <w:sz w:val="21"/>
          <w:szCs w:val="21"/>
          <w:lang w:val="pl-PL"/>
        </w:rPr>
        <w:t xml:space="preserve">Informujemy, iż z dniem 01.01.2003r. ustała prawnie obowiązująca konieczność uzyskiwania. atestów PZH, w związku z tym prosimy o zrezygnowanie z tego wymogu. Podstawą prawną jest ustawa z dnia 30 sierpnia 2002 r. o systemie oceny zgodności z późniejszymi zmianami (tekst jednolity Dz. U. z 2017 r. poz. 1226), znosząca rozporządzenie Prezydenta Rzeczpospolitej z dnia 22.03.1928, które było podstawą prawną procedury rejestracji przedmiotów użytku w PZH. </w:t>
      </w:r>
    </w:p>
    <w:p w:rsidR="009F1071" w:rsidRPr="009F1071" w:rsidRDefault="009F1071" w:rsidP="009F107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pl-PL" w:eastAsia="pl-PL"/>
        </w:rPr>
      </w:pPr>
      <w:r w:rsidRPr="009F1071">
        <w:rPr>
          <w:rFonts w:ascii="Arial" w:eastAsia="Times New Roman" w:hAnsi="Arial" w:cs="Arial"/>
          <w:sz w:val="21"/>
          <w:szCs w:val="21"/>
          <w:lang w:val="pl-PL" w:eastAsia="pl-PL"/>
        </w:rPr>
        <w:t xml:space="preserve">Jednocześnie pragniemy zaznaczyć, że na dzień dzisiejszy dokumentami  dopuszczającymi, w zależności od rodzaju środka, są: </w:t>
      </w:r>
    </w:p>
    <w:p w:rsidR="009F1071" w:rsidRPr="009F1071" w:rsidRDefault="009F1071" w:rsidP="009F1071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9F1071">
        <w:rPr>
          <w:rFonts w:ascii="Arial" w:hAnsi="Arial" w:cs="Arial"/>
          <w:sz w:val="21"/>
          <w:szCs w:val="21"/>
          <w:lang w:val="pl-PL"/>
        </w:rPr>
        <w:t xml:space="preserve">dla środków myjących, czyszczących, konserwujących posiadających w swym składzie substancje niebezpieczne- karty charakterystyki, </w:t>
      </w:r>
    </w:p>
    <w:p w:rsidR="009F1071" w:rsidRPr="009F1071" w:rsidRDefault="009F1071" w:rsidP="009F1071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9F1071">
        <w:rPr>
          <w:rFonts w:ascii="Arial" w:hAnsi="Arial" w:cs="Arial"/>
          <w:sz w:val="21"/>
          <w:szCs w:val="21"/>
          <w:lang w:val="pl-PL"/>
        </w:rPr>
        <w:t xml:space="preserve">dla preparatów dezynfekcyjnych będących wyrobami medycznymi -deklaracje zgodności                        i certyfikat CE, </w:t>
      </w:r>
    </w:p>
    <w:p w:rsidR="009F1071" w:rsidRPr="009F1071" w:rsidRDefault="009F1071" w:rsidP="009F1071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9F1071">
        <w:rPr>
          <w:rFonts w:ascii="Arial" w:hAnsi="Arial" w:cs="Arial"/>
          <w:sz w:val="21"/>
          <w:szCs w:val="21"/>
          <w:lang w:val="pl-PL"/>
        </w:rPr>
        <w:t xml:space="preserve">dla preparatów dezynfekcyjnych będących produktami biobójczymi – pozwolenie obrót produktami  biobójczymi </w:t>
      </w:r>
    </w:p>
    <w:p w:rsidR="009F1071" w:rsidRPr="009F1071" w:rsidRDefault="009F1071" w:rsidP="009F1071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9F1071">
        <w:rPr>
          <w:rFonts w:ascii="Arial" w:hAnsi="Arial" w:cs="Arial"/>
          <w:sz w:val="21"/>
          <w:szCs w:val="21"/>
          <w:lang w:val="pl-PL"/>
        </w:rPr>
        <w:t>dla preparatów dezynfekcyjnych będących produktami leczniczymi - pozwolenie na dopuszczenie do obrotu produktu leczniczego</w:t>
      </w:r>
    </w:p>
    <w:p w:rsidR="009F1071" w:rsidRPr="009F1071" w:rsidRDefault="009F1071" w:rsidP="009F1071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9F1071">
        <w:rPr>
          <w:rFonts w:ascii="Arial" w:hAnsi="Arial" w:cs="Arial"/>
          <w:sz w:val="21"/>
          <w:szCs w:val="21"/>
          <w:lang w:val="pl-PL"/>
        </w:rPr>
        <w:lastRenderedPageBreak/>
        <w:t xml:space="preserve">dla kosmetyków – zgłoszenie do CPNP (internetowy Portal Zgłaszania Produktów Kosmetycznych) </w:t>
      </w:r>
    </w:p>
    <w:p w:rsidR="009F1071" w:rsidRPr="009F1071" w:rsidRDefault="009F1071" w:rsidP="009F1071">
      <w:pPr>
        <w:pStyle w:val="Akapitzlist"/>
        <w:numPr>
          <w:ilvl w:val="0"/>
          <w:numId w:val="13"/>
        </w:numPr>
        <w:suppressAutoHyphens/>
        <w:spacing w:after="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9F1071">
        <w:rPr>
          <w:rFonts w:ascii="Arial" w:hAnsi="Arial" w:cs="Arial"/>
          <w:sz w:val="21"/>
          <w:szCs w:val="21"/>
          <w:lang w:val="pl-PL"/>
        </w:rPr>
        <w:t>dla materiałów higienicznych  (papier toaletowy, ręczniki papierowe, worki na śmieci itp.), zgodnie z obowiązującymi przepisami,  nie są wymagane dodatkowe atesty, produkty te posiadają ulotki/karty informacyjne</w:t>
      </w:r>
    </w:p>
    <w:p w:rsidR="002C0384" w:rsidRPr="003E16B0" w:rsidRDefault="009F1071" w:rsidP="009F1071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val="pl-PL" w:eastAsia="pl-PL"/>
        </w:rPr>
      </w:pPr>
      <w:r w:rsidRPr="009F1071">
        <w:rPr>
          <w:rFonts w:ascii="Arial" w:eastAsia="Times New Roman" w:hAnsi="Arial" w:cs="Arial"/>
          <w:sz w:val="21"/>
          <w:szCs w:val="21"/>
          <w:lang w:val="pl-PL" w:eastAsia="pl-PL"/>
        </w:rPr>
        <w:t>W związku z powyższym, czy Zamawiający dopuszcza wymienione dokumenty, jako równoważne, w miejsca atestów  PZH?</w:t>
      </w:r>
    </w:p>
    <w:p w:rsidR="009F1071" w:rsidRPr="003E16B0" w:rsidRDefault="009F1071" w:rsidP="003E16B0">
      <w:pPr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val="pl-PL"/>
        </w:rPr>
      </w:pPr>
      <w:r w:rsidRPr="0040719D">
        <w:rPr>
          <w:rFonts w:ascii="Arial" w:hAnsi="Arial" w:cs="Arial"/>
          <w:b/>
          <w:bCs/>
          <w:sz w:val="21"/>
          <w:szCs w:val="21"/>
          <w:u w:val="single"/>
          <w:lang w:val="pl-PL"/>
        </w:rPr>
        <w:t>Odpowiedź n</w:t>
      </w:r>
      <w:r>
        <w:rPr>
          <w:rFonts w:ascii="Arial" w:hAnsi="Arial" w:cs="Arial"/>
          <w:b/>
          <w:bCs/>
          <w:sz w:val="21"/>
          <w:szCs w:val="21"/>
          <w:u w:val="single"/>
          <w:lang w:val="pl-PL"/>
        </w:rPr>
        <w:t>a pytanie nr 13</w:t>
      </w:r>
      <w:r w:rsidRPr="0040719D">
        <w:rPr>
          <w:rFonts w:ascii="Arial" w:hAnsi="Arial" w:cs="Arial"/>
          <w:b/>
          <w:bCs/>
          <w:sz w:val="21"/>
          <w:szCs w:val="21"/>
          <w:u w:val="single"/>
          <w:lang w:val="pl-PL"/>
        </w:rPr>
        <w:t>:</w:t>
      </w:r>
    </w:p>
    <w:p w:rsidR="003E16B0" w:rsidRPr="003E16B0" w:rsidRDefault="003E16B0" w:rsidP="003E16B0">
      <w:pPr>
        <w:pStyle w:val="Akapitzlist"/>
        <w:spacing w:after="0" w:line="276" w:lineRule="auto"/>
        <w:ind w:left="0"/>
        <w:jc w:val="both"/>
        <w:rPr>
          <w:rFonts w:ascii="Arial" w:eastAsia="Times New Roman" w:hAnsi="Arial" w:cs="Arial"/>
          <w:b/>
          <w:sz w:val="22"/>
          <w:szCs w:val="22"/>
          <w:u w:val="single"/>
          <w:lang w:val="pl-PL" w:eastAsia="pl-PL"/>
        </w:rPr>
      </w:pPr>
      <w:r w:rsidRPr="003E16B0">
        <w:rPr>
          <w:rFonts w:ascii="Arial" w:hAnsi="Arial" w:cs="Arial"/>
          <w:sz w:val="22"/>
          <w:szCs w:val="22"/>
          <w:lang w:val="pl-PL" w:eastAsia="pl-PL"/>
        </w:rPr>
        <w:t>Zamawiający w miejsce atestu PZH uzna dokumenty równoważne dopuszczające wyroby do obrotu i użytkowania tj. certyfikaty CE, deklaracje zgodności, wpis do rejestru wyrobów itp.</w:t>
      </w:r>
    </w:p>
    <w:p w:rsidR="00A74659" w:rsidRPr="003E16B0" w:rsidRDefault="00A74659" w:rsidP="009F1071">
      <w:pPr>
        <w:spacing w:after="0" w:line="276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B7518E" w:rsidRPr="0040719D" w:rsidRDefault="00B7518E" w:rsidP="009F1071">
      <w:pPr>
        <w:spacing w:after="0" w:line="276" w:lineRule="auto"/>
        <w:jc w:val="both"/>
        <w:rPr>
          <w:rFonts w:ascii="Arial" w:hAnsi="Arial" w:cs="Arial"/>
          <w:bCs/>
          <w:sz w:val="21"/>
          <w:szCs w:val="21"/>
          <w:lang w:val="pl-PL"/>
        </w:rPr>
      </w:pPr>
    </w:p>
    <w:p w:rsidR="00EF0567" w:rsidRPr="0040719D" w:rsidRDefault="00EF0567" w:rsidP="009F1071">
      <w:pPr>
        <w:pStyle w:val="Default"/>
        <w:spacing w:line="276" w:lineRule="auto"/>
        <w:jc w:val="both"/>
        <w:rPr>
          <w:rFonts w:ascii="Arial" w:eastAsia="Times New Roman" w:hAnsi="Arial" w:cs="Arial"/>
          <w:color w:val="auto"/>
          <w:sz w:val="21"/>
          <w:szCs w:val="21"/>
          <w:shd w:val="clear" w:color="auto" w:fill="FFFFFF"/>
          <w:lang w:eastAsia="pl-PL"/>
        </w:rPr>
      </w:pPr>
      <w:r w:rsidRPr="0040719D">
        <w:rPr>
          <w:rFonts w:ascii="Arial" w:eastAsia="Times New Roman" w:hAnsi="Arial" w:cs="Arial"/>
          <w:color w:val="auto"/>
          <w:sz w:val="21"/>
          <w:szCs w:val="21"/>
          <w:shd w:val="clear" w:color="auto" w:fill="FFFFFF"/>
          <w:lang w:eastAsia="pl-PL"/>
        </w:rPr>
        <w:tab/>
        <w:t>W związku z odpowiedziami na pytania działając na podstawie art. 286 ust. 1 ustawy Pzp Zamawiający dokonuje zmiany treści SWZ w następującym zakresie:</w:t>
      </w:r>
    </w:p>
    <w:p w:rsidR="00EF0567" w:rsidRPr="0040719D" w:rsidRDefault="00EA30CD" w:rsidP="009F107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Cs/>
          <w:sz w:val="21"/>
          <w:szCs w:val="21"/>
          <w:u w:val="single"/>
          <w:lang w:val="pl-PL"/>
        </w:rPr>
      </w:pPr>
      <w:r w:rsidRPr="0040719D">
        <w:rPr>
          <w:rFonts w:ascii="Arial" w:eastAsiaTheme="minorHAnsi" w:hAnsi="Arial" w:cs="Arial"/>
          <w:bCs/>
          <w:color w:val="000000"/>
          <w:sz w:val="21"/>
          <w:szCs w:val="21"/>
          <w:lang w:val="pl-PL" w:eastAsia="en-US"/>
        </w:rPr>
        <w:t>ust.</w:t>
      </w:r>
      <w:r w:rsidR="00EF0567" w:rsidRPr="0040719D">
        <w:rPr>
          <w:rFonts w:ascii="Arial" w:eastAsiaTheme="minorHAnsi" w:hAnsi="Arial" w:cs="Arial"/>
          <w:bCs/>
          <w:color w:val="000000"/>
          <w:sz w:val="21"/>
          <w:szCs w:val="21"/>
          <w:lang w:val="pl-PL" w:eastAsia="en-US"/>
        </w:rPr>
        <w:t xml:space="preserve"> 6 </w:t>
      </w:r>
      <w:r w:rsidR="00EF0567" w:rsidRPr="0040719D">
        <w:rPr>
          <w:rFonts w:ascii="Arial" w:hAnsi="Arial" w:cs="Arial"/>
          <w:sz w:val="21"/>
          <w:szCs w:val="21"/>
          <w:lang w:val="pl-PL"/>
        </w:rPr>
        <w:t>rozdziału XXI SWZ otrzymuje treść:</w:t>
      </w:r>
      <w:r w:rsidR="00EF0567" w:rsidRPr="0040719D">
        <w:rPr>
          <w:rFonts w:ascii="Arial" w:eastAsiaTheme="minorHAnsi" w:hAnsi="Arial" w:cs="Arial"/>
          <w:bCs/>
          <w:color w:val="000000"/>
          <w:sz w:val="21"/>
          <w:szCs w:val="21"/>
          <w:lang w:val="pl-PL" w:eastAsia="en-US"/>
        </w:rPr>
        <w:t xml:space="preserve"> </w:t>
      </w:r>
    </w:p>
    <w:p w:rsidR="00EF0567" w:rsidRPr="0040719D" w:rsidRDefault="00EF0567" w:rsidP="009F1071">
      <w:pPr>
        <w:pStyle w:val="Akapitzlist"/>
        <w:spacing w:after="0" w:line="276" w:lineRule="auto"/>
        <w:ind w:left="360"/>
        <w:jc w:val="both"/>
        <w:rPr>
          <w:rFonts w:ascii="Arial" w:hAnsi="Arial" w:cs="Arial"/>
          <w:bCs/>
          <w:sz w:val="21"/>
          <w:szCs w:val="21"/>
          <w:u w:val="single"/>
          <w:lang w:val="pl-PL"/>
        </w:rPr>
      </w:pPr>
      <w:r w:rsidRPr="0040719D">
        <w:rPr>
          <w:rFonts w:ascii="Arial" w:eastAsiaTheme="minorHAnsi" w:hAnsi="Arial" w:cs="Arial"/>
          <w:bCs/>
          <w:color w:val="000000"/>
          <w:sz w:val="21"/>
          <w:szCs w:val="21"/>
          <w:lang w:val="pl-PL" w:eastAsia="en-US"/>
        </w:rPr>
        <w:t xml:space="preserve">„Zamawiający </w:t>
      </w:r>
      <w:r w:rsidRPr="0040719D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 xml:space="preserve">(zgodnie z treścią art. 453 ust.1 ustawy Pzp) dokona zwrotu zabezpieczenia na rzecz </w:t>
      </w:r>
      <w:r w:rsidRPr="0040719D">
        <w:rPr>
          <w:rFonts w:ascii="Arial" w:eastAsiaTheme="minorHAnsi" w:hAnsi="Arial" w:cs="Arial"/>
          <w:bCs/>
          <w:color w:val="000000"/>
          <w:sz w:val="21"/>
          <w:szCs w:val="21"/>
          <w:lang w:val="pl-PL" w:eastAsia="en-US"/>
        </w:rPr>
        <w:t>Wykonawcy</w:t>
      </w:r>
      <w:r w:rsidRPr="0040719D">
        <w:rPr>
          <w:rFonts w:ascii="Arial" w:eastAsiaTheme="minorHAnsi" w:hAnsi="Arial" w:cs="Arial"/>
          <w:color w:val="000000"/>
          <w:sz w:val="21"/>
          <w:szCs w:val="21"/>
          <w:lang w:val="pl-PL" w:eastAsia="en-US"/>
        </w:rPr>
        <w:t>, w terminie 30 dni kalendarzowych liczonych od dnia następującego po dniu zakończenia realizacji usługi, z zastrzeżeniem zapisów Umowy – załącznik nr 6 do SWZ.”.</w:t>
      </w:r>
    </w:p>
    <w:p w:rsidR="00216398" w:rsidRPr="0040719D" w:rsidRDefault="00EF0567" w:rsidP="009F107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1"/>
          <w:szCs w:val="21"/>
        </w:rPr>
      </w:pPr>
      <w:r w:rsidRPr="0040719D">
        <w:rPr>
          <w:rFonts w:ascii="Arial" w:hAnsi="Arial" w:cs="Arial"/>
          <w:color w:val="auto"/>
          <w:sz w:val="21"/>
          <w:szCs w:val="21"/>
        </w:rPr>
        <w:t>w załączniku nr 6 do SWZ – wzorze umowy w § 9 dodaje się ust. 8, o następującej treści:</w:t>
      </w:r>
    </w:p>
    <w:p w:rsidR="00EF0567" w:rsidRPr="00A74659" w:rsidRDefault="00EF0567" w:rsidP="009F1071">
      <w:pPr>
        <w:pStyle w:val="Default"/>
        <w:ind w:left="360"/>
        <w:jc w:val="both"/>
        <w:rPr>
          <w:rFonts w:ascii="Arial" w:hAnsi="Arial" w:cs="Arial"/>
          <w:sz w:val="21"/>
          <w:szCs w:val="21"/>
        </w:rPr>
      </w:pPr>
      <w:r w:rsidRPr="0040719D">
        <w:rPr>
          <w:rFonts w:ascii="Arial" w:hAnsi="Arial" w:cs="Arial"/>
          <w:bCs/>
          <w:sz w:val="21"/>
          <w:szCs w:val="21"/>
        </w:rPr>
        <w:t>„8. Łączna wartość zmian wynagrodzenia dokonanych na podstawie zapisów ust. 1 pkt 3 niniejszej umowy nie może przekroczyć 20% wynagrodzenia</w:t>
      </w:r>
      <w:r w:rsidRPr="00A74659">
        <w:rPr>
          <w:rFonts w:ascii="Arial" w:hAnsi="Arial" w:cs="Arial"/>
          <w:bCs/>
          <w:sz w:val="21"/>
          <w:szCs w:val="21"/>
        </w:rPr>
        <w:t xml:space="preserve"> całkowite</w:t>
      </w:r>
      <w:r w:rsidRPr="0040719D">
        <w:rPr>
          <w:rFonts w:ascii="Arial" w:hAnsi="Arial" w:cs="Arial"/>
          <w:bCs/>
          <w:sz w:val="21"/>
          <w:szCs w:val="21"/>
        </w:rPr>
        <w:t>go brutto, o którym mowa w § 6 ust. 1 niniejszej umowy.”</w:t>
      </w:r>
      <w:r w:rsidR="0033547D" w:rsidRPr="0040719D">
        <w:rPr>
          <w:rFonts w:ascii="Arial" w:hAnsi="Arial" w:cs="Arial"/>
          <w:bCs/>
          <w:sz w:val="21"/>
          <w:szCs w:val="21"/>
        </w:rPr>
        <w:t xml:space="preserve"> – zgodnie z </w:t>
      </w:r>
      <w:r w:rsidRPr="0040719D">
        <w:rPr>
          <w:rFonts w:ascii="Arial" w:hAnsi="Arial" w:cs="Arial"/>
          <w:bCs/>
          <w:sz w:val="21"/>
          <w:szCs w:val="21"/>
        </w:rPr>
        <w:t xml:space="preserve"> </w:t>
      </w:r>
      <w:r w:rsidR="0033547D" w:rsidRPr="0040719D">
        <w:rPr>
          <w:rFonts w:ascii="Arial" w:hAnsi="Arial" w:cs="Arial"/>
          <w:sz w:val="21"/>
          <w:szCs w:val="21"/>
        </w:rPr>
        <w:t>załącznikiem nr 1 do niniejszych wyjaśnień</w:t>
      </w:r>
      <w:r w:rsidR="00EA30CD" w:rsidRPr="0040719D">
        <w:rPr>
          <w:rFonts w:ascii="Arial" w:hAnsi="Arial" w:cs="Arial"/>
          <w:sz w:val="21"/>
          <w:szCs w:val="21"/>
        </w:rPr>
        <w:t xml:space="preserve"> i zmiany</w:t>
      </w:r>
      <w:r w:rsidR="0033547D" w:rsidRPr="0040719D">
        <w:rPr>
          <w:rFonts w:ascii="Arial" w:hAnsi="Arial" w:cs="Arial"/>
          <w:sz w:val="21"/>
          <w:szCs w:val="21"/>
        </w:rPr>
        <w:t xml:space="preserve"> treści SWZ (Załącznik nr 6 do SWZ - Wzór umowy aktualizacja). </w:t>
      </w:r>
    </w:p>
    <w:p w:rsidR="00216398" w:rsidRDefault="00216398" w:rsidP="009F1071">
      <w:pPr>
        <w:spacing w:after="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B7518E" w:rsidRPr="0040719D" w:rsidRDefault="00B7518E" w:rsidP="009F1071">
      <w:pPr>
        <w:spacing w:after="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:rsidR="000619C0" w:rsidRPr="0040719D" w:rsidRDefault="000619C0" w:rsidP="009F1071">
      <w:pPr>
        <w:spacing w:after="0" w:line="276" w:lineRule="auto"/>
        <w:ind w:firstLine="708"/>
        <w:jc w:val="both"/>
        <w:rPr>
          <w:rFonts w:ascii="Arial" w:hAnsi="Arial" w:cs="Arial"/>
          <w:sz w:val="21"/>
          <w:szCs w:val="21"/>
          <w:lang w:val="pl-PL"/>
        </w:rPr>
      </w:pPr>
      <w:r w:rsidRPr="0040719D">
        <w:rPr>
          <w:rFonts w:ascii="Arial" w:hAnsi="Arial" w:cs="Arial"/>
          <w:sz w:val="21"/>
          <w:szCs w:val="21"/>
          <w:lang w:val="pl-PL"/>
        </w:rPr>
        <w:t>Powyższe wyjaśnienia i zmiany są integralną częścią SWZ i są wią</w:t>
      </w:r>
      <w:r w:rsidR="00B7518E">
        <w:rPr>
          <w:rFonts w:ascii="Arial" w:hAnsi="Arial" w:cs="Arial"/>
          <w:sz w:val="21"/>
          <w:szCs w:val="21"/>
          <w:lang w:val="pl-PL"/>
        </w:rPr>
        <w:t xml:space="preserve">żące dla wszystkich Wykonawców. </w:t>
      </w:r>
      <w:r w:rsidRPr="0040719D">
        <w:rPr>
          <w:rFonts w:ascii="Arial" w:hAnsi="Arial" w:cs="Arial"/>
          <w:sz w:val="21"/>
          <w:szCs w:val="21"/>
          <w:lang w:val="pl-PL"/>
        </w:rPr>
        <w:t>Tym samym, Wykonawcy są zobowiązani u</w:t>
      </w:r>
      <w:r w:rsidR="00507B5E" w:rsidRPr="0040719D">
        <w:rPr>
          <w:rFonts w:ascii="Arial" w:hAnsi="Arial" w:cs="Arial"/>
          <w:sz w:val="21"/>
          <w:szCs w:val="21"/>
          <w:lang w:val="pl-PL"/>
        </w:rPr>
        <w:t>względnić je, składając oferty</w:t>
      </w:r>
      <w:r w:rsidR="00507B5E" w:rsidRPr="0040719D">
        <w:rPr>
          <w:rFonts w:ascii="Arial" w:hAnsi="Arial" w:cs="Arial"/>
          <w:sz w:val="21"/>
          <w:szCs w:val="21"/>
          <w:lang w:val="pl-PL"/>
        </w:rPr>
        <w:br/>
        <w:t>w</w:t>
      </w:r>
      <w:r w:rsidRPr="0040719D">
        <w:rPr>
          <w:rFonts w:ascii="Arial" w:hAnsi="Arial" w:cs="Arial"/>
          <w:sz w:val="21"/>
          <w:szCs w:val="21"/>
          <w:lang w:val="pl-PL"/>
        </w:rPr>
        <w:t xml:space="preserve"> postępowaniu o udzielenie zamówienia publicznego na wykonanie w/w zadania. </w:t>
      </w:r>
    </w:p>
    <w:p w:rsidR="0033547D" w:rsidRDefault="0033547D" w:rsidP="009F107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0719D" w:rsidRDefault="0040719D" w:rsidP="003354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0719D" w:rsidRDefault="0040719D" w:rsidP="003354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0719D" w:rsidRDefault="0040719D" w:rsidP="003354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0719D" w:rsidRDefault="0040719D" w:rsidP="003354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0719D" w:rsidRDefault="0040719D" w:rsidP="003354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0719D" w:rsidRDefault="0040719D" w:rsidP="003354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0719D" w:rsidRDefault="0040719D" w:rsidP="003354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0719D" w:rsidRDefault="0040719D" w:rsidP="003354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0719D" w:rsidRDefault="0040719D" w:rsidP="003354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0719D" w:rsidRDefault="0040719D" w:rsidP="003354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0719D" w:rsidRPr="0033547D" w:rsidRDefault="0040719D" w:rsidP="0033547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BD2DD0" w:rsidRPr="0033547D" w:rsidRDefault="00BD2DD0" w:rsidP="00BD2DD0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18"/>
          <w:szCs w:val="18"/>
          <w:u w:val="single"/>
          <w:lang w:val="pl-PL"/>
        </w:rPr>
      </w:pPr>
      <w:r w:rsidRPr="0033547D">
        <w:rPr>
          <w:rFonts w:ascii="Arial" w:hAnsi="Arial" w:cs="Arial"/>
          <w:b/>
          <w:sz w:val="18"/>
          <w:szCs w:val="18"/>
          <w:u w:val="single"/>
          <w:lang w:val="pl-PL"/>
        </w:rPr>
        <w:t>Załączniki:</w:t>
      </w:r>
    </w:p>
    <w:p w:rsidR="00BD2DD0" w:rsidRPr="0033547D" w:rsidRDefault="00BD2DD0" w:rsidP="00BD2DD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33547D">
        <w:rPr>
          <w:rFonts w:ascii="Arial" w:hAnsi="Arial" w:cs="Arial"/>
          <w:sz w:val="18"/>
          <w:szCs w:val="18"/>
          <w:lang w:val="pl-PL"/>
        </w:rPr>
        <w:t xml:space="preserve">Załącznik nr 6 do SWZ - </w:t>
      </w:r>
      <w:r w:rsidR="00CD6699" w:rsidRPr="0033547D">
        <w:rPr>
          <w:rFonts w:ascii="Arial" w:hAnsi="Arial" w:cs="Arial"/>
          <w:sz w:val="18"/>
          <w:szCs w:val="18"/>
          <w:lang w:val="pl-PL"/>
        </w:rPr>
        <w:t xml:space="preserve">Wzór umowy aktualizacja </w:t>
      </w:r>
      <w:r w:rsidR="0033547D" w:rsidRPr="0033547D">
        <w:rPr>
          <w:rFonts w:ascii="Arial" w:hAnsi="Arial" w:cs="Arial"/>
          <w:sz w:val="18"/>
          <w:szCs w:val="18"/>
          <w:lang w:val="pl-PL"/>
        </w:rPr>
        <w:t xml:space="preserve">- załącznik nr 1 do niniejszych </w:t>
      </w:r>
      <w:r w:rsidRPr="0033547D">
        <w:rPr>
          <w:rFonts w:ascii="Arial" w:hAnsi="Arial" w:cs="Arial"/>
          <w:sz w:val="18"/>
          <w:szCs w:val="18"/>
          <w:lang w:val="pl-PL"/>
        </w:rPr>
        <w:t>wyjaśnień</w:t>
      </w:r>
      <w:r w:rsidR="00EA30CD">
        <w:rPr>
          <w:rFonts w:ascii="Arial" w:hAnsi="Arial" w:cs="Arial"/>
          <w:sz w:val="18"/>
          <w:szCs w:val="18"/>
          <w:lang w:val="pl-PL"/>
        </w:rPr>
        <w:t xml:space="preserve"> i zmiany</w:t>
      </w:r>
      <w:r w:rsidRPr="0033547D">
        <w:rPr>
          <w:rFonts w:ascii="Arial" w:hAnsi="Arial" w:cs="Arial"/>
          <w:sz w:val="18"/>
          <w:szCs w:val="18"/>
          <w:lang w:val="pl-PL"/>
        </w:rPr>
        <w:t xml:space="preserve"> treści SWZ.</w:t>
      </w:r>
    </w:p>
    <w:sectPr w:rsidR="00BD2DD0" w:rsidRPr="0033547D" w:rsidSect="0033547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70C" w:rsidRDefault="0021770C" w:rsidP="00C3046A">
      <w:pPr>
        <w:spacing w:after="0" w:line="240" w:lineRule="auto"/>
      </w:pPr>
      <w:r>
        <w:separator/>
      </w:r>
    </w:p>
  </w:endnote>
  <w:endnote w:type="continuationSeparator" w:id="0">
    <w:p w:rsidR="0021770C" w:rsidRDefault="0021770C" w:rsidP="00C3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70C" w:rsidRDefault="0021770C" w:rsidP="00C3046A">
      <w:pPr>
        <w:spacing w:after="0" w:line="240" w:lineRule="auto"/>
      </w:pPr>
      <w:r>
        <w:separator/>
      </w:r>
    </w:p>
  </w:footnote>
  <w:footnote w:type="continuationSeparator" w:id="0">
    <w:p w:rsidR="0021770C" w:rsidRDefault="0021770C" w:rsidP="00C30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D876E90"/>
    <w:multiLevelType w:val="hybridMultilevel"/>
    <w:tmpl w:val="D90E8B56"/>
    <w:lvl w:ilvl="0" w:tplc="B2E44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13F5"/>
    <w:multiLevelType w:val="hybridMultilevel"/>
    <w:tmpl w:val="805261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962EB"/>
    <w:multiLevelType w:val="hybridMultilevel"/>
    <w:tmpl w:val="1DFEDF5A"/>
    <w:lvl w:ilvl="0" w:tplc="0415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4" w15:restartNumberingAfterBreak="0">
    <w:nsid w:val="2DA37539"/>
    <w:multiLevelType w:val="hybridMultilevel"/>
    <w:tmpl w:val="0DD64028"/>
    <w:lvl w:ilvl="0" w:tplc="956CD5A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615F87"/>
    <w:multiLevelType w:val="hybridMultilevel"/>
    <w:tmpl w:val="0AF83C82"/>
    <w:lvl w:ilvl="0" w:tplc="CF86F56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E24BF"/>
    <w:multiLevelType w:val="hybridMultilevel"/>
    <w:tmpl w:val="BD284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A65E7"/>
    <w:multiLevelType w:val="hybridMultilevel"/>
    <w:tmpl w:val="2FDEBCA6"/>
    <w:lvl w:ilvl="0" w:tplc="157A3F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D454B6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6686717F"/>
    <w:multiLevelType w:val="hybridMultilevel"/>
    <w:tmpl w:val="552019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0D1396"/>
    <w:multiLevelType w:val="hybridMultilevel"/>
    <w:tmpl w:val="F90A9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2B817A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2" w:tplc="B426BB1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B6CE0"/>
    <w:multiLevelType w:val="hybridMultilevel"/>
    <w:tmpl w:val="D6D44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B34FD1"/>
    <w:multiLevelType w:val="hybridMultilevel"/>
    <w:tmpl w:val="976EF21E"/>
    <w:lvl w:ilvl="0" w:tplc="EC643C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B817AA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2" w:tplc="B426BB18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90"/>
    <w:rsid w:val="00021AB2"/>
    <w:rsid w:val="0005393C"/>
    <w:rsid w:val="000619C0"/>
    <w:rsid w:val="000765B4"/>
    <w:rsid w:val="000C5C57"/>
    <w:rsid w:val="000F198F"/>
    <w:rsid w:val="0010766E"/>
    <w:rsid w:val="00113E86"/>
    <w:rsid w:val="001A4C12"/>
    <w:rsid w:val="001F46D2"/>
    <w:rsid w:val="00216398"/>
    <w:rsid w:val="0021770C"/>
    <w:rsid w:val="00220690"/>
    <w:rsid w:val="00223741"/>
    <w:rsid w:val="00284DA4"/>
    <w:rsid w:val="002A3E13"/>
    <w:rsid w:val="002B08D3"/>
    <w:rsid w:val="002C0384"/>
    <w:rsid w:val="0033547D"/>
    <w:rsid w:val="00345336"/>
    <w:rsid w:val="0039068E"/>
    <w:rsid w:val="003917E9"/>
    <w:rsid w:val="003C5EA7"/>
    <w:rsid w:val="003E16B0"/>
    <w:rsid w:val="003F32BA"/>
    <w:rsid w:val="0040719D"/>
    <w:rsid w:val="00446618"/>
    <w:rsid w:val="004551E7"/>
    <w:rsid w:val="004B2124"/>
    <w:rsid w:val="0050701A"/>
    <w:rsid w:val="00507B5E"/>
    <w:rsid w:val="00514601"/>
    <w:rsid w:val="00541E47"/>
    <w:rsid w:val="00561F7D"/>
    <w:rsid w:val="00580B5D"/>
    <w:rsid w:val="005B4B16"/>
    <w:rsid w:val="005E6096"/>
    <w:rsid w:val="0062420C"/>
    <w:rsid w:val="006437AE"/>
    <w:rsid w:val="00652F39"/>
    <w:rsid w:val="00654C2A"/>
    <w:rsid w:val="00670910"/>
    <w:rsid w:val="00673BEE"/>
    <w:rsid w:val="00690124"/>
    <w:rsid w:val="006B075C"/>
    <w:rsid w:val="006F334F"/>
    <w:rsid w:val="0073417C"/>
    <w:rsid w:val="00791FD0"/>
    <w:rsid w:val="007A687C"/>
    <w:rsid w:val="0085592E"/>
    <w:rsid w:val="00886134"/>
    <w:rsid w:val="008A0651"/>
    <w:rsid w:val="008B4464"/>
    <w:rsid w:val="008B70B6"/>
    <w:rsid w:val="008F1445"/>
    <w:rsid w:val="009C41F8"/>
    <w:rsid w:val="009F1071"/>
    <w:rsid w:val="00A71F3A"/>
    <w:rsid w:val="00A74659"/>
    <w:rsid w:val="00A75394"/>
    <w:rsid w:val="00A75EF7"/>
    <w:rsid w:val="00AE26EB"/>
    <w:rsid w:val="00AE6C13"/>
    <w:rsid w:val="00B30D80"/>
    <w:rsid w:val="00B61CD4"/>
    <w:rsid w:val="00B67571"/>
    <w:rsid w:val="00B7518E"/>
    <w:rsid w:val="00BA67C3"/>
    <w:rsid w:val="00BD2DD0"/>
    <w:rsid w:val="00C06E51"/>
    <w:rsid w:val="00C13614"/>
    <w:rsid w:val="00C3046A"/>
    <w:rsid w:val="00C41E3C"/>
    <w:rsid w:val="00C70290"/>
    <w:rsid w:val="00CB09E1"/>
    <w:rsid w:val="00CD5137"/>
    <w:rsid w:val="00CD6699"/>
    <w:rsid w:val="00D250B2"/>
    <w:rsid w:val="00DD7D5F"/>
    <w:rsid w:val="00DE5EE7"/>
    <w:rsid w:val="00E1246B"/>
    <w:rsid w:val="00E55D9F"/>
    <w:rsid w:val="00E863EC"/>
    <w:rsid w:val="00EA30CD"/>
    <w:rsid w:val="00EA6A42"/>
    <w:rsid w:val="00ED54B2"/>
    <w:rsid w:val="00EF0567"/>
    <w:rsid w:val="00F20AB3"/>
    <w:rsid w:val="00F61E44"/>
    <w:rsid w:val="00FA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13A7B7-85BF-4271-A015-D01B41A5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90"/>
    <w:pPr>
      <w:spacing w:after="160" w:line="256" w:lineRule="auto"/>
    </w:pPr>
    <w:rPr>
      <w:rFonts w:eastAsiaTheme="minorEastAsia"/>
      <w:sz w:val="20"/>
      <w:szCs w:val="20"/>
      <w:lang w:val="en-US" w:eastAsia="zh-CN"/>
    </w:rPr>
  </w:style>
  <w:style w:type="paragraph" w:styleId="Nagwek3">
    <w:name w:val="heading 3"/>
    <w:basedOn w:val="Normalny"/>
    <w:link w:val="Nagwek3Znak"/>
    <w:uiPriority w:val="9"/>
    <w:qFormat/>
    <w:rsid w:val="00407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A6A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5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C57"/>
    <w:rPr>
      <w:rFonts w:ascii="Tahoma" w:eastAsiaTheme="minorEastAsia" w:hAnsi="Tahoma" w:cs="Tahoma"/>
      <w:sz w:val="16"/>
      <w:szCs w:val="16"/>
      <w:lang w:val="en-US" w:eastAsia="zh-CN"/>
    </w:rPr>
  </w:style>
  <w:style w:type="paragraph" w:styleId="Nagwek">
    <w:name w:val="header"/>
    <w:basedOn w:val="Normalny"/>
    <w:link w:val="NagwekZnak"/>
    <w:uiPriority w:val="99"/>
    <w:unhideWhenUsed/>
    <w:rsid w:val="00C3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46A"/>
    <w:rPr>
      <w:rFonts w:eastAsiaTheme="minorEastAsia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C3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46A"/>
    <w:rPr>
      <w:rFonts w:eastAsiaTheme="minorEastAsia"/>
      <w:sz w:val="20"/>
      <w:szCs w:val="20"/>
      <w:lang w:val="en-US" w:eastAsia="zh-CN"/>
    </w:rPr>
  </w:style>
  <w:style w:type="paragraph" w:customStyle="1" w:styleId="Default">
    <w:name w:val="Default"/>
    <w:rsid w:val="00DE5E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0619C0"/>
    <w:rPr>
      <w:rFonts w:eastAsiaTheme="minorEastAsia"/>
      <w:sz w:val="20"/>
      <w:szCs w:val="20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4071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star-inserted">
    <w:name w:val="ng-star-inserted"/>
    <w:basedOn w:val="Domylnaczcionkaakapitu"/>
    <w:rsid w:val="0040719D"/>
  </w:style>
  <w:style w:type="character" w:styleId="Hipercze">
    <w:name w:val="Hyperlink"/>
    <w:basedOn w:val="Domylnaczcionkaakapitu"/>
    <w:uiPriority w:val="99"/>
    <w:unhideWhenUsed/>
    <w:rsid w:val="00407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2577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Anna Biała</cp:lastModifiedBy>
  <cp:revision>2</cp:revision>
  <cp:lastPrinted>2021-11-22T10:05:00Z</cp:lastPrinted>
  <dcterms:created xsi:type="dcterms:W3CDTF">2021-11-23T11:45:00Z</dcterms:created>
  <dcterms:modified xsi:type="dcterms:W3CDTF">2021-11-23T11:45:00Z</dcterms:modified>
</cp:coreProperties>
</file>