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139D" w14:textId="6985CFAE" w:rsidR="00D4596C" w:rsidRPr="00800B63" w:rsidRDefault="00D4596C" w:rsidP="00800B63">
      <w:pPr>
        <w:autoSpaceDE w:val="0"/>
        <w:autoSpaceDN w:val="0"/>
        <w:adjustRightInd w:val="0"/>
        <w:spacing w:line="360" w:lineRule="auto"/>
        <w:ind w:firstLine="5"/>
        <w:jc w:val="right"/>
        <w:rPr>
          <w:rFonts w:ascii="Times New Roman" w:hAnsi="Times New Roman" w:cs="Times New Roman"/>
          <w:b/>
          <w:lang w:eastAsia="pl-PL"/>
        </w:rPr>
      </w:pPr>
      <w:r w:rsidRPr="00800B63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800B63" w:rsidRPr="00800B63">
        <w:rPr>
          <w:rFonts w:ascii="Times New Roman" w:hAnsi="Times New Roman" w:cs="Times New Roman"/>
          <w:b/>
          <w:lang w:eastAsia="pl-PL"/>
        </w:rPr>
        <w:t>1</w:t>
      </w:r>
      <w:r w:rsidRPr="00800B63">
        <w:rPr>
          <w:rFonts w:ascii="Times New Roman" w:hAnsi="Times New Roman" w:cs="Times New Roman"/>
          <w:b/>
          <w:lang w:eastAsia="pl-PL"/>
        </w:rPr>
        <w:t xml:space="preserve"> do SWZ</w:t>
      </w:r>
    </w:p>
    <w:p w14:paraId="7AB033B7" w14:textId="55A2149E" w:rsidR="00D4596C" w:rsidRPr="00800B63" w:rsidRDefault="00D4596C" w:rsidP="00800B63">
      <w:pPr>
        <w:autoSpaceDE w:val="0"/>
        <w:autoSpaceDN w:val="0"/>
        <w:adjustRightInd w:val="0"/>
        <w:spacing w:line="360" w:lineRule="auto"/>
        <w:ind w:firstLine="5"/>
        <w:jc w:val="right"/>
        <w:rPr>
          <w:rFonts w:ascii="Times New Roman" w:hAnsi="Times New Roman" w:cs="Times New Roman"/>
          <w:b/>
          <w:lang w:eastAsia="pl-PL"/>
        </w:rPr>
      </w:pPr>
      <w:r w:rsidRPr="00800B63">
        <w:rPr>
          <w:rFonts w:ascii="Times New Roman" w:hAnsi="Times New Roman" w:cs="Times New Roman"/>
          <w:b/>
          <w:lang w:eastAsia="pl-PL"/>
        </w:rPr>
        <w:t xml:space="preserve">Nr postępowania: </w:t>
      </w:r>
      <w:r w:rsidR="00642B7D" w:rsidRPr="00800B63">
        <w:rPr>
          <w:rFonts w:ascii="Times New Roman" w:hAnsi="Times New Roman" w:cs="Times New Roman"/>
          <w:b/>
          <w:lang w:eastAsia="pl-PL"/>
        </w:rPr>
        <w:t>3/2021/TP/DZP</w:t>
      </w:r>
      <w:r w:rsidRPr="00800B63">
        <w:rPr>
          <w:rFonts w:ascii="Times New Roman" w:hAnsi="Times New Roman" w:cs="Times New Roman"/>
          <w:b/>
          <w:lang w:eastAsia="pl-PL"/>
        </w:rPr>
        <w:t xml:space="preserve"> </w:t>
      </w:r>
    </w:p>
    <w:p w14:paraId="54BCF0D6" w14:textId="77777777" w:rsidR="00D4596C" w:rsidRPr="00800B63" w:rsidRDefault="00D4596C" w:rsidP="00800B63">
      <w:pPr>
        <w:spacing w:after="200" w:line="360" w:lineRule="auto"/>
        <w:rPr>
          <w:rFonts w:ascii="Times New Roman" w:eastAsia="Calibri" w:hAnsi="Times New Roman" w:cs="Times New Roman"/>
          <w:b/>
          <w:bCs/>
        </w:rPr>
      </w:pPr>
    </w:p>
    <w:p w14:paraId="1A6E3835" w14:textId="052E47FE" w:rsidR="00D4596C" w:rsidRPr="00800B63" w:rsidRDefault="00D4596C" w:rsidP="00800B6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0B63">
        <w:rPr>
          <w:rFonts w:ascii="Times New Roman" w:eastAsia="Calibri" w:hAnsi="Times New Roman" w:cs="Times New Roman"/>
          <w:b/>
          <w:bCs/>
        </w:rPr>
        <w:t>OPIS PRZEDMIOTU ZAMÓWIENIA</w:t>
      </w:r>
    </w:p>
    <w:p w14:paraId="5B8C7FC3" w14:textId="77777777" w:rsidR="00D4596C" w:rsidRPr="00800B63" w:rsidRDefault="00D4596C" w:rsidP="00800B6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16F01C1" w14:textId="5615657C" w:rsidR="00D4596C" w:rsidRPr="00800B63" w:rsidRDefault="00D4596C" w:rsidP="00800B63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800B63">
        <w:rPr>
          <w:rFonts w:ascii="Times New Roman" w:hAnsi="Times New Roman" w:cs="Times New Roman"/>
          <w:lang w:eastAsia="pl-PL"/>
        </w:rPr>
        <w:t>Przedmiotem zamówienia jest</w:t>
      </w:r>
      <w:r w:rsidR="007776BB" w:rsidRPr="00800B63">
        <w:rPr>
          <w:rFonts w:ascii="Times New Roman" w:hAnsi="Times New Roman" w:cs="Times New Roman"/>
          <w:lang w:eastAsia="pl-PL"/>
        </w:rPr>
        <w:t xml:space="preserve"> zakup dostępu do bazy danych </w:t>
      </w:r>
      <w:r w:rsidR="007776BB" w:rsidRPr="00800B63">
        <w:rPr>
          <w:rFonts w:ascii="Times New Roman" w:hAnsi="Times New Roman" w:cs="Times New Roman"/>
        </w:rPr>
        <w:t>ekonomiczno-finansowych</w:t>
      </w:r>
      <w:r w:rsidRPr="00800B63">
        <w:rPr>
          <w:rFonts w:ascii="Times New Roman" w:hAnsi="Times New Roman" w:cs="Times New Roman"/>
          <w:lang w:eastAsia="pl-PL"/>
        </w:rPr>
        <w:t xml:space="preserve"> w ramach projektu pt. „Uniwersytet Wielkich Możliwości – program podniesienia jakości zarządzania procesem kształcenia i jakości nauczania” realizowanego przez Uniwersytet Warmiński-Mazurski w Olsztynie na podstawie umowy nr POWR.03.05.00-00-Z201/18-00 z dn. 24.05.2019 r. z </w:t>
      </w:r>
      <w:proofErr w:type="spellStart"/>
      <w:r w:rsidRPr="00800B63">
        <w:rPr>
          <w:rFonts w:ascii="Times New Roman" w:hAnsi="Times New Roman" w:cs="Times New Roman"/>
          <w:lang w:eastAsia="pl-PL"/>
        </w:rPr>
        <w:t>NCBiR</w:t>
      </w:r>
      <w:proofErr w:type="spellEnd"/>
      <w:r w:rsidRPr="00800B63">
        <w:rPr>
          <w:rFonts w:ascii="Times New Roman" w:hAnsi="Times New Roman" w:cs="Times New Roman"/>
          <w:lang w:eastAsia="pl-PL"/>
        </w:rPr>
        <w:t>.</w:t>
      </w:r>
    </w:p>
    <w:p w14:paraId="128A1283" w14:textId="77777777" w:rsidR="00BC70FC" w:rsidRPr="00800B63" w:rsidRDefault="00BC70FC" w:rsidP="00800B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E5C584F" w14:textId="0C752AA6" w:rsidR="001D3212" w:rsidRPr="00800B63" w:rsidRDefault="00BC70FC" w:rsidP="00800B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 xml:space="preserve">Przedmiotem zamówienia jest zakup dostępu do bazy danych ekonomiczno-finansowych </w:t>
      </w:r>
      <w:r w:rsidR="001D3212" w:rsidRPr="00800B63">
        <w:rPr>
          <w:rFonts w:ascii="Times New Roman" w:hAnsi="Times New Roman" w:cs="Times New Roman"/>
        </w:rPr>
        <w:br/>
      </w:r>
      <w:r w:rsidRPr="00800B63">
        <w:rPr>
          <w:rFonts w:ascii="Times New Roman" w:hAnsi="Times New Roman" w:cs="Times New Roman"/>
        </w:rPr>
        <w:t xml:space="preserve">o globalnym zasięgu dostarczającej danych i analiz makro i mikroekonomicznych z całego świata. Baza stanowi terminal danych rynkowych, który oferuje użytkownikom szeroką gamę danych, newsów oraz zaawansowanych narzędzi analitycznych. Platforma ma umożliwiać przeglądanie, porównywanie </w:t>
      </w:r>
      <w:r w:rsidR="001D3212" w:rsidRPr="00800B63">
        <w:rPr>
          <w:rFonts w:ascii="Times New Roman" w:hAnsi="Times New Roman" w:cs="Times New Roman"/>
        </w:rPr>
        <w:br/>
      </w:r>
      <w:r w:rsidRPr="00800B63">
        <w:rPr>
          <w:rFonts w:ascii="Times New Roman" w:hAnsi="Times New Roman" w:cs="Times New Roman"/>
        </w:rPr>
        <w:t xml:space="preserve">i analizowanie danych na rynkach instrumentów </w:t>
      </w:r>
      <w:proofErr w:type="spellStart"/>
      <w:r w:rsidRPr="00800B63">
        <w:rPr>
          <w:rFonts w:ascii="Times New Roman" w:hAnsi="Times New Roman" w:cs="Times New Roman"/>
        </w:rPr>
        <w:t>fixed</w:t>
      </w:r>
      <w:proofErr w:type="spellEnd"/>
      <w:r w:rsidRPr="00800B63">
        <w:rPr>
          <w:rFonts w:ascii="Times New Roman" w:hAnsi="Times New Roman" w:cs="Times New Roman"/>
        </w:rPr>
        <w:t xml:space="preserve"> </w:t>
      </w:r>
      <w:proofErr w:type="spellStart"/>
      <w:r w:rsidRPr="00800B63">
        <w:rPr>
          <w:rFonts w:ascii="Times New Roman" w:hAnsi="Times New Roman" w:cs="Times New Roman"/>
        </w:rPr>
        <w:t>income</w:t>
      </w:r>
      <w:proofErr w:type="spellEnd"/>
      <w:r w:rsidRPr="00800B63">
        <w:rPr>
          <w:rFonts w:ascii="Times New Roman" w:hAnsi="Times New Roman" w:cs="Times New Roman"/>
        </w:rPr>
        <w:t>, rynkach walutowych, rynku pieniężnym oraz rynkach towarów i energii, zorganizowanych według sektorów i regionów o prawdziwie globalnym zasięgu.</w:t>
      </w:r>
      <w:r w:rsidR="001D3212" w:rsidRPr="00800B63">
        <w:t xml:space="preserve"> </w:t>
      </w:r>
      <w:r w:rsidR="001D3212" w:rsidRPr="00800B63">
        <w:rPr>
          <w:rFonts w:ascii="Times New Roman" w:hAnsi="Times New Roman" w:cs="Times New Roman"/>
        </w:rPr>
        <w:t>Baza ma zawierać m.in. aktualne i historyczne notowania niemal każdego instrumentu finansowego na świecie.</w:t>
      </w:r>
    </w:p>
    <w:p w14:paraId="58D5B5E9" w14:textId="7B496995" w:rsidR="00BC70FC" w:rsidRPr="00800B63" w:rsidRDefault="00BC70FC" w:rsidP="00800B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 xml:space="preserve"> Platforma ma posiadać moduł News obejmujący źródła News oraz </w:t>
      </w:r>
      <w:r w:rsidR="00B71000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 xml:space="preserve">1000 innych źródeł agencyjnych oraz </w:t>
      </w:r>
      <w:r w:rsidR="00B71000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 xml:space="preserve">7000 tradycyjnych źródeł. </w:t>
      </w:r>
      <w:r w:rsidR="00CF1225" w:rsidRPr="00800B63">
        <w:rPr>
          <w:rFonts w:ascii="Times New Roman" w:hAnsi="Times New Roman" w:cs="Times New Roman"/>
        </w:rPr>
        <w:t xml:space="preserve">Baza danych zawierać </w:t>
      </w:r>
      <w:r w:rsidRPr="00800B63">
        <w:rPr>
          <w:rFonts w:ascii="Times New Roman" w:hAnsi="Times New Roman" w:cs="Times New Roman"/>
        </w:rPr>
        <w:t xml:space="preserve">ma min. 35 milionów pojedynczych instrumentów lub wskaźników dla wszystkich głównych klas aktywów, w tym min. </w:t>
      </w:r>
      <w:r w:rsidR="00CF1225" w:rsidRPr="00800B63">
        <w:rPr>
          <w:rFonts w:ascii="Times New Roman" w:hAnsi="Times New Roman" w:cs="Times New Roman"/>
        </w:rPr>
        <w:t>8 mln</w:t>
      </w:r>
      <w:r w:rsidRPr="00800B63">
        <w:rPr>
          <w:rFonts w:ascii="Times New Roman" w:hAnsi="Times New Roman" w:cs="Times New Roman"/>
        </w:rPr>
        <w:t xml:space="preserve"> miliona aktywnych wskaźników ekonomicznych. </w:t>
      </w:r>
    </w:p>
    <w:p w14:paraId="39C87A82" w14:textId="77777777" w:rsidR="00BC70FC" w:rsidRPr="00800B63" w:rsidRDefault="00BC70FC" w:rsidP="00800B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29C07F05" w14:textId="11A5EFD5" w:rsidR="00BC70FC" w:rsidRPr="00800B63" w:rsidRDefault="00CF1225" w:rsidP="00800B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 xml:space="preserve">Ponadto </w:t>
      </w:r>
      <w:r w:rsidR="001D3212" w:rsidRPr="00800B63">
        <w:rPr>
          <w:rFonts w:ascii="Times New Roman" w:eastAsia="Times New Roman" w:hAnsi="Times New Roman" w:cs="Times New Roman"/>
          <w:lang w:eastAsia="en-GB"/>
        </w:rPr>
        <w:t>Platforma b</w:t>
      </w:r>
      <w:r w:rsidR="00BC70FC" w:rsidRPr="00800B63">
        <w:rPr>
          <w:rFonts w:ascii="Times New Roman" w:eastAsia="Times New Roman" w:hAnsi="Times New Roman" w:cs="Times New Roman"/>
          <w:lang w:eastAsia="en-GB"/>
        </w:rPr>
        <w:t>az</w:t>
      </w:r>
      <w:r w:rsidR="001D3212" w:rsidRPr="00800B63">
        <w:rPr>
          <w:rFonts w:ascii="Times New Roman" w:eastAsia="Times New Roman" w:hAnsi="Times New Roman" w:cs="Times New Roman"/>
          <w:lang w:eastAsia="en-GB"/>
        </w:rPr>
        <w:t>y</w:t>
      </w:r>
      <w:r w:rsidR="00BC70FC" w:rsidRPr="00800B63">
        <w:rPr>
          <w:rFonts w:ascii="Times New Roman" w:eastAsia="Times New Roman" w:hAnsi="Times New Roman" w:cs="Times New Roman"/>
          <w:lang w:eastAsia="en-GB"/>
        </w:rPr>
        <w:t xml:space="preserve"> danych musi spełniać poniższe wymagania:</w:t>
      </w:r>
    </w:p>
    <w:p w14:paraId="74A3C2D5" w14:textId="0B9E42FE" w:rsidR="00BC70FC" w:rsidRPr="00800B63" w:rsidRDefault="00BC70FC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 xml:space="preserve">Umożliwiać dostęp do aktualnych wiadomości rynkowych z każdej dziedziny gospodarki wraz </w:t>
      </w:r>
      <w:r w:rsidR="00800B63" w:rsidRPr="00800B63">
        <w:rPr>
          <w:rFonts w:ascii="Times New Roman" w:eastAsia="Times New Roman" w:hAnsi="Times New Roman" w:cs="Times New Roman"/>
          <w:lang w:eastAsia="en-GB"/>
        </w:rPr>
        <w:br/>
      </w:r>
      <w:r w:rsidRPr="00800B63">
        <w:rPr>
          <w:rFonts w:ascii="Times New Roman" w:eastAsia="Times New Roman" w:hAnsi="Times New Roman" w:cs="Times New Roman"/>
          <w:lang w:eastAsia="en-GB"/>
        </w:rPr>
        <w:t>z informacjami politycznymi i legislacyjnymi mającymi wpływ na globalny rynek</w:t>
      </w:r>
    </w:p>
    <w:p w14:paraId="4A71DD80" w14:textId="020CC466" w:rsidR="00BC70FC" w:rsidRPr="00800B63" w:rsidRDefault="00BC70FC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Posiadać zasięg światowy</w:t>
      </w:r>
    </w:p>
    <w:p w14:paraId="02207313" w14:textId="5311B5D2" w:rsidR="001D3212" w:rsidRPr="00800B63" w:rsidRDefault="00BC70FC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eastAsia="Times New Roman" w:hAnsi="Times New Roman" w:cs="Times New Roman"/>
          <w:lang w:eastAsia="en-GB"/>
        </w:rPr>
        <w:t xml:space="preserve">Dostarczać dane w </w:t>
      </w:r>
      <w:r w:rsidR="006112AD" w:rsidRPr="00800B63">
        <w:rPr>
          <w:rFonts w:ascii="Times New Roman" w:eastAsia="Times New Roman" w:hAnsi="Times New Roman" w:cs="Times New Roman"/>
          <w:lang w:eastAsia="en-GB"/>
        </w:rPr>
        <w:t>czasie rzeczywistym jak i informacj</w:t>
      </w:r>
      <w:r w:rsidRPr="00800B63">
        <w:rPr>
          <w:rFonts w:ascii="Times New Roman" w:eastAsia="Times New Roman" w:hAnsi="Times New Roman" w:cs="Times New Roman"/>
          <w:lang w:eastAsia="en-GB"/>
        </w:rPr>
        <w:t xml:space="preserve">e </w:t>
      </w:r>
      <w:r w:rsidR="006112AD" w:rsidRPr="00800B63">
        <w:rPr>
          <w:rFonts w:ascii="Times New Roman" w:eastAsia="Times New Roman" w:hAnsi="Times New Roman" w:cs="Times New Roman"/>
          <w:lang w:eastAsia="en-GB"/>
        </w:rPr>
        <w:t>historyczn</w:t>
      </w:r>
      <w:r w:rsidRPr="00800B63">
        <w:rPr>
          <w:rFonts w:ascii="Times New Roman" w:eastAsia="Times New Roman" w:hAnsi="Times New Roman" w:cs="Times New Roman"/>
          <w:lang w:eastAsia="en-GB"/>
        </w:rPr>
        <w:t>e,</w:t>
      </w:r>
      <w:r w:rsidR="006112AD" w:rsidRPr="00800B63">
        <w:rPr>
          <w:rFonts w:ascii="Times New Roman" w:eastAsia="Times New Roman" w:hAnsi="Times New Roman" w:cs="Times New Roman"/>
          <w:lang w:eastAsia="en-GB"/>
        </w:rPr>
        <w:t xml:space="preserve"> produkcyjne, </w:t>
      </w:r>
      <w:r w:rsidR="006112AD" w:rsidRPr="00800B63">
        <w:rPr>
          <w:rFonts w:ascii="Times New Roman" w:hAnsi="Times New Roman" w:cs="Times New Roman"/>
        </w:rPr>
        <w:t>Baza Thomson Reuters, jest jedną z dwóch  największych baz ekonomiczno-finansowych o globalnym zasięgu dostarczających danych i analiz makro i mikroekonomicznych z całego świata</w:t>
      </w:r>
    </w:p>
    <w:p w14:paraId="3F4AAC75" w14:textId="72EF8BCC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 xml:space="preserve">Zawierać dane z </w:t>
      </w:r>
      <w:r w:rsidR="008A0D09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 xml:space="preserve">70 lat z </w:t>
      </w:r>
      <w:r w:rsidR="008A0D09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>17</w:t>
      </w:r>
      <w:r w:rsidR="008A0D09" w:rsidRPr="00800B63">
        <w:rPr>
          <w:rFonts w:ascii="Times New Roman" w:hAnsi="Times New Roman" w:cs="Times New Roman"/>
        </w:rPr>
        <w:t>0</w:t>
      </w:r>
      <w:r w:rsidRPr="00800B63">
        <w:rPr>
          <w:rFonts w:ascii="Times New Roman" w:hAnsi="Times New Roman" w:cs="Times New Roman"/>
        </w:rPr>
        <w:t xml:space="preserve"> krajów - informacje i narzędzia potrzebne do poprawnej interpretacji trendów rynkowych oraz cykli gospodarczych</w:t>
      </w:r>
    </w:p>
    <w:p w14:paraId="2D2CF1EA" w14:textId="03F3E952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</w:rPr>
        <w:lastRenderedPageBreak/>
        <w:t>Publikować specjalistyczne raporty oraz opinie ekspertów</w:t>
      </w:r>
      <w:r w:rsidRPr="00800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0BD04CBF" w14:textId="4AF42C67" w:rsidR="00BC70FC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  <w:shd w:val="clear" w:color="auto" w:fill="FFFFFF"/>
        </w:rPr>
        <w:t>Zawierać analizy poszczególnych indeksów giełdowych, funduszy inwestycyjnych, oraz pojedynczych spółek giełdowych</w:t>
      </w:r>
    </w:p>
    <w:p w14:paraId="084C6204" w14:textId="77777777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  <w:shd w:val="clear" w:color="auto" w:fill="FFFFFF"/>
        </w:rPr>
        <w:t xml:space="preserve">Uwzględniać warunki </w:t>
      </w:r>
      <w:proofErr w:type="spellStart"/>
      <w:r w:rsidRPr="00800B63">
        <w:rPr>
          <w:rFonts w:ascii="Times New Roman" w:hAnsi="Times New Roman" w:cs="Times New Roman"/>
          <w:color w:val="222222"/>
          <w:shd w:val="clear" w:color="auto" w:fill="FFFFFF"/>
        </w:rPr>
        <w:t>klimatyczno</w:t>
      </w:r>
      <w:proofErr w:type="spellEnd"/>
      <w:r w:rsidRPr="00800B63">
        <w:rPr>
          <w:rFonts w:ascii="Times New Roman" w:hAnsi="Times New Roman" w:cs="Times New Roman"/>
          <w:color w:val="222222"/>
          <w:shd w:val="clear" w:color="auto" w:fill="FFFFFF"/>
        </w:rPr>
        <w:t>–pogodowe, społeczne, polityczne jak również epidemiologiczne</w:t>
      </w:r>
    </w:p>
    <w:p w14:paraId="29162281" w14:textId="517CC5FE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  <w:shd w:val="clear" w:color="auto" w:fill="FFFFFF"/>
        </w:rPr>
        <w:t xml:space="preserve">Zawierać zunifikowane wskaźniki i sprawozdania, co pozwoli dokonać porównania firm </w:t>
      </w:r>
      <w:r w:rsidR="00800B63" w:rsidRPr="00800B63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800B63">
        <w:rPr>
          <w:rFonts w:ascii="Times New Roman" w:hAnsi="Times New Roman" w:cs="Times New Roman"/>
          <w:color w:val="222222"/>
          <w:shd w:val="clear" w:color="auto" w:fill="FFFFFF"/>
        </w:rPr>
        <w:t>z różnych części świata</w:t>
      </w:r>
    </w:p>
    <w:p w14:paraId="5AF5318B" w14:textId="4CDD2396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Zawierać analizy poszczególnych indeksów giełdowych, funduszy inwestycyjnych, oraz pojedynczych spółek giełdowych</w:t>
      </w:r>
    </w:p>
    <w:p w14:paraId="09534C65" w14:textId="77777777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Zawierać opracowania z wykorzystaniem narzędzi ekonometrycznych powszechnie stosowanych i wykorzystywanych w naukach społecznych.</w:t>
      </w:r>
    </w:p>
    <w:p w14:paraId="1DD8BC33" w14:textId="019153B9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Umożliwiać przejrzenie aktualnych i historycznych wskaźników makroekonomicznych wszystkich państw na świecie, podawać prognozy tych wartości.</w:t>
      </w:r>
    </w:p>
    <w:p w14:paraId="3F458812" w14:textId="7FD890AC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Umożliwiać badanie korelacji oraz wpływu poszczególnych instrumentów finansowych na inne.</w:t>
      </w:r>
    </w:p>
    <w:p w14:paraId="7E7C77E0" w14:textId="77777777" w:rsidR="001D3212" w:rsidRPr="00800B63" w:rsidRDefault="001D3212" w:rsidP="00800B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6C0E6AE6" w14:textId="53EEC139" w:rsidR="00BC70FC" w:rsidRPr="00800B63" w:rsidRDefault="00BC70FC" w:rsidP="00800B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Baza danych pozwala na dostęp do:</w:t>
      </w:r>
    </w:p>
    <w:p w14:paraId="74841235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bieżących i historycznych informacji rynkowych,</w:t>
      </w:r>
    </w:p>
    <w:p w14:paraId="09BB6E1F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danych fundamentalnych spółek notowanych na światowych giełdach.</w:t>
      </w:r>
    </w:p>
    <w:p w14:paraId="767C6045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danych makroekonomicznych</w:t>
      </w:r>
    </w:p>
    <w:p w14:paraId="1C861C12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informacji o pogodzie, warunkach glebowych i klimatycznych</w:t>
      </w:r>
    </w:p>
    <w:p w14:paraId="5FEFB2AF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sytuacji epidemiologicznej</w:t>
      </w:r>
    </w:p>
    <w:p w14:paraId="09A6BCBE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sytuacji politycznej</w:t>
      </w:r>
    </w:p>
    <w:p w14:paraId="318C2838" w14:textId="77777777" w:rsidR="006112AD" w:rsidRPr="00800B63" w:rsidRDefault="006112AD" w:rsidP="00800B63">
      <w:pPr>
        <w:spacing w:line="360" w:lineRule="auto"/>
        <w:jc w:val="both"/>
      </w:pPr>
    </w:p>
    <w:p w14:paraId="4FE67E04" w14:textId="710C9ADF" w:rsidR="006112AD" w:rsidRPr="00800B63" w:rsidRDefault="00560866" w:rsidP="00800B6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00B63">
        <w:rPr>
          <w:rFonts w:ascii="Times New Roman" w:hAnsi="Times New Roman" w:cs="Times New Roman"/>
          <w:u w:val="single"/>
        </w:rPr>
        <w:t xml:space="preserve">Przedmiotem zamówienia jest zakup 2 licencji dostępu do wyżej opisanej bazy danych przez okres </w:t>
      </w:r>
      <w:r w:rsidR="00642B7D" w:rsidRPr="00800B63">
        <w:rPr>
          <w:rFonts w:ascii="Times New Roman" w:hAnsi="Times New Roman" w:cs="Times New Roman"/>
          <w:u w:val="single"/>
        </w:rPr>
        <w:t xml:space="preserve">od dnia zawarcia umowy do </w:t>
      </w:r>
      <w:r w:rsidR="00355671" w:rsidRPr="00800B63">
        <w:rPr>
          <w:rFonts w:ascii="Times New Roman" w:hAnsi="Times New Roman" w:cs="Times New Roman"/>
          <w:u w:val="single"/>
        </w:rPr>
        <w:t>30.09</w:t>
      </w:r>
      <w:r w:rsidR="00642B7D" w:rsidRPr="00800B63">
        <w:rPr>
          <w:rFonts w:ascii="Times New Roman" w:hAnsi="Times New Roman" w:cs="Times New Roman"/>
          <w:u w:val="single"/>
        </w:rPr>
        <w:t>.2023 r.</w:t>
      </w:r>
    </w:p>
    <w:p w14:paraId="64BEA496" w14:textId="00BCE962" w:rsidR="006112AD" w:rsidRDefault="006112AD"/>
    <w:p w14:paraId="6A5214BD" w14:textId="77777777" w:rsidR="006112AD" w:rsidRDefault="006112AD"/>
    <w:sectPr w:rsidR="00611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8ADC" w14:textId="77777777" w:rsidR="00E02CA5" w:rsidRDefault="00E02CA5" w:rsidP="00D4596C">
      <w:pPr>
        <w:spacing w:after="0" w:line="240" w:lineRule="auto"/>
      </w:pPr>
      <w:r>
        <w:separator/>
      </w:r>
    </w:p>
  </w:endnote>
  <w:endnote w:type="continuationSeparator" w:id="0">
    <w:p w14:paraId="5D6F4B5C" w14:textId="77777777" w:rsidR="00E02CA5" w:rsidRDefault="00E02CA5" w:rsidP="00D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EC6B" w14:textId="77777777" w:rsidR="00E02CA5" w:rsidRDefault="00E02CA5" w:rsidP="00D4596C">
      <w:pPr>
        <w:spacing w:after="0" w:line="240" w:lineRule="auto"/>
      </w:pPr>
      <w:r>
        <w:separator/>
      </w:r>
    </w:p>
  </w:footnote>
  <w:footnote w:type="continuationSeparator" w:id="0">
    <w:p w14:paraId="79981502" w14:textId="77777777" w:rsidR="00E02CA5" w:rsidRDefault="00E02CA5" w:rsidP="00D4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6CC1" w14:textId="0BA4B852" w:rsidR="00D4596C" w:rsidRDefault="00D4596C" w:rsidP="00D4596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7914993" wp14:editId="669C0CD2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0" t="0" r="12700" b="266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6A58A" w14:textId="77777777" w:rsidR="00D4596C" w:rsidRDefault="00D4596C" w:rsidP="00D4596C">
                          <w:pPr>
                            <w:ind w:right="-164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2F7419" wp14:editId="6B85C815">
                                <wp:extent cx="1609725" cy="762000"/>
                                <wp:effectExtent l="1905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897D9E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44A4F21C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06E9029A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34158D09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39D069DD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0B7A03BA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62EDB223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53D7D210" w14:textId="77777777" w:rsidR="00D4596C" w:rsidRDefault="00D4596C" w:rsidP="00D4596C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19A2987D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0DC0C3BD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3721D259" w14:textId="77777777" w:rsidR="00D4596C" w:rsidRDefault="00D4596C" w:rsidP="00D4596C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1499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1.9pt;margin-top:-21.85pt;width:434pt;height:57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" strokecolor="white" strokeweight=".5pt">
              <v:textbox inset="7.35pt,3.85pt,7.45pt,3.85pt">
                <w:txbxContent>
                  <w:p w14:paraId="2F86A58A" w14:textId="77777777" w:rsidR="00D4596C" w:rsidRDefault="00D4596C" w:rsidP="00D4596C">
                    <w:pPr>
                      <w:ind w:right="-164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2F7419" wp14:editId="6B85C815">
                          <wp:extent cx="1609725" cy="762000"/>
                          <wp:effectExtent l="1905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897D9E" w14:textId="77777777" w:rsidR="00D4596C" w:rsidRDefault="00D4596C" w:rsidP="00D4596C">
                    <w:pPr>
                      <w:ind w:right="-329"/>
                    </w:pPr>
                  </w:p>
                  <w:p w14:paraId="44A4F21C" w14:textId="77777777" w:rsidR="00D4596C" w:rsidRDefault="00D4596C" w:rsidP="00D4596C">
                    <w:pPr>
                      <w:ind w:right="-329"/>
                    </w:pPr>
                  </w:p>
                  <w:p w14:paraId="06E9029A" w14:textId="77777777" w:rsidR="00D4596C" w:rsidRDefault="00D4596C" w:rsidP="00D4596C">
                    <w:pPr>
                      <w:ind w:right="-329"/>
                    </w:pPr>
                  </w:p>
                  <w:p w14:paraId="34158D09" w14:textId="77777777" w:rsidR="00D4596C" w:rsidRDefault="00D4596C" w:rsidP="00D4596C">
                    <w:pPr>
                      <w:ind w:right="-329"/>
                    </w:pPr>
                  </w:p>
                  <w:p w14:paraId="39D069DD" w14:textId="77777777" w:rsidR="00D4596C" w:rsidRDefault="00D4596C" w:rsidP="00D4596C">
                    <w:pPr>
                      <w:ind w:right="-329"/>
                    </w:pPr>
                  </w:p>
                  <w:p w14:paraId="0B7A03BA" w14:textId="77777777" w:rsidR="00D4596C" w:rsidRDefault="00D4596C" w:rsidP="00D4596C">
                    <w:pPr>
                      <w:ind w:right="-329"/>
                    </w:pPr>
                  </w:p>
                  <w:p w14:paraId="62EDB223" w14:textId="77777777" w:rsidR="00D4596C" w:rsidRDefault="00D4596C" w:rsidP="00D4596C">
                    <w:pPr>
                      <w:ind w:right="-329"/>
                    </w:pPr>
                  </w:p>
                  <w:p w14:paraId="53D7D210" w14:textId="77777777" w:rsidR="00D4596C" w:rsidRDefault="00D4596C" w:rsidP="00D4596C">
                    <w:pPr>
                      <w:ind w:right="-329"/>
                    </w:pPr>
                    <w:r>
                      <w:tab/>
                    </w:r>
                  </w:p>
                  <w:p w14:paraId="19A2987D" w14:textId="77777777" w:rsidR="00D4596C" w:rsidRDefault="00D4596C" w:rsidP="00D4596C">
                    <w:pPr>
                      <w:ind w:right="-329"/>
                    </w:pPr>
                  </w:p>
                  <w:p w14:paraId="0DC0C3BD" w14:textId="77777777" w:rsidR="00D4596C" w:rsidRDefault="00D4596C" w:rsidP="00D4596C">
                    <w:pPr>
                      <w:ind w:right="-329"/>
                    </w:pPr>
                  </w:p>
                  <w:p w14:paraId="3721D259" w14:textId="77777777" w:rsidR="00D4596C" w:rsidRDefault="00D4596C" w:rsidP="00D4596C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BC068F0" wp14:editId="09654709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0" t="0" r="26670" b="146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9C824" w14:textId="77777777" w:rsidR="00D4596C" w:rsidRDefault="00D4596C" w:rsidP="00D4596C">
                          <w:pPr>
                            <w:ind w:right="-4751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53DA4B" wp14:editId="34EA433E">
                                <wp:extent cx="2019300" cy="638175"/>
                                <wp:effectExtent l="1905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068F0" id="Pole tekstowe 4" o:spid="_x0000_s1027" type="#_x0000_t202" style="position:absolute;left:0;text-align:left;margin-left:276.25pt;margin-top:-12.3pt;width:174.9pt;height:52.8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" strokecolor="white" strokeweight=".5pt">
              <v:textbox inset="7.45pt,3.85pt,7.45pt,3.85pt">
                <w:txbxContent>
                  <w:p w14:paraId="0659C824" w14:textId="77777777" w:rsidR="00D4596C" w:rsidRDefault="00D4596C" w:rsidP="00D4596C">
                    <w:pPr>
                      <w:ind w:right="-4751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53DA4B" wp14:editId="34EA433E">
                          <wp:extent cx="2019300" cy="638175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8"/>
        <w:szCs w:val="2"/>
      </w:rPr>
      <w:t xml:space="preserve">   </w:t>
    </w:r>
  </w:p>
  <w:p w14:paraId="35B2E9AD" w14:textId="77777777" w:rsidR="00D4596C" w:rsidRDefault="00D4596C" w:rsidP="00D4596C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E8412F0" w14:textId="33B6E2EA" w:rsidR="00D4596C" w:rsidRPr="00D4596C" w:rsidRDefault="00D4596C" w:rsidP="00D4596C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2C7"/>
    <w:multiLevelType w:val="multilevel"/>
    <w:tmpl w:val="77E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92005"/>
    <w:multiLevelType w:val="multilevel"/>
    <w:tmpl w:val="8FA2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64D3F"/>
    <w:multiLevelType w:val="hybridMultilevel"/>
    <w:tmpl w:val="61C8A13A"/>
    <w:lvl w:ilvl="0" w:tplc="9E1AF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1F"/>
    <w:rsid w:val="001C3A50"/>
    <w:rsid w:val="001D3212"/>
    <w:rsid w:val="00293436"/>
    <w:rsid w:val="00355671"/>
    <w:rsid w:val="003559AB"/>
    <w:rsid w:val="0054504C"/>
    <w:rsid w:val="00560866"/>
    <w:rsid w:val="006112AD"/>
    <w:rsid w:val="00642B7D"/>
    <w:rsid w:val="0071402C"/>
    <w:rsid w:val="007776BB"/>
    <w:rsid w:val="00800B63"/>
    <w:rsid w:val="008A0D09"/>
    <w:rsid w:val="008C05EC"/>
    <w:rsid w:val="00963781"/>
    <w:rsid w:val="00AA3AB1"/>
    <w:rsid w:val="00AE18DD"/>
    <w:rsid w:val="00B71000"/>
    <w:rsid w:val="00BC70FC"/>
    <w:rsid w:val="00C5591F"/>
    <w:rsid w:val="00CF1225"/>
    <w:rsid w:val="00D4596C"/>
    <w:rsid w:val="00D91D43"/>
    <w:rsid w:val="00E02CA5"/>
    <w:rsid w:val="00E06A4A"/>
    <w:rsid w:val="00F02248"/>
    <w:rsid w:val="00F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D194A"/>
  <w15:chartTrackingRefBased/>
  <w15:docId w15:val="{023FB042-D322-403E-AFCE-26C01EE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D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6C"/>
  </w:style>
  <w:style w:type="paragraph" w:styleId="Stopka">
    <w:name w:val="footer"/>
    <w:basedOn w:val="Normalny"/>
    <w:link w:val="StopkaZnak"/>
    <w:uiPriority w:val="99"/>
    <w:unhideWhenUsed/>
    <w:rsid w:val="00D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6C"/>
  </w:style>
  <w:style w:type="paragraph" w:customStyle="1" w:styleId="Bezformatowania">
    <w:name w:val="Bez formatowania"/>
    <w:rsid w:val="00D4596C"/>
    <w:pPr>
      <w:suppressAutoHyphens/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Dorota Borkowska</cp:lastModifiedBy>
  <cp:revision>17</cp:revision>
  <dcterms:created xsi:type="dcterms:W3CDTF">2020-12-09T23:17:00Z</dcterms:created>
  <dcterms:modified xsi:type="dcterms:W3CDTF">2021-02-08T15:38:00Z</dcterms:modified>
</cp:coreProperties>
</file>