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W w:w="4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</w:tblGrid>
      <w:tr w:rsidR="00F9147B" w:rsidRPr="00626EA6" w14:paraId="4F9E8A5F" w14:textId="77777777">
        <w:trPr>
          <w:cantSplit/>
          <w:trHeight w:val="360"/>
        </w:trPr>
        <w:tc>
          <w:tcPr>
            <w:tcW w:w="455" w:type="dxa"/>
            <w:vAlign w:val="center"/>
          </w:tcPr>
          <w:p w14:paraId="0F33C1CD" w14:textId="77777777" w:rsidR="00F9147B" w:rsidRPr="00626EA6" w:rsidRDefault="00F9147B" w:rsidP="0030132D">
            <w:pPr>
              <w:pStyle w:val="Bezodstpw"/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02F417F" w14:textId="69C32EF4" w:rsidR="00F9147B" w:rsidRPr="00626EA6" w:rsidRDefault="00532259" w:rsidP="0030132D">
      <w:pPr>
        <w:tabs>
          <w:tab w:val="left" w:pos="2565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26EA6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626EA6">
        <w:rPr>
          <w:rFonts w:asciiTheme="minorHAnsi" w:hAnsiTheme="minorHAnsi" w:cstheme="minorHAnsi"/>
          <w:sz w:val="20"/>
          <w:szCs w:val="20"/>
        </w:rPr>
        <w:tab/>
      </w:r>
      <w:r w:rsidRPr="00626EA6">
        <w:rPr>
          <w:rFonts w:asciiTheme="minorHAnsi" w:hAnsiTheme="minorHAnsi" w:cstheme="minorHAnsi"/>
          <w:sz w:val="20"/>
          <w:szCs w:val="20"/>
        </w:rPr>
        <w:tab/>
      </w:r>
      <w:r w:rsidRPr="00626EA6">
        <w:rPr>
          <w:rFonts w:asciiTheme="minorHAnsi" w:hAnsiTheme="minorHAnsi" w:cstheme="minorHAnsi"/>
          <w:sz w:val="20"/>
          <w:szCs w:val="20"/>
        </w:rPr>
        <w:tab/>
      </w:r>
      <w:r w:rsidRPr="00626EA6">
        <w:rPr>
          <w:rFonts w:asciiTheme="minorHAnsi" w:hAnsiTheme="minorHAnsi" w:cstheme="minorHAnsi"/>
          <w:sz w:val="20"/>
          <w:szCs w:val="20"/>
        </w:rPr>
        <w:tab/>
      </w:r>
      <w:r w:rsidRPr="00626EA6">
        <w:rPr>
          <w:rFonts w:asciiTheme="minorHAnsi" w:hAnsiTheme="minorHAnsi" w:cstheme="minorHAnsi"/>
          <w:sz w:val="20"/>
          <w:szCs w:val="20"/>
        </w:rPr>
        <w:tab/>
      </w:r>
      <w:r w:rsidRPr="00626EA6">
        <w:rPr>
          <w:rFonts w:asciiTheme="minorHAnsi" w:hAnsiTheme="minorHAnsi" w:cstheme="minorHAnsi"/>
          <w:sz w:val="20"/>
          <w:szCs w:val="20"/>
        </w:rPr>
        <w:tab/>
      </w:r>
      <w:r w:rsidRPr="00626EA6">
        <w:rPr>
          <w:rFonts w:asciiTheme="minorHAnsi" w:hAnsiTheme="minorHAnsi" w:cstheme="minorHAnsi"/>
          <w:sz w:val="20"/>
          <w:szCs w:val="20"/>
        </w:rPr>
        <w:tab/>
      </w:r>
      <w:r w:rsidRPr="00626E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FF05696" w14:textId="77777777" w:rsidR="00F9147B" w:rsidRPr="00626EA6" w:rsidRDefault="00F9147B" w:rsidP="0030132D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236B433" w14:textId="659C1291" w:rsidR="00F9147B" w:rsidRPr="00626EA6" w:rsidRDefault="00532259" w:rsidP="0030132D">
      <w:pPr>
        <w:ind w:right="-288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Szczegółowy opis przedmiotu zamówienia:</w:t>
      </w:r>
    </w:p>
    <w:p w14:paraId="482A8C15" w14:textId="2C4A10D2" w:rsidR="00F9147B" w:rsidRPr="00626EA6" w:rsidRDefault="00F9147B" w:rsidP="0030132D">
      <w:pPr>
        <w:suppressAutoHyphens w:val="0"/>
        <w:ind w:firstLine="357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5ECF4B6" w14:textId="77777777" w:rsidR="009C691D" w:rsidRPr="00626EA6" w:rsidRDefault="009C691D" w:rsidP="0030132D">
      <w:pPr>
        <w:suppressAutoHyphens w:val="0"/>
        <w:ind w:left="357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56B2F99" w14:textId="300ECDF1" w:rsidR="00DE58DE" w:rsidRPr="00626EA6" w:rsidRDefault="00DE58DE" w:rsidP="0030132D">
      <w:pPr>
        <w:widowControl w:val="0"/>
        <w:ind w:left="357"/>
        <w:jc w:val="both"/>
        <w:rPr>
          <w:rFonts w:asciiTheme="minorHAnsi" w:hAnsiTheme="minorHAnsi" w:cstheme="minorHAnsi"/>
          <w:b/>
          <w:bCs/>
          <w:color w:val="000000"/>
          <w:kern w:val="2"/>
          <w:sz w:val="20"/>
          <w:szCs w:val="20"/>
          <w:u w:val="single"/>
        </w:rPr>
      </w:pPr>
      <w:bookmarkStart w:id="0" w:name="_Hlk132283396"/>
      <w:bookmarkStart w:id="1" w:name="_Hlk141092873"/>
      <w:bookmarkEnd w:id="0"/>
      <w:r w:rsidRPr="00626EA6">
        <w:rPr>
          <w:rFonts w:asciiTheme="minorHAnsi" w:hAnsiTheme="minorHAnsi" w:cstheme="minorHAnsi"/>
          <w:b/>
          <w:bCs/>
          <w:color w:val="000000"/>
          <w:kern w:val="2"/>
          <w:sz w:val="20"/>
          <w:szCs w:val="20"/>
          <w:u w:val="single"/>
        </w:rPr>
        <w:t xml:space="preserve">Wytyczne dotyczące budowy </w:t>
      </w:r>
      <w:r w:rsidR="00162B2E" w:rsidRPr="00626EA6">
        <w:rPr>
          <w:rFonts w:asciiTheme="minorHAnsi" w:hAnsiTheme="minorHAnsi" w:cstheme="minorHAnsi"/>
          <w:b/>
          <w:bCs/>
          <w:color w:val="000000"/>
          <w:kern w:val="2"/>
          <w:sz w:val="20"/>
          <w:szCs w:val="20"/>
          <w:u w:val="single"/>
        </w:rPr>
        <w:t>kanalizacji teletechnicznej wzdłuż ul. Dmowskiego w Tychach</w:t>
      </w:r>
      <w:r w:rsidRPr="00626EA6">
        <w:rPr>
          <w:rFonts w:asciiTheme="minorHAnsi" w:hAnsiTheme="minorHAnsi" w:cstheme="minorHAnsi"/>
          <w:b/>
          <w:bCs/>
          <w:color w:val="000000"/>
          <w:kern w:val="2"/>
          <w:sz w:val="20"/>
          <w:szCs w:val="20"/>
          <w:u w:val="single"/>
        </w:rPr>
        <w:t>:</w:t>
      </w:r>
      <w:bookmarkEnd w:id="1"/>
    </w:p>
    <w:p w14:paraId="1E87218C" w14:textId="77777777" w:rsidR="00DE58DE" w:rsidRPr="00626EA6" w:rsidRDefault="00DE58DE" w:rsidP="0030132D">
      <w:pPr>
        <w:widowControl w:val="0"/>
        <w:ind w:left="357"/>
        <w:jc w:val="both"/>
        <w:rPr>
          <w:rFonts w:asciiTheme="minorHAnsi" w:hAnsiTheme="minorHAnsi" w:cstheme="minorHAnsi"/>
          <w:b/>
          <w:bCs/>
          <w:color w:val="000000"/>
          <w:kern w:val="2"/>
          <w:sz w:val="20"/>
          <w:szCs w:val="20"/>
        </w:rPr>
      </w:pPr>
    </w:p>
    <w:p w14:paraId="3EB8EF15" w14:textId="77777777" w:rsidR="00F9147B" w:rsidRPr="00626EA6" w:rsidRDefault="00532259" w:rsidP="0030132D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626EA6">
        <w:rPr>
          <w:rFonts w:asciiTheme="minorHAnsi" w:hAnsiTheme="minorHAnsi" w:cstheme="minorHAnsi"/>
          <w:b/>
          <w:bCs/>
          <w:sz w:val="20"/>
          <w:szCs w:val="20"/>
        </w:rPr>
        <w:t xml:space="preserve">W ramach realizacji przedmiotu zamówienia należy wykonać </w:t>
      </w:r>
      <w:r w:rsidRPr="00626EA6">
        <w:rPr>
          <w:rFonts w:asciiTheme="minorHAnsi" w:hAnsiTheme="minorHAnsi" w:cstheme="minorHAnsi"/>
          <w:b/>
          <w:bCs/>
          <w:sz w:val="20"/>
          <w:szCs w:val="20"/>
          <w:u w:val="single"/>
        </w:rPr>
        <w:t>w szczególności:</w:t>
      </w:r>
      <w:r w:rsidRPr="00626EA6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</w:t>
      </w:r>
    </w:p>
    <w:p w14:paraId="5398599B" w14:textId="77777777" w:rsidR="00162B2E" w:rsidRPr="00626EA6" w:rsidRDefault="00162B2E" w:rsidP="00162B2E">
      <w:pPr>
        <w:suppressAutoHyphens w:val="0"/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57B8D829" w14:textId="401E48C1" w:rsidR="00F9147B" w:rsidRPr="00626EA6" w:rsidRDefault="00532259" w:rsidP="0030132D">
      <w:pPr>
        <w:pStyle w:val="Akapitzlist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626EA6">
        <w:rPr>
          <w:rFonts w:asciiTheme="minorHAnsi" w:hAnsiTheme="minorHAnsi" w:cstheme="minorHAnsi"/>
          <w:sz w:val="20"/>
          <w:szCs w:val="20"/>
          <w:lang w:eastAsia="ar-SA"/>
        </w:rPr>
        <w:t xml:space="preserve">prace przygotowawcze oznaczające rozpoczęcie budowy tj. geodezyjne wytyczenie trasy </w:t>
      </w:r>
      <w:r w:rsidR="00162B2E" w:rsidRPr="00626EA6">
        <w:rPr>
          <w:rFonts w:asciiTheme="minorHAnsi" w:hAnsiTheme="minorHAnsi" w:cstheme="minorHAnsi"/>
          <w:sz w:val="20"/>
          <w:szCs w:val="20"/>
          <w:lang w:eastAsia="ar-SA"/>
        </w:rPr>
        <w:t>kanalizacji teletechnicznej</w:t>
      </w:r>
      <w:r w:rsidRPr="00626EA6">
        <w:rPr>
          <w:rFonts w:asciiTheme="minorHAnsi" w:hAnsiTheme="minorHAnsi" w:cstheme="minorHAnsi"/>
          <w:sz w:val="20"/>
          <w:szCs w:val="20"/>
          <w:lang w:eastAsia="ar-SA"/>
        </w:rPr>
        <w:t xml:space="preserve"> i zagospodarowanie terenu budowy,</w:t>
      </w:r>
    </w:p>
    <w:p w14:paraId="029776E2" w14:textId="596EDF18" w:rsidR="00162B2E" w:rsidRPr="00626EA6" w:rsidRDefault="00162B2E" w:rsidP="00162B2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2" w:name="_Hlk110330197"/>
      <w:bookmarkEnd w:id="2"/>
      <w:r w:rsidRPr="00626EA6">
        <w:rPr>
          <w:rFonts w:asciiTheme="minorHAnsi" w:eastAsia="Times New Roman" w:hAnsiTheme="minorHAnsi" w:cstheme="minorHAnsi"/>
          <w:sz w:val="20"/>
          <w:szCs w:val="20"/>
          <w:lang w:eastAsia="pl-PL"/>
        </w:rPr>
        <w:t>budo</w:t>
      </w:r>
      <w:r w:rsidR="00AC054F">
        <w:rPr>
          <w:rFonts w:asciiTheme="minorHAnsi" w:eastAsia="Times New Roman" w:hAnsiTheme="minorHAnsi" w:cstheme="minorHAnsi"/>
          <w:sz w:val="20"/>
          <w:szCs w:val="20"/>
          <w:lang w:eastAsia="pl-PL"/>
        </w:rPr>
        <w:t>wę studni kablowych SK1- 5 szt.,</w:t>
      </w:r>
    </w:p>
    <w:p w14:paraId="07B8622B" w14:textId="0DC3C3CE" w:rsidR="00162B2E" w:rsidRPr="00626EA6" w:rsidRDefault="00162B2E" w:rsidP="00162B2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budowę kanalizacji pierwotnej z rur </w:t>
      </w:r>
      <w:r w:rsidRPr="00626EA6">
        <w:rPr>
          <w:rFonts w:asciiTheme="minorHAnsi" w:hAnsiTheme="minorHAnsi" w:cstheme="minorHAnsi"/>
          <w:sz w:val="20"/>
          <w:szCs w:val="20"/>
        </w:rPr>
        <w:t>HDPE- Ø 110</w:t>
      </w:r>
      <w:r w:rsidRPr="00626E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(przewierty) - </w:t>
      </w:r>
      <w:r w:rsidR="00BF6D8F">
        <w:rPr>
          <w:rFonts w:asciiTheme="minorHAnsi" w:eastAsia="Times New Roman" w:hAnsiTheme="minorHAnsi" w:cstheme="minorHAnsi"/>
          <w:sz w:val="20"/>
          <w:szCs w:val="20"/>
          <w:lang w:eastAsia="pl-PL"/>
        </w:rPr>
        <w:t>350</w:t>
      </w:r>
      <w:r w:rsidRPr="00626EA6"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="00AC054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626E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</w:t>
      </w:r>
    </w:p>
    <w:p w14:paraId="479AC997" w14:textId="54807142" w:rsidR="00162B2E" w:rsidRPr="00626EA6" w:rsidRDefault="00162B2E" w:rsidP="00162B2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budowę kanalizacji wtórnej wykonanej z rury </w:t>
      </w:r>
      <w:r w:rsidRPr="00626EA6">
        <w:rPr>
          <w:rFonts w:asciiTheme="minorHAnsi" w:hAnsiTheme="minorHAnsi" w:cstheme="minorHAnsi"/>
          <w:sz w:val="20"/>
          <w:szCs w:val="20"/>
        </w:rPr>
        <w:t xml:space="preserve">RHDPE 40x3,7 – </w:t>
      </w:r>
      <w:r w:rsidR="00BF6D8F">
        <w:rPr>
          <w:rFonts w:asciiTheme="minorHAnsi" w:hAnsiTheme="minorHAnsi" w:cstheme="minorHAnsi"/>
          <w:sz w:val="20"/>
          <w:szCs w:val="20"/>
        </w:rPr>
        <w:t>740</w:t>
      </w:r>
      <w:r w:rsidRPr="00626EA6">
        <w:rPr>
          <w:rFonts w:asciiTheme="minorHAnsi" w:hAnsiTheme="minorHAnsi" w:cstheme="minorHAnsi"/>
          <w:sz w:val="20"/>
          <w:szCs w:val="20"/>
        </w:rPr>
        <w:t>m</w:t>
      </w:r>
      <w:r w:rsidR="00AC054F">
        <w:rPr>
          <w:rFonts w:asciiTheme="minorHAnsi" w:hAnsiTheme="minorHAnsi" w:cstheme="minorHAnsi"/>
          <w:sz w:val="20"/>
          <w:szCs w:val="20"/>
        </w:rPr>
        <w:t>,</w:t>
      </w:r>
      <w:r w:rsidRPr="00626E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43C8AEE" w14:textId="5A5135C5" w:rsidR="00F9147B" w:rsidRPr="002F1675" w:rsidRDefault="00532259" w:rsidP="003013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EA6">
        <w:rPr>
          <w:rFonts w:asciiTheme="minorHAnsi" w:hAnsiTheme="minorHAnsi" w:cstheme="minorHAnsi"/>
          <w:sz w:val="20"/>
          <w:szCs w:val="20"/>
        </w:rPr>
        <w:t>wykonanie próby </w:t>
      </w:r>
      <w:r w:rsidRPr="002F1675">
        <w:rPr>
          <w:rFonts w:asciiTheme="minorHAnsi" w:hAnsiTheme="minorHAnsi" w:cstheme="minorHAnsi"/>
          <w:sz w:val="20"/>
          <w:szCs w:val="20"/>
        </w:rPr>
        <w:t>szczelności </w:t>
      </w:r>
      <w:r w:rsidR="0066705D" w:rsidRPr="002F1675">
        <w:rPr>
          <w:rFonts w:asciiTheme="minorHAnsi" w:hAnsiTheme="minorHAnsi" w:cstheme="minorHAnsi"/>
          <w:sz w:val="20"/>
          <w:szCs w:val="20"/>
        </w:rPr>
        <w:t xml:space="preserve">i drożności </w:t>
      </w:r>
      <w:r w:rsidR="00162B2E" w:rsidRPr="002F1675">
        <w:rPr>
          <w:rFonts w:asciiTheme="minorHAnsi" w:hAnsiTheme="minorHAnsi" w:cstheme="minorHAnsi"/>
          <w:sz w:val="20"/>
          <w:szCs w:val="20"/>
        </w:rPr>
        <w:t>kanalizacji wtórnej zgodnie z wytycznymi Zamawiającego</w:t>
      </w:r>
      <w:r w:rsidRPr="002F1675">
        <w:rPr>
          <w:rFonts w:asciiTheme="minorHAnsi" w:hAnsiTheme="minorHAnsi" w:cstheme="minorHAnsi"/>
          <w:sz w:val="20"/>
          <w:szCs w:val="20"/>
        </w:rPr>
        <w:t>,</w:t>
      </w:r>
    </w:p>
    <w:p w14:paraId="21AA77C6" w14:textId="7888B289" w:rsidR="00F9147B" w:rsidRPr="002F1675" w:rsidRDefault="00532259" w:rsidP="003013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1675">
        <w:rPr>
          <w:rFonts w:asciiTheme="minorHAnsi" w:hAnsiTheme="minorHAnsi" w:cstheme="minorHAnsi"/>
          <w:sz w:val="20"/>
          <w:szCs w:val="20"/>
        </w:rPr>
        <w:t xml:space="preserve">odtworzenie nawierzchni wraz z renowacją terenu do stanu nie gorszego niż istniejący, </w:t>
      </w:r>
    </w:p>
    <w:p w14:paraId="4D4C7597" w14:textId="307ADD9C" w:rsidR="00F9147B" w:rsidRPr="00626EA6" w:rsidRDefault="00C53795" w:rsidP="0030132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F1675">
        <w:rPr>
          <w:rFonts w:asciiTheme="minorHAnsi" w:hAnsiTheme="minorHAnsi" w:cstheme="minorHAnsi"/>
          <w:sz w:val="20"/>
          <w:szCs w:val="20"/>
        </w:rPr>
        <w:t xml:space="preserve">geodezyjną </w:t>
      </w:r>
      <w:r w:rsidR="00532259" w:rsidRPr="002F1675">
        <w:rPr>
          <w:rFonts w:asciiTheme="minorHAnsi" w:hAnsiTheme="minorHAnsi" w:cstheme="minorHAnsi"/>
          <w:sz w:val="20"/>
          <w:szCs w:val="20"/>
        </w:rPr>
        <w:t xml:space="preserve">dokumentację powykonawczą </w:t>
      </w:r>
      <w:r w:rsidR="0066705D" w:rsidRPr="002F1675">
        <w:rPr>
          <w:rFonts w:asciiTheme="minorHAnsi" w:hAnsiTheme="minorHAnsi" w:cstheme="minorHAnsi"/>
          <w:sz w:val="20"/>
          <w:szCs w:val="20"/>
        </w:rPr>
        <w:t xml:space="preserve">dla całej </w:t>
      </w:r>
      <w:r w:rsidR="00162B2E" w:rsidRPr="002F1675">
        <w:rPr>
          <w:rFonts w:asciiTheme="minorHAnsi" w:hAnsiTheme="minorHAnsi" w:cstheme="minorHAnsi"/>
          <w:sz w:val="20"/>
          <w:szCs w:val="20"/>
        </w:rPr>
        <w:t>kanalizacji wtórnikowej</w:t>
      </w:r>
      <w:r w:rsidR="00532259" w:rsidRPr="002F1675">
        <w:rPr>
          <w:rFonts w:asciiTheme="minorHAnsi" w:hAnsiTheme="minorHAnsi" w:cstheme="minorHAnsi"/>
          <w:sz w:val="20"/>
          <w:szCs w:val="20"/>
        </w:rPr>
        <w:t xml:space="preserve"> </w:t>
      </w:r>
      <w:r w:rsidR="0066705D" w:rsidRPr="002F1675">
        <w:rPr>
          <w:rFonts w:asciiTheme="minorHAnsi" w:hAnsiTheme="minorHAnsi" w:cstheme="minorHAnsi"/>
          <w:sz w:val="20"/>
          <w:szCs w:val="20"/>
        </w:rPr>
        <w:t xml:space="preserve">określonej w projekcie (włącznie z wykonanym już odcinkiem kanalizacji) </w:t>
      </w:r>
      <w:r w:rsidR="00532259" w:rsidRPr="002F1675">
        <w:rPr>
          <w:rFonts w:asciiTheme="minorHAnsi" w:hAnsiTheme="minorHAnsi" w:cstheme="minorHAnsi"/>
          <w:sz w:val="20"/>
          <w:szCs w:val="20"/>
        </w:rPr>
        <w:t xml:space="preserve">tj. szkice polowe z odpowiednimi znakami umożliwiającymi ich łatwe łączenie, dokumentacja geodezyjna musi być wykonywana na bieżąco, w </w:t>
      </w:r>
      <w:r w:rsidR="00AC054F" w:rsidRPr="002F1675">
        <w:rPr>
          <w:rFonts w:asciiTheme="minorHAnsi" w:hAnsiTheme="minorHAnsi" w:cstheme="minorHAnsi"/>
          <w:sz w:val="20"/>
          <w:szCs w:val="20"/>
        </w:rPr>
        <w:t>miarę postępu robót montażowych;</w:t>
      </w:r>
      <w:r w:rsidR="00532259" w:rsidRPr="002F1675">
        <w:rPr>
          <w:rFonts w:asciiTheme="minorHAnsi" w:hAnsiTheme="minorHAnsi" w:cstheme="minorHAnsi"/>
          <w:sz w:val="20"/>
          <w:szCs w:val="20"/>
        </w:rPr>
        <w:t xml:space="preserve"> </w:t>
      </w:r>
      <w:r w:rsidR="00AC054F" w:rsidRPr="002F1675">
        <w:rPr>
          <w:rFonts w:asciiTheme="minorHAnsi" w:hAnsiTheme="minorHAnsi" w:cstheme="minorHAnsi"/>
          <w:sz w:val="20"/>
          <w:szCs w:val="20"/>
        </w:rPr>
        <w:t>n</w:t>
      </w:r>
      <w:r w:rsidR="00532259" w:rsidRPr="002F1675">
        <w:rPr>
          <w:rFonts w:asciiTheme="minorHAnsi" w:hAnsiTheme="minorHAnsi" w:cstheme="minorHAnsi"/>
          <w:sz w:val="20"/>
          <w:szCs w:val="20"/>
        </w:rPr>
        <w:t xml:space="preserve">ależy podać średnicę nominalną rury </w:t>
      </w:r>
      <w:r w:rsidR="00532259" w:rsidRPr="00626EA6">
        <w:rPr>
          <w:rFonts w:asciiTheme="minorHAnsi" w:hAnsiTheme="minorHAnsi" w:cstheme="minorHAnsi"/>
          <w:sz w:val="20"/>
          <w:szCs w:val="20"/>
        </w:rPr>
        <w:t xml:space="preserve">przewodowej i średnicę zewnętrzną używając oznaczenia </w:t>
      </w:r>
      <w:r w:rsidR="00162B2E" w:rsidRPr="00626EA6">
        <w:rPr>
          <w:rFonts w:asciiTheme="minorHAnsi" w:hAnsiTheme="minorHAnsi" w:cstheme="minorHAnsi"/>
          <w:sz w:val="20"/>
          <w:szCs w:val="20"/>
        </w:rPr>
        <w:t>np.</w:t>
      </w:r>
      <w:r w:rsidR="00532259" w:rsidRPr="00626EA6">
        <w:rPr>
          <w:rFonts w:asciiTheme="minorHAnsi" w:hAnsiTheme="minorHAnsi" w:cstheme="minorHAnsi"/>
          <w:sz w:val="20"/>
          <w:szCs w:val="20"/>
        </w:rPr>
        <w:t xml:space="preserve"> symbolem 2</w:t>
      </w:r>
      <w:r w:rsidR="00AC054F">
        <w:rPr>
          <w:rFonts w:asciiTheme="minorHAnsi" w:hAnsiTheme="minorHAnsi" w:cstheme="minorHAnsi"/>
          <w:sz w:val="20"/>
          <w:szCs w:val="20"/>
        </w:rPr>
        <w:t xml:space="preserve">t40 dla kanalizacji wtórnikowej; </w:t>
      </w:r>
      <w:r w:rsidR="00532259" w:rsidRPr="00626EA6">
        <w:rPr>
          <w:rFonts w:asciiTheme="minorHAnsi" w:hAnsiTheme="minorHAnsi" w:cstheme="minorHAnsi"/>
          <w:color w:val="000000"/>
          <w:sz w:val="20"/>
          <w:szCs w:val="20"/>
        </w:rPr>
        <w:t>Wykonawca jest zobowiązany w terminie do 6 miesięcy od odbioru końcowego przekazać Zamawiającemu mapę z klauzulą o pozytywnej weryfikacji i przyjęciu do zasob</w:t>
      </w:r>
      <w:r w:rsidR="00AC054F">
        <w:rPr>
          <w:rFonts w:asciiTheme="minorHAnsi" w:hAnsiTheme="minorHAnsi" w:cstheme="minorHAnsi"/>
          <w:color w:val="000000"/>
          <w:sz w:val="20"/>
          <w:szCs w:val="20"/>
        </w:rPr>
        <w:t>ów geodezyjnych wykonanej sieci,</w:t>
      </w:r>
    </w:p>
    <w:p w14:paraId="0947EF43" w14:textId="77777777" w:rsidR="00F9147B" w:rsidRPr="00626EA6" w:rsidRDefault="00532259" w:rsidP="0030132D">
      <w:pPr>
        <w:pStyle w:val="Akapitzlist"/>
        <w:numPr>
          <w:ilvl w:val="0"/>
          <w:numId w:val="1"/>
        </w:numPr>
        <w:spacing w:after="0" w:line="240" w:lineRule="auto"/>
        <w:ind w:left="928"/>
        <w:jc w:val="both"/>
        <w:rPr>
          <w:rFonts w:asciiTheme="minorHAnsi" w:hAnsiTheme="minorHAnsi" w:cstheme="minorHAnsi"/>
          <w:sz w:val="20"/>
          <w:szCs w:val="20"/>
        </w:rPr>
      </w:pPr>
      <w:r w:rsidRPr="00626EA6">
        <w:rPr>
          <w:rFonts w:asciiTheme="minorHAnsi" w:hAnsiTheme="minorHAnsi" w:cstheme="minorHAnsi"/>
          <w:sz w:val="20"/>
          <w:szCs w:val="20"/>
        </w:rPr>
        <w:t xml:space="preserve">zabezpieczenie infrastruktury technicznej w miejscu skrzyżowań lub zbliżeń </w:t>
      </w:r>
      <w:r w:rsidRPr="00626EA6">
        <w:rPr>
          <w:rFonts w:asciiTheme="minorHAnsi" w:hAnsiTheme="minorHAnsi" w:cstheme="minorHAnsi"/>
          <w:sz w:val="20"/>
          <w:szCs w:val="20"/>
        </w:rPr>
        <w:br/>
        <w:t xml:space="preserve">do rur ciepłowniczych zgodnie z wymaganiami właścicieli/zarządców tej infrastruktury oraz pisemnym odbiorem technicznym wykonanych robót, </w:t>
      </w:r>
    </w:p>
    <w:p w14:paraId="5D51C1C3" w14:textId="4C4D4091" w:rsidR="00F9147B" w:rsidRPr="00626EA6" w:rsidRDefault="00532259" w:rsidP="00162B2E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26EA6">
        <w:rPr>
          <w:rFonts w:asciiTheme="minorHAnsi" w:hAnsiTheme="minorHAnsi" w:cstheme="minorHAnsi"/>
          <w:sz w:val="20"/>
          <w:szCs w:val="20"/>
        </w:rPr>
        <w:t>Wykonawca uzyskuje decyzje Zarządcy Dróg na zajęcie pasa drogowego ora</w:t>
      </w:r>
      <w:r w:rsidR="00AC054F">
        <w:rPr>
          <w:rFonts w:asciiTheme="minorHAnsi" w:hAnsiTheme="minorHAnsi" w:cstheme="minorHAnsi"/>
          <w:sz w:val="20"/>
          <w:szCs w:val="20"/>
        </w:rPr>
        <w:t>z pokrywa opłaty z tym związane; o</w:t>
      </w:r>
      <w:r w:rsidRPr="00626EA6">
        <w:rPr>
          <w:rFonts w:asciiTheme="minorHAnsi" w:hAnsiTheme="minorHAnsi" w:cstheme="minorHAnsi"/>
          <w:sz w:val="20"/>
          <w:szCs w:val="20"/>
        </w:rPr>
        <w:t>płaty t</w:t>
      </w:r>
      <w:r w:rsidR="00AC054F">
        <w:rPr>
          <w:rFonts w:asciiTheme="minorHAnsi" w:hAnsiTheme="minorHAnsi" w:cstheme="minorHAnsi"/>
          <w:sz w:val="20"/>
          <w:szCs w:val="20"/>
        </w:rPr>
        <w:t>e stanowią część ceny ofertowej; w</w:t>
      </w:r>
      <w:r w:rsidRPr="00626EA6">
        <w:rPr>
          <w:rFonts w:asciiTheme="minorHAnsi" w:hAnsiTheme="minorHAnsi" w:cstheme="minorHAnsi"/>
          <w:sz w:val="20"/>
          <w:szCs w:val="20"/>
        </w:rPr>
        <w:t xml:space="preserve"> razie potrzeby wykonać projekt organizacji ruchu drogowego oraz wykonać prawidłowe oznakowanie, wg tego projektu; koszty z tym związane ponosi Wykonawca,</w:t>
      </w:r>
      <w:bookmarkStart w:id="3" w:name="_Hlk141182046"/>
      <w:bookmarkStart w:id="4" w:name="_Hlk82413214"/>
    </w:p>
    <w:bookmarkEnd w:id="3"/>
    <w:p w14:paraId="24834E54" w14:textId="290014A5" w:rsidR="00F9147B" w:rsidRPr="00626EA6" w:rsidRDefault="00532259" w:rsidP="0030132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6EA6">
        <w:rPr>
          <w:rFonts w:asciiTheme="minorHAnsi" w:hAnsiTheme="minorHAnsi" w:cstheme="minorHAnsi"/>
          <w:sz w:val="20"/>
          <w:szCs w:val="20"/>
        </w:rPr>
        <w:t xml:space="preserve">Wykonawca jest zobowiązany  uzyskać zgodę właściciela terenu, na którym zamierza składować materiały </w:t>
      </w:r>
      <w:bookmarkEnd w:id="4"/>
      <w:r w:rsidRPr="00626EA6">
        <w:rPr>
          <w:rFonts w:asciiTheme="minorHAnsi" w:hAnsiTheme="minorHAnsi" w:cstheme="minorHAnsi"/>
          <w:sz w:val="20"/>
          <w:szCs w:val="20"/>
        </w:rPr>
        <w:t>potrzebne do budowy sieci,</w:t>
      </w:r>
    </w:p>
    <w:p w14:paraId="5C60A2FD" w14:textId="5E29992E" w:rsidR="00F9147B" w:rsidRPr="00626EA6" w:rsidRDefault="00532259" w:rsidP="0030132D">
      <w:pPr>
        <w:pStyle w:val="Akapitzlist"/>
        <w:numPr>
          <w:ilvl w:val="0"/>
          <w:numId w:val="1"/>
        </w:numPr>
        <w:spacing w:after="0" w:line="240" w:lineRule="auto"/>
        <w:ind w:left="928"/>
        <w:jc w:val="both"/>
        <w:rPr>
          <w:rFonts w:asciiTheme="minorHAnsi" w:hAnsiTheme="minorHAnsi" w:cstheme="minorHAnsi"/>
          <w:sz w:val="20"/>
          <w:szCs w:val="20"/>
        </w:rPr>
      </w:pPr>
      <w:r w:rsidRPr="00626EA6">
        <w:rPr>
          <w:rFonts w:asciiTheme="minorHAnsi" w:hAnsiTheme="minorHAnsi" w:cstheme="minorHAnsi"/>
          <w:sz w:val="20"/>
          <w:szCs w:val="20"/>
        </w:rPr>
        <w:t>gospodarkę odpadami zgodnie z obowiązującymi przepisami w tym zakresie,</w:t>
      </w:r>
      <w:r w:rsidRPr="00626EA6">
        <w:rPr>
          <w:rFonts w:asciiTheme="minorHAnsi" w:hAnsiTheme="minorHAnsi" w:cstheme="minorHAnsi"/>
          <w:sz w:val="20"/>
          <w:szCs w:val="20"/>
        </w:rPr>
        <w:br/>
      </w:r>
      <w:r w:rsidRPr="002F1675">
        <w:rPr>
          <w:rFonts w:asciiTheme="minorHAnsi" w:hAnsiTheme="minorHAnsi" w:cstheme="minorHAnsi"/>
          <w:sz w:val="20"/>
          <w:szCs w:val="20"/>
        </w:rPr>
        <w:t xml:space="preserve">według procedury z pkt. 2, </w:t>
      </w:r>
    </w:p>
    <w:p w14:paraId="02599FC7" w14:textId="296EAC22" w:rsidR="00F9147B" w:rsidRPr="00626EA6" w:rsidRDefault="00532259" w:rsidP="0030132D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26EA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jeżeli w czasie realizacji przedmiotu zamówienia zostaną ujawnione kolizje budowanej </w:t>
      </w:r>
      <w:r w:rsidR="00162B2E" w:rsidRPr="00626EA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kanalizacji teletechnicznej </w:t>
      </w:r>
      <w:r w:rsidRPr="00626EA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z instalacjami: wodociągowymi, kanalizacyjnymi, gazowymi, elektroenergetycznymi, telekomunikacyjnymi, podziemnymi, nadziemnymi, lub innymi obiektami budowlanymi umieszczonymi pod ziemią, wówczas Wykonawca zobowiązuje się przy współpracy z Zamawiającym do ustalenia </w:t>
      </w:r>
      <w:r w:rsidR="00AC054F">
        <w:rPr>
          <w:rFonts w:asciiTheme="minorHAnsi" w:eastAsia="Times New Roman" w:hAnsiTheme="minorHAnsi" w:cstheme="minorHAnsi"/>
          <w:sz w:val="20"/>
          <w:szCs w:val="20"/>
          <w:lang w:eastAsia="ar-SA"/>
        </w:rPr>
        <w:t>sposobu i czasu ich likwidacji; u</w:t>
      </w:r>
      <w:r w:rsidRPr="00626EA6">
        <w:rPr>
          <w:rFonts w:asciiTheme="minorHAnsi" w:eastAsia="Times New Roman" w:hAnsiTheme="minorHAnsi" w:cstheme="minorHAnsi"/>
          <w:sz w:val="20"/>
          <w:szCs w:val="20"/>
          <w:lang w:eastAsia="ar-SA"/>
        </w:rPr>
        <w:t>jawnione kolizje Wykonawca zobowiązany jest usunąć niezwłocznie,</w:t>
      </w:r>
    </w:p>
    <w:p w14:paraId="7623F2F5" w14:textId="77777777" w:rsidR="00AC054F" w:rsidRDefault="00532259" w:rsidP="00AC054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26EA6">
        <w:rPr>
          <w:rFonts w:asciiTheme="minorHAnsi" w:hAnsiTheme="minorHAnsi" w:cstheme="minorHAnsi"/>
          <w:sz w:val="20"/>
          <w:szCs w:val="20"/>
        </w:rPr>
        <w:t>w razie potrzeby wykonać projekt organizacji ruchu drogowego oraz ustawienie znaków drogowych, tablic informacyjnych  wg projektów,</w:t>
      </w:r>
    </w:p>
    <w:p w14:paraId="6655BF97" w14:textId="433D3D88" w:rsidR="00AC054F" w:rsidRPr="00AC054F" w:rsidRDefault="00532259" w:rsidP="00AC054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C054F">
        <w:rPr>
          <w:rFonts w:asciiTheme="minorHAnsi" w:hAnsiTheme="minorHAnsi" w:cstheme="minorHAnsi"/>
          <w:sz w:val="20"/>
          <w:szCs w:val="20"/>
        </w:rPr>
        <w:t>szczegółowy zakres robót przedmiotu zamówienia zgodnie z dokumentacją projektową opracowaną przez:</w:t>
      </w:r>
      <w:bookmarkStart w:id="5" w:name="_Hlk137014228"/>
      <w:r w:rsidR="00F5756F" w:rsidRPr="00AC054F">
        <w:rPr>
          <w:rFonts w:asciiTheme="minorHAnsi" w:hAnsiTheme="minorHAnsi" w:cstheme="minorHAnsi"/>
          <w:sz w:val="20"/>
          <w:szCs w:val="20"/>
        </w:rPr>
        <w:t xml:space="preserve"> </w:t>
      </w:r>
      <w:bookmarkEnd w:id="5"/>
      <w:r w:rsidR="00162B2E" w:rsidRPr="00AC054F">
        <w:rPr>
          <w:rFonts w:asciiTheme="minorHAnsi" w:hAnsiTheme="minorHAnsi" w:cstheme="minorHAnsi"/>
          <w:sz w:val="20"/>
          <w:szCs w:val="20"/>
        </w:rPr>
        <w:t>dr inż. ARTUR CYWIŃSKI, SLK/8141/PWST/18, SLK/IE/8780</w:t>
      </w:r>
      <w:r w:rsidR="00162B2E" w:rsidRPr="002F1675">
        <w:rPr>
          <w:rFonts w:asciiTheme="minorHAnsi" w:hAnsiTheme="minorHAnsi" w:cstheme="minorHAnsi"/>
          <w:sz w:val="20"/>
          <w:szCs w:val="20"/>
        </w:rPr>
        <w:t>/03</w:t>
      </w:r>
      <w:r w:rsidR="00AC054F" w:rsidRPr="002F1675">
        <w:rPr>
          <w:rFonts w:asciiTheme="minorHAnsi" w:hAnsiTheme="minorHAnsi" w:cstheme="minorHAnsi"/>
          <w:sz w:val="20"/>
          <w:szCs w:val="20"/>
        </w:rPr>
        <w:t xml:space="preserve"> </w:t>
      </w:r>
      <w:r w:rsidR="00E0413E" w:rsidRPr="002A0E64">
        <w:rPr>
          <w:rFonts w:asciiTheme="minorHAnsi" w:hAnsiTheme="minorHAnsi" w:cstheme="minorHAnsi"/>
          <w:sz w:val="20"/>
          <w:szCs w:val="20"/>
        </w:rPr>
        <w:t>oraz korektach projektu wykonanych przez Zamawiającego (</w:t>
      </w:r>
      <w:r w:rsidR="00AC054F" w:rsidRPr="002A0E64">
        <w:rPr>
          <w:rFonts w:asciiTheme="minorHAnsi" w:hAnsiTheme="minorHAnsi" w:cstheme="minorHAnsi"/>
          <w:sz w:val="20"/>
          <w:szCs w:val="20"/>
        </w:rPr>
        <w:t>uwzględniający</w:t>
      </w:r>
      <w:r w:rsidR="00F27417" w:rsidRPr="002A0E64">
        <w:rPr>
          <w:rFonts w:asciiTheme="minorHAnsi" w:hAnsiTheme="minorHAnsi" w:cstheme="minorHAnsi"/>
          <w:sz w:val="20"/>
          <w:szCs w:val="20"/>
        </w:rPr>
        <w:t>ch</w:t>
      </w:r>
      <w:r w:rsidR="00AC054F" w:rsidRPr="002A0E64">
        <w:rPr>
          <w:rFonts w:asciiTheme="minorHAnsi" w:hAnsiTheme="minorHAnsi" w:cstheme="minorHAnsi"/>
          <w:sz w:val="20"/>
          <w:szCs w:val="20"/>
        </w:rPr>
        <w:t xml:space="preserve"> wykonany już odcinek kanalizacji pierwotnej i wtórnej</w:t>
      </w:r>
      <w:r w:rsidR="00BA1897">
        <w:rPr>
          <w:rFonts w:asciiTheme="minorHAnsi" w:hAnsiTheme="minorHAnsi" w:cstheme="minorHAnsi"/>
          <w:sz w:val="20"/>
          <w:szCs w:val="20"/>
        </w:rPr>
        <w:t xml:space="preserve"> załącznik nr 5</w:t>
      </w:r>
      <w:r w:rsidR="00E0413E" w:rsidRPr="002A0E64">
        <w:rPr>
          <w:rFonts w:asciiTheme="minorHAnsi" w:hAnsiTheme="minorHAnsi" w:cstheme="minorHAnsi"/>
          <w:sz w:val="20"/>
          <w:szCs w:val="20"/>
        </w:rPr>
        <w:t>)</w:t>
      </w:r>
      <w:r w:rsidR="00AC054F" w:rsidRPr="002A0E64">
        <w:rPr>
          <w:rFonts w:asciiTheme="minorHAnsi" w:hAnsiTheme="minorHAnsi" w:cstheme="minorHAnsi"/>
          <w:sz w:val="20"/>
          <w:szCs w:val="20"/>
        </w:rPr>
        <w:t>,</w:t>
      </w:r>
      <w:r w:rsidR="00EC75B1" w:rsidRPr="002A0E64">
        <w:rPr>
          <w:rFonts w:asciiTheme="minorHAnsi" w:hAnsiTheme="minorHAnsi" w:cstheme="minorHAnsi"/>
          <w:sz w:val="20"/>
          <w:szCs w:val="20"/>
        </w:rPr>
        <w:t xml:space="preserve"> oraz wytycznymi stanowiącymi załącznik nr 4</w:t>
      </w:r>
      <w:r w:rsidR="00BA1897">
        <w:rPr>
          <w:rFonts w:asciiTheme="minorHAnsi" w:hAnsiTheme="minorHAnsi" w:cstheme="minorHAnsi"/>
          <w:sz w:val="20"/>
          <w:szCs w:val="20"/>
        </w:rPr>
        <w:t>.</w:t>
      </w:r>
    </w:p>
    <w:p w14:paraId="0318A191" w14:textId="77777777" w:rsidR="00906C25" w:rsidRDefault="00906C25" w:rsidP="00AC054F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CEBCDF0" w14:textId="02A3FC7E" w:rsidR="00F9147B" w:rsidRPr="00AC054F" w:rsidRDefault="00532259" w:rsidP="00AC054F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C054F">
        <w:rPr>
          <w:rFonts w:asciiTheme="minorHAnsi" w:hAnsiTheme="minorHAnsi" w:cstheme="minorHAnsi"/>
          <w:sz w:val="20"/>
          <w:szCs w:val="20"/>
        </w:rPr>
        <w:t>Powyższe wymagania są nadrzędne w stosunku do tych ujętych w projekcie.</w:t>
      </w:r>
    </w:p>
    <w:p w14:paraId="666A986F" w14:textId="77777777" w:rsidR="001A4A56" w:rsidRPr="00626EA6" w:rsidRDefault="001A4A56" w:rsidP="001A4A5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F3F51D" w14:textId="4FA0C9CD" w:rsidR="001A4A56" w:rsidRPr="00626EA6" w:rsidRDefault="001A4A56" w:rsidP="001A4A56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626EA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Ogólne wymagania dotyczące robót.</w:t>
      </w:r>
    </w:p>
    <w:p w14:paraId="5E0F297B" w14:textId="5C0B9F0B" w:rsidR="001A4A56" w:rsidRPr="00626EA6" w:rsidRDefault="001A4A56" w:rsidP="001A4A5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 xml:space="preserve">Wykonawca robót jest odpowiedzialny za jakość wykonywanych robót oraz za ich zgodność z Dokumentacją Projektową oraz poleceniami przedstawiciela Inwestora. Instalacje powinny być wykonane zgodnie z </w:t>
      </w:r>
      <w:r w:rsidRPr="00626EA6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dokumentacją projektową, specyfikacjami technicznymi w oparciu o przywołane Polskie Normy i obowiązujące Prawo Budowlane. Rodzaje (typy) urządzeń, osprzętu i materiałów pomocniczych zastosowanych do wykonywania instalacji powinny być zgodne z podanymi w dokumentacji projektowej. Zastosowanie do instalacji innych rodzajów (typów) urządzeń i osprzętu niż wymienione w projekcie jest dopuszczalne jedynie pod warunkiem wprowadzenia do dokumentacji projektowej zmian uzgodnionych z Inwestorem. Wykonawca i jego przedstawiciele zobowiązani są do korzystania z ubrań roboczych posiadających logo firmy wykonawczej w celu łatwego ich identyfikowania. Wykonawca zobowiązany jest wziąć pod uwagę konieczność zabezpieczenie w/w zgodnie z obowiązującymi przepisami BHP.</w:t>
      </w:r>
    </w:p>
    <w:p w14:paraId="15A7A58C" w14:textId="7E7C405C" w:rsidR="001A4A56" w:rsidRPr="00626EA6" w:rsidRDefault="001A4A56" w:rsidP="001A4A5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A4A93A7" w14:textId="06B74C9F" w:rsidR="001A4A56" w:rsidRPr="00626EA6" w:rsidRDefault="001A4A56" w:rsidP="001A4A56">
      <w:p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239635" w14:textId="77777777" w:rsidR="00696BC8" w:rsidRPr="00626EA6" w:rsidRDefault="00696BC8" w:rsidP="00781C1A">
      <w:pPr>
        <w:pStyle w:val="Akapitzlist"/>
        <w:ind w:left="92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38763E" w14:textId="508D8DEA" w:rsidR="00F9147B" w:rsidRPr="00626EA6" w:rsidRDefault="00532259" w:rsidP="00781C1A">
      <w:pPr>
        <w:pStyle w:val="Akapitzlist"/>
        <w:ind w:left="928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26EA6">
        <w:rPr>
          <w:rFonts w:asciiTheme="minorHAnsi" w:hAnsiTheme="minorHAnsi" w:cstheme="minorHAnsi"/>
          <w:color w:val="000000" w:themeColor="text1"/>
          <w:sz w:val="20"/>
          <w:szCs w:val="20"/>
        </w:rPr>
        <w:t>Termin wykonania –</w:t>
      </w:r>
      <w:r w:rsidR="00781C1A" w:rsidRPr="00626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6" w:name="_Hlk141181903"/>
      <w:r w:rsidR="00683EBC" w:rsidRPr="00626EA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3</w:t>
      </w:r>
      <w:r w:rsidR="00162B2E" w:rsidRPr="00626EA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0</w:t>
      </w:r>
      <w:r w:rsidRPr="00626EA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  <w:r w:rsidR="00E0413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09</w:t>
      </w:r>
      <w:r w:rsidRPr="00626EA6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.2023r.</w:t>
      </w:r>
    </w:p>
    <w:bookmarkEnd w:id="6"/>
    <w:p w14:paraId="52464007" w14:textId="77777777" w:rsidR="00696BC8" w:rsidRPr="00626EA6" w:rsidRDefault="00696BC8" w:rsidP="00781C1A">
      <w:pPr>
        <w:pStyle w:val="Akapitzlist"/>
        <w:ind w:left="928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14:paraId="62C65327" w14:textId="77777777" w:rsidR="00DE58DE" w:rsidRPr="00626EA6" w:rsidRDefault="00DE58DE" w:rsidP="00DE58DE">
      <w:pPr>
        <w:suppressAutoHyphens w:val="0"/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D70FA0C" w14:textId="77777777" w:rsidR="00DE58DE" w:rsidRPr="00626EA6" w:rsidRDefault="00DE58DE" w:rsidP="00DE58DE">
      <w:pPr>
        <w:pStyle w:val="ox-ea2a7c4e09-pk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8BC59F4" w14:textId="77777777" w:rsidR="003428D0" w:rsidRPr="00626EA6" w:rsidRDefault="003428D0" w:rsidP="003428D0">
      <w:pPr>
        <w:suppressAutoHyphens w:val="0"/>
        <w:spacing w:before="60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626EA6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  <w:lang w:eastAsia="pl-PL"/>
        </w:rPr>
        <w:t>Pozostałe wymagania dotyczące przedmiotu zamówienia:</w:t>
      </w:r>
    </w:p>
    <w:p w14:paraId="3CD38B2E" w14:textId="77777777" w:rsidR="003428D0" w:rsidRPr="00626EA6" w:rsidRDefault="003428D0" w:rsidP="003428D0">
      <w:pPr>
        <w:suppressAutoHyphens w:val="0"/>
        <w:spacing w:before="60"/>
        <w:ind w:left="851" w:hanging="295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</w:pPr>
    </w:p>
    <w:p w14:paraId="1A58737D" w14:textId="77777777" w:rsidR="00626EA6" w:rsidRPr="00626EA6" w:rsidRDefault="00626EA6" w:rsidP="00626EA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Wykonawca jest zobowiązany:</w:t>
      </w:r>
    </w:p>
    <w:p w14:paraId="4E533091" w14:textId="77777777" w:rsidR="00626EA6" w:rsidRPr="00626EA6" w:rsidRDefault="00626EA6" w:rsidP="00626EA6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- dostarczyć materiały zgodnie z wymaganiami dokumentacji projektowej i specyfikacji technicznej,</w:t>
      </w:r>
    </w:p>
    <w:p w14:paraId="687B0051" w14:textId="77777777" w:rsidR="00626EA6" w:rsidRPr="00626EA6" w:rsidRDefault="00626EA6" w:rsidP="00626EA6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- stosować materiały posiadające certyfikaty na znak bezpieczeństwa „B”,</w:t>
      </w:r>
    </w:p>
    <w:p w14:paraId="51C814DE" w14:textId="77777777" w:rsidR="00626EA6" w:rsidRPr="00626EA6" w:rsidRDefault="00626EA6" w:rsidP="00626EA6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- w przypadku wyrobów nieobjętych obowiązkiem certyfikacji, powinien stosować wyroby posiadające atesty oraz świadectwa jakości,</w:t>
      </w:r>
    </w:p>
    <w:p w14:paraId="269F179C" w14:textId="77777777" w:rsidR="00626EA6" w:rsidRPr="00626EA6" w:rsidRDefault="00626EA6" w:rsidP="00626EA6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- powiadomić zarządzającego realizacją umowy o proponowanych źródłach pozyskiwania materiałów i uzyskać jego akceptację przed rozpoczęciem dostawy na budowę (zatwierdzić karty materiałowe).</w:t>
      </w:r>
    </w:p>
    <w:p w14:paraId="5CFE748A" w14:textId="15D335C1" w:rsidR="00626EA6" w:rsidRPr="00626EA6" w:rsidRDefault="00626EA6" w:rsidP="00626EA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Wykonawca jest zobowiązany do używania jedynie takiego sprzętu, który nie spowoduje niekorzystnego wpływu na jakość wykonywanych robót, zarówno w miejscu tych robót, jak też przy wykonywaniu czynności pomocniczych oraz w czasie transportu, załadunku i wyładunku materiałów, sprzętu itp.</w:t>
      </w:r>
    </w:p>
    <w:p w14:paraId="6F8BB07C" w14:textId="28C9B6C3" w:rsidR="00626EA6" w:rsidRPr="00626EA6" w:rsidRDefault="00626EA6" w:rsidP="00626EA6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Sprzęt używany przez Wykonawcę powinien uzyskać akceptację Inwestora.</w:t>
      </w:r>
    </w:p>
    <w:p w14:paraId="1D92E78F" w14:textId="77777777" w:rsidR="003428D0" w:rsidRPr="00626EA6" w:rsidRDefault="003428D0" w:rsidP="00626EA6">
      <w:pPr>
        <w:numPr>
          <w:ilvl w:val="0"/>
          <w:numId w:val="21"/>
        </w:numPr>
        <w:suppressAutoHyphens w:val="0"/>
        <w:spacing w:before="60" w:after="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Powyższe wymagania są nadrzędne w stosunku do tych ujętych w dokumentacjach projektowych.</w:t>
      </w:r>
    </w:p>
    <w:p w14:paraId="27CA212F" w14:textId="77777777" w:rsidR="003428D0" w:rsidRPr="00626EA6" w:rsidRDefault="003428D0" w:rsidP="00626EA6">
      <w:pPr>
        <w:numPr>
          <w:ilvl w:val="0"/>
          <w:numId w:val="21"/>
        </w:numPr>
        <w:suppressAutoHyphens w:val="0"/>
        <w:spacing w:before="60" w:after="6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</w:pPr>
      <w:r w:rsidRPr="00626EA6">
        <w:rPr>
          <w:rFonts w:asciiTheme="minorHAnsi" w:hAnsiTheme="minorHAnsi" w:cstheme="minorHAnsi"/>
          <w:sz w:val="20"/>
          <w:szCs w:val="20"/>
          <w:lang w:eastAsia="pl-PL"/>
        </w:rPr>
        <w:t>W przypadku konieczności zastosowania urządzeń równoważnych, Wykonawca po podpisaniu  umowy zobowiązany jest przedłożyć Zamawiającemu do 7 dni roboczych, wykaz wszystkich urządzeń równoważnych</w:t>
      </w:r>
      <w:r w:rsidRPr="00626EA6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spełniających wymagania zawarte w dokumentacji projektowej.</w:t>
      </w:r>
    </w:p>
    <w:p w14:paraId="570BC381" w14:textId="77777777" w:rsidR="00DE58DE" w:rsidRPr="00626EA6" w:rsidRDefault="00DE58DE" w:rsidP="00DE58DE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sectPr w:rsidR="00DE58DE" w:rsidRPr="00626EA6">
      <w:headerReference w:type="default" r:id="rId8"/>
      <w:footerReference w:type="default" r:id="rId9"/>
      <w:pgSz w:w="11906" w:h="16838"/>
      <w:pgMar w:top="766" w:right="1418" w:bottom="1134" w:left="1418" w:header="709" w:footer="5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4F47" w14:textId="77777777" w:rsidR="004F21A6" w:rsidRDefault="00532259">
      <w:r>
        <w:separator/>
      </w:r>
    </w:p>
  </w:endnote>
  <w:endnote w:type="continuationSeparator" w:id="0">
    <w:p w14:paraId="315F5185" w14:textId="77777777" w:rsidR="004F21A6" w:rsidRDefault="0053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EB92" w14:textId="77777777" w:rsidR="00F9147B" w:rsidRDefault="00F9147B">
    <w:pPr>
      <w:rPr>
        <w:sz w:val="8"/>
        <w:szCs w:val="8"/>
      </w:rPr>
    </w:pPr>
  </w:p>
  <w:p w14:paraId="296A080C" w14:textId="0EA0B220" w:rsidR="00F9147B" w:rsidRDefault="00626EA6">
    <w:pPr>
      <w:rPr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13" behindDoc="1" locked="0" layoutInCell="0" allowOverlap="1" wp14:anchorId="37A4880E" wp14:editId="32E82358">
              <wp:simplePos x="0" y="0"/>
              <wp:positionH relativeFrom="column">
                <wp:posOffset>-237490</wp:posOffset>
              </wp:positionH>
              <wp:positionV relativeFrom="paragraph">
                <wp:posOffset>-22226</wp:posOffset>
              </wp:positionV>
              <wp:extent cx="6174740" cy="0"/>
              <wp:effectExtent l="0" t="0" r="0" b="0"/>
              <wp:wrapNone/>
              <wp:docPr id="74372576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9A2AA" id="Łącznik prosty 2" o:spid="_x0000_s1026" style="position:absolute;z-index:-5033164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7pt,-1.75pt" to="467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" o:allowincell="f" strokeweight=".26mm">
              <v:stroke joinstyle="miter"/>
              <o:lock v:ext="edit" shapetype="f"/>
            </v:line>
          </w:pict>
        </mc:Fallback>
      </mc:AlternateContent>
    </w:r>
  </w:p>
  <w:tbl>
    <w:tblPr>
      <w:tblW w:w="9236" w:type="dxa"/>
      <w:tblInd w:w="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"/>
      <w:gridCol w:w="1216"/>
      <w:gridCol w:w="188"/>
      <w:gridCol w:w="6357"/>
      <w:gridCol w:w="1313"/>
    </w:tblGrid>
    <w:tr w:rsidR="00F9147B" w14:paraId="3CD0BA75" w14:textId="77777777">
      <w:trPr>
        <w:cantSplit/>
        <w:trHeight w:val="334"/>
      </w:trPr>
      <w:tc>
        <w:tcPr>
          <w:tcW w:w="162" w:type="dxa"/>
        </w:tcPr>
        <w:p w14:paraId="63C37D30" w14:textId="77777777" w:rsidR="00F9147B" w:rsidRDefault="00F9147B">
          <w:pPr>
            <w:widowControl w:val="0"/>
            <w:snapToGrid w:val="0"/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</w:pPr>
        </w:p>
      </w:tc>
      <w:tc>
        <w:tcPr>
          <w:tcW w:w="1216" w:type="dxa"/>
        </w:tcPr>
        <w:p w14:paraId="5DA6898E" w14:textId="77777777" w:rsidR="00F9147B" w:rsidRDefault="00F9147B">
          <w:pPr>
            <w:widowControl w:val="0"/>
            <w:snapToGrid w:val="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88" w:type="dxa"/>
        </w:tcPr>
        <w:p w14:paraId="58F7F4BC" w14:textId="77777777" w:rsidR="00F9147B" w:rsidRDefault="00F9147B">
          <w:pPr>
            <w:pStyle w:val="Tekstpodstawowy21"/>
            <w:widowControl w:val="0"/>
            <w:snapToGrid w:val="0"/>
            <w:rPr>
              <w:rFonts w:ascii="Arial" w:hAnsi="Arial" w:cs="Arial"/>
              <w:b w:val="0"/>
              <w:bCs w:val="0"/>
              <w:i/>
              <w:iCs/>
              <w:sz w:val="16"/>
              <w:szCs w:val="16"/>
            </w:rPr>
          </w:pPr>
        </w:p>
      </w:tc>
      <w:tc>
        <w:tcPr>
          <w:tcW w:w="6357" w:type="dxa"/>
        </w:tcPr>
        <w:p w14:paraId="3B74BC92" w14:textId="77777777" w:rsidR="00F9147B" w:rsidRDefault="00F9147B">
          <w:pPr>
            <w:pStyle w:val="Tekstpodstawowy21"/>
            <w:widowControl w:val="0"/>
            <w:snapToGrid w:val="0"/>
            <w:spacing w:line="360" w:lineRule="auto"/>
            <w:rPr>
              <w:rFonts w:ascii="Arial" w:hAnsi="Arial" w:cs="Arial"/>
              <w:b w:val="0"/>
              <w:bCs w:val="0"/>
              <w:i/>
              <w:iCs/>
              <w:sz w:val="16"/>
              <w:szCs w:val="16"/>
            </w:rPr>
          </w:pPr>
        </w:p>
      </w:tc>
      <w:tc>
        <w:tcPr>
          <w:tcW w:w="1313" w:type="dxa"/>
        </w:tcPr>
        <w:p w14:paraId="0872F294" w14:textId="4DFD5656" w:rsidR="00F9147B" w:rsidRDefault="00626EA6">
          <w:pPr>
            <w:pStyle w:val="Stopka"/>
            <w:widowControl w:val="0"/>
            <w:snapToGrid w:val="0"/>
            <w:jc w:val="right"/>
            <w:rPr>
              <w:rFonts w:ascii="Calibri" w:hAnsi="Calibri" w:cs="Calibri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5" behindDoc="1" locked="0" layoutInCell="1" allowOverlap="1" wp14:anchorId="4D9E7788" wp14:editId="68C44E51">
                    <wp:simplePos x="0" y="0"/>
                    <wp:positionH relativeFrom="column">
                      <wp:posOffset>-245110</wp:posOffset>
                    </wp:positionH>
                    <wp:positionV relativeFrom="paragraph">
                      <wp:posOffset>979169</wp:posOffset>
                    </wp:positionV>
                    <wp:extent cx="6174740" cy="0"/>
                    <wp:effectExtent l="0" t="0" r="0" b="0"/>
                    <wp:wrapNone/>
                    <wp:docPr id="965350563" name="Łącznik prosty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7474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512EFBD" id="Łącznik prosty 1" o:spid="_x0000_s1026" style="position:absolute;z-index:-50331647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3pt,77.1pt" to="466.9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" strokeweight=".26mm">
                    <v:stroke joinstyle="miter"/>
                    <o:lock v:ext="edit" shapetype="f"/>
                  </v:line>
                </w:pict>
              </mc:Fallback>
            </mc:AlternateContent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t xml:space="preserve">Strona </w:t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fldChar w:fldCharType="begin"/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instrText xml:space="preserve"> PAGE </w:instrText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fldChar w:fldCharType="separate"/>
          </w:r>
          <w:r w:rsidR="00BA1897">
            <w:rPr>
              <w:rFonts w:ascii="Calibri" w:hAnsi="Calibri" w:cs="Calibri"/>
              <w:i/>
              <w:iCs/>
              <w:noProof/>
              <w:sz w:val="16"/>
              <w:szCs w:val="16"/>
            </w:rPr>
            <w:t>2</w:t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fldChar w:fldCharType="end"/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t xml:space="preserve"> z </w:t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fldChar w:fldCharType="begin"/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instrText xml:space="preserve"> NUMPAGES </w:instrText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fldChar w:fldCharType="separate"/>
          </w:r>
          <w:r w:rsidR="00BA1897">
            <w:rPr>
              <w:rFonts w:ascii="Calibri" w:hAnsi="Calibri" w:cs="Calibri"/>
              <w:i/>
              <w:iCs/>
              <w:noProof/>
              <w:sz w:val="16"/>
              <w:szCs w:val="16"/>
            </w:rPr>
            <w:t>2</w:t>
          </w:r>
          <w:r w:rsidR="00532259">
            <w:rPr>
              <w:rFonts w:ascii="Calibri" w:hAnsi="Calibri" w:cs="Calibri"/>
              <w:i/>
              <w:iCs/>
              <w:sz w:val="16"/>
              <w:szCs w:val="16"/>
            </w:rPr>
            <w:fldChar w:fldCharType="end"/>
          </w:r>
        </w:p>
      </w:tc>
    </w:tr>
  </w:tbl>
  <w:p w14:paraId="2E8DF82A" w14:textId="77777777" w:rsidR="00F9147B" w:rsidRDefault="00F91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1566" w14:textId="77777777" w:rsidR="004F21A6" w:rsidRDefault="00532259">
      <w:r>
        <w:separator/>
      </w:r>
    </w:p>
  </w:footnote>
  <w:footnote w:type="continuationSeparator" w:id="0">
    <w:p w14:paraId="68DE51DC" w14:textId="77777777" w:rsidR="004F21A6" w:rsidRDefault="0053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1" w:type="dxa"/>
      <w:tblInd w:w="3" w:type="dxa"/>
      <w:tblLayout w:type="fixed"/>
      <w:tblLook w:val="0000" w:firstRow="0" w:lastRow="0" w:firstColumn="0" w:lastColumn="0" w:noHBand="0" w:noVBand="0"/>
    </w:tblPr>
    <w:tblGrid>
      <w:gridCol w:w="3692"/>
      <w:gridCol w:w="2279"/>
      <w:gridCol w:w="2927"/>
      <w:gridCol w:w="493"/>
    </w:tblGrid>
    <w:tr w:rsidR="00F9147B" w14:paraId="0A650813" w14:textId="77777777">
      <w:trPr>
        <w:trHeight w:val="493"/>
      </w:trPr>
      <w:tc>
        <w:tcPr>
          <w:tcW w:w="3691" w:type="dxa"/>
          <w:vMerge w:val="restart"/>
          <w:vAlign w:val="center"/>
        </w:tcPr>
        <w:p w14:paraId="658B6E7C" w14:textId="6D498036" w:rsidR="00F9147B" w:rsidRDefault="00626EA6">
          <w:pPr>
            <w:pStyle w:val="Nagwek"/>
            <w:widowControl w:val="0"/>
            <w:snapToGrid w:val="0"/>
            <w:rPr>
              <w:rFonts w:ascii="Arial" w:hAnsi="Arial" w:cs="Arial"/>
              <w:caps/>
              <w:color w:val="FFFFFF"/>
            </w:rPr>
          </w:pPr>
          <w:r>
            <w:rPr>
              <w:noProof/>
              <w:lang w:eastAsia="pl-PL"/>
            </w:rPr>
            <w:drawing>
              <wp:inline distT="0" distB="0" distL="0" distR="0" wp14:anchorId="4DE4628B" wp14:editId="5685FD0B">
                <wp:extent cx="1609725" cy="7524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9" w:type="dxa"/>
          <w:tcBorders>
            <w:bottom w:val="single" w:sz="4" w:space="0" w:color="FFFFFF"/>
          </w:tcBorders>
          <w:vAlign w:val="center"/>
        </w:tcPr>
        <w:p w14:paraId="311A80FC" w14:textId="77777777" w:rsidR="00F9147B" w:rsidRDefault="00F9147B">
          <w:pPr>
            <w:pStyle w:val="Nagwek"/>
            <w:widowControl w:val="0"/>
            <w:snapToGrid w:val="0"/>
            <w:jc w:val="right"/>
            <w:rPr>
              <w:rFonts w:ascii="Arial" w:hAnsi="Arial" w:cs="Arial"/>
              <w:caps/>
              <w:color w:val="FFFFFF"/>
            </w:rPr>
          </w:pPr>
        </w:p>
      </w:tc>
      <w:tc>
        <w:tcPr>
          <w:tcW w:w="2927" w:type="dxa"/>
          <w:tcBorders>
            <w:bottom w:val="single" w:sz="4" w:space="0" w:color="FFFFFF"/>
          </w:tcBorders>
          <w:vAlign w:val="center"/>
        </w:tcPr>
        <w:p w14:paraId="60D319A3" w14:textId="0D8EB6B0" w:rsidR="00F9147B" w:rsidRDefault="006125CE">
          <w:pPr>
            <w:pStyle w:val="Nagwek"/>
            <w:widowControl w:val="0"/>
            <w:snapToGrid w:val="0"/>
            <w:jc w:val="right"/>
            <w:rPr>
              <w:rFonts w:ascii="Arial" w:hAnsi="Arial" w:cs="Arial"/>
              <w:caps/>
              <w:color w:val="FFFFFF"/>
            </w:rPr>
          </w:pPr>
          <w:r w:rsidRPr="00C1284E">
            <w:rPr>
              <w:rFonts w:ascii="Arial" w:hAnsi="Arial" w:cs="Arial"/>
              <w:szCs w:val="22"/>
            </w:rPr>
            <w:t xml:space="preserve">Załącznik nr </w:t>
          </w:r>
          <w:r>
            <w:rPr>
              <w:rFonts w:ascii="Arial" w:hAnsi="Arial" w:cs="Arial"/>
              <w:szCs w:val="22"/>
            </w:rPr>
            <w:t>1</w:t>
          </w:r>
        </w:p>
      </w:tc>
      <w:tc>
        <w:tcPr>
          <w:tcW w:w="493" w:type="dxa"/>
          <w:tcBorders>
            <w:bottom w:val="single" w:sz="4" w:space="0" w:color="FFFFFF"/>
          </w:tcBorders>
          <w:vAlign w:val="center"/>
        </w:tcPr>
        <w:p w14:paraId="1D8B771B" w14:textId="77777777" w:rsidR="00F9147B" w:rsidRDefault="00F9147B">
          <w:pPr>
            <w:pStyle w:val="Nagwek"/>
            <w:widowControl w:val="0"/>
            <w:snapToGrid w:val="0"/>
            <w:jc w:val="right"/>
            <w:rPr>
              <w:rFonts w:ascii="Arial" w:hAnsi="Arial" w:cs="Arial"/>
              <w:color w:val="FFFFFF"/>
            </w:rPr>
          </w:pPr>
        </w:p>
      </w:tc>
    </w:tr>
    <w:tr w:rsidR="00F9147B" w14:paraId="54C35D60" w14:textId="77777777">
      <w:trPr>
        <w:trHeight w:val="493"/>
      </w:trPr>
      <w:tc>
        <w:tcPr>
          <w:tcW w:w="3691" w:type="dxa"/>
          <w:vMerge/>
          <w:vAlign w:val="center"/>
        </w:tcPr>
        <w:p w14:paraId="60F37C65" w14:textId="77777777" w:rsidR="00F9147B" w:rsidRDefault="00F9147B">
          <w:pPr>
            <w:widowControl w:val="0"/>
            <w:snapToGrid w:val="0"/>
            <w:rPr>
              <w:rFonts w:ascii="Calibri" w:hAnsi="Calibri"/>
              <w:caps/>
              <w:color w:val="FFFFFF"/>
            </w:rPr>
          </w:pPr>
        </w:p>
      </w:tc>
      <w:tc>
        <w:tcPr>
          <w:tcW w:w="2279" w:type="dxa"/>
          <w:tcBorders>
            <w:top w:val="single" w:sz="4" w:space="0" w:color="FFFFFF"/>
          </w:tcBorders>
          <w:vAlign w:val="center"/>
        </w:tcPr>
        <w:p w14:paraId="77F81112" w14:textId="77777777" w:rsidR="00F9147B" w:rsidRDefault="00F9147B">
          <w:pPr>
            <w:pStyle w:val="Nagwek"/>
            <w:widowControl w:val="0"/>
            <w:snapToGrid w:val="0"/>
            <w:jc w:val="right"/>
            <w:rPr>
              <w:b/>
              <w:bCs/>
              <w:caps/>
              <w:color w:val="FFFFFF"/>
            </w:rPr>
          </w:pPr>
        </w:p>
      </w:tc>
      <w:tc>
        <w:tcPr>
          <w:tcW w:w="2927" w:type="dxa"/>
          <w:tcBorders>
            <w:top w:val="single" w:sz="4" w:space="0" w:color="FFFFFF"/>
          </w:tcBorders>
          <w:vAlign w:val="center"/>
        </w:tcPr>
        <w:p w14:paraId="02B3CC57" w14:textId="77777777" w:rsidR="00F9147B" w:rsidRDefault="00F9147B">
          <w:pPr>
            <w:pStyle w:val="Nagwek"/>
            <w:widowControl w:val="0"/>
            <w:snapToGrid w:val="0"/>
            <w:jc w:val="right"/>
            <w:rPr>
              <w:rFonts w:ascii="Calibri" w:hAnsi="Calibri" w:cs="Calibri"/>
              <w:b/>
              <w:bCs/>
              <w:caps/>
              <w:sz w:val="28"/>
              <w:szCs w:val="28"/>
            </w:rPr>
          </w:pPr>
        </w:p>
      </w:tc>
      <w:tc>
        <w:tcPr>
          <w:tcW w:w="493" w:type="dxa"/>
        </w:tcPr>
        <w:p w14:paraId="46B2CF31" w14:textId="77777777" w:rsidR="00F9147B" w:rsidRDefault="00F9147B">
          <w:pPr>
            <w:widowControl w:val="0"/>
          </w:pPr>
        </w:p>
      </w:tc>
    </w:tr>
  </w:tbl>
  <w:p w14:paraId="65E1FCCC" w14:textId="232D3EFB" w:rsidR="00F9147B" w:rsidRDefault="00626EA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9" behindDoc="1" locked="0" layoutInCell="0" allowOverlap="1" wp14:anchorId="1E46C2CB" wp14:editId="15601C60">
              <wp:simplePos x="0" y="0"/>
              <wp:positionH relativeFrom="column">
                <wp:posOffset>-237490</wp:posOffset>
              </wp:positionH>
              <wp:positionV relativeFrom="paragraph">
                <wp:posOffset>79374</wp:posOffset>
              </wp:positionV>
              <wp:extent cx="6174740" cy="0"/>
              <wp:effectExtent l="0" t="0" r="0" b="0"/>
              <wp:wrapNone/>
              <wp:docPr id="184127272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623E5" id="Łącznik prosty 3" o:spid="_x0000_s1026" style="position:absolute;z-index:-50331647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7pt,6.25pt" to="467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" o:allowincell="f" strokeweight=".26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7E2"/>
    <w:multiLevelType w:val="multilevel"/>
    <w:tmpl w:val="3F12E8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FF24FF5"/>
    <w:multiLevelType w:val="multilevel"/>
    <w:tmpl w:val="4600D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6247AD"/>
    <w:multiLevelType w:val="multilevel"/>
    <w:tmpl w:val="11B80506"/>
    <w:lvl w:ilvl="0">
      <w:start w:val="1"/>
      <w:numFmt w:val="bullet"/>
      <w:lvlText w:val="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86DA6"/>
    <w:multiLevelType w:val="hybridMultilevel"/>
    <w:tmpl w:val="7F00A2B4"/>
    <w:lvl w:ilvl="0" w:tplc="951AA1B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84B7B2A"/>
    <w:multiLevelType w:val="multilevel"/>
    <w:tmpl w:val="0CEAAF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8852981"/>
    <w:multiLevelType w:val="hybridMultilevel"/>
    <w:tmpl w:val="F15E4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7728"/>
    <w:multiLevelType w:val="hybridMultilevel"/>
    <w:tmpl w:val="B582B0B4"/>
    <w:lvl w:ilvl="0" w:tplc="8E40C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424522"/>
    <w:multiLevelType w:val="multilevel"/>
    <w:tmpl w:val="DA92AF8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2EB4745B"/>
    <w:multiLevelType w:val="multilevel"/>
    <w:tmpl w:val="A2DA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3100F2"/>
    <w:multiLevelType w:val="multilevel"/>
    <w:tmpl w:val="F280A35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46BC5EDB"/>
    <w:multiLevelType w:val="multilevel"/>
    <w:tmpl w:val="7542D57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487A25C3"/>
    <w:multiLevelType w:val="multilevel"/>
    <w:tmpl w:val="B5B0D79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F52948"/>
    <w:multiLevelType w:val="hybridMultilevel"/>
    <w:tmpl w:val="8A22C262"/>
    <w:lvl w:ilvl="0" w:tplc="1070DDD4">
      <w:start w:val="1"/>
      <w:numFmt w:val="lowerLetter"/>
      <w:lvlText w:val="%1)"/>
      <w:lvlJc w:val="left"/>
      <w:pPr>
        <w:ind w:left="171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FEA1269"/>
    <w:multiLevelType w:val="multilevel"/>
    <w:tmpl w:val="DA3E0A3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62C02846"/>
    <w:multiLevelType w:val="hybridMultilevel"/>
    <w:tmpl w:val="EEC6E6DC"/>
    <w:lvl w:ilvl="0" w:tplc="8500F5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D7B47"/>
    <w:multiLevelType w:val="hybridMultilevel"/>
    <w:tmpl w:val="55D8CD40"/>
    <w:lvl w:ilvl="0" w:tplc="951AA1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BDF0B06"/>
    <w:multiLevelType w:val="multilevel"/>
    <w:tmpl w:val="2F06400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6E99BFA3"/>
    <w:multiLevelType w:val="hybridMultilevel"/>
    <w:tmpl w:val="04E192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41382C"/>
    <w:multiLevelType w:val="hybridMultilevel"/>
    <w:tmpl w:val="E27A0D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9" w15:restartNumberingAfterBreak="0">
    <w:nsid w:val="7CC02010"/>
    <w:multiLevelType w:val="multilevel"/>
    <w:tmpl w:val="8376A78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7DCF336A"/>
    <w:multiLevelType w:val="multilevel"/>
    <w:tmpl w:val="3BA2FF5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4004179">
    <w:abstractNumId w:val="9"/>
  </w:num>
  <w:num w:numId="2" w16cid:durableId="1264219397">
    <w:abstractNumId w:val="20"/>
  </w:num>
  <w:num w:numId="3" w16cid:durableId="709232382">
    <w:abstractNumId w:val="13"/>
  </w:num>
  <w:num w:numId="4" w16cid:durableId="919290033">
    <w:abstractNumId w:val="2"/>
  </w:num>
  <w:num w:numId="5" w16cid:durableId="32122927">
    <w:abstractNumId w:val="1"/>
  </w:num>
  <w:num w:numId="6" w16cid:durableId="88015452">
    <w:abstractNumId w:val="17"/>
  </w:num>
  <w:num w:numId="7" w16cid:durableId="2114595610">
    <w:abstractNumId w:val="6"/>
  </w:num>
  <w:num w:numId="8" w16cid:durableId="1852197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87513909">
    <w:abstractNumId w:val="3"/>
  </w:num>
  <w:num w:numId="10" w16cid:durableId="408355252">
    <w:abstractNumId w:val="18"/>
  </w:num>
  <w:num w:numId="11" w16cid:durableId="183905576">
    <w:abstractNumId w:val="15"/>
  </w:num>
  <w:num w:numId="12" w16cid:durableId="1039236986">
    <w:abstractNumId w:val="8"/>
  </w:num>
  <w:num w:numId="13" w16cid:durableId="696854045">
    <w:abstractNumId w:val="7"/>
  </w:num>
  <w:num w:numId="14" w16cid:durableId="974405872">
    <w:abstractNumId w:val="0"/>
  </w:num>
  <w:num w:numId="15" w16cid:durableId="98794327">
    <w:abstractNumId w:val="19"/>
  </w:num>
  <w:num w:numId="16" w16cid:durableId="1102652677">
    <w:abstractNumId w:val="16"/>
  </w:num>
  <w:num w:numId="17" w16cid:durableId="194268324">
    <w:abstractNumId w:val="10"/>
  </w:num>
  <w:num w:numId="18" w16cid:durableId="1663117653">
    <w:abstractNumId w:val="11"/>
  </w:num>
  <w:num w:numId="19" w16cid:durableId="1609001830">
    <w:abstractNumId w:val="14"/>
  </w:num>
  <w:num w:numId="20" w16cid:durableId="1984431586">
    <w:abstractNumId w:val="5"/>
  </w:num>
  <w:num w:numId="21" w16cid:durableId="125589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162A04-FCE0-4E8B-BF38-632938A34194}"/>
  </w:docVars>
  <w:rsids>
    <w:rsidRoot w:val="00F9147B"/>
    <w:rsid w:val="00034F6B"/>
    <w:rsid w:val="00162B2E"/>
    <w:rsid w:val="001A4A56"/>
    <w:rsid w:val="00271D31"/>
    <w:rsid w:val="00294926"/>
    <w:rsid w:val="002A0E64"/>
    <w:rsid w:val="002C63A2"/>
    <w:rsid w:val="002F1675"/>
    <w:rsid w:val="0030132D"/>
    <w:rsid w:val="003428D0"/>
    <w:rsid w:val="004372C3"/>
    <w:rsid w:val="00493FD1"/>
    <w:rsid w:val="004C0E16"/>
    <w:rsid w:val="004F21A6"/>
    <w:rsid w:val="00532259"/>
    <w:rsid w:val="006125CE"/>
    <w:rsid w:val="00626EA6"/>
    <w:rsid w:val="0066705D"/>
    <w:rsid w:val="00683EBC"/>
    <w:rsid w:val="00696BC8"/>
    <w:rsid w:val="006B0DD4"/>
    <w:rsid w:val="00763771"/>
    <w:rsid w:val="00781C1A"/>
    <w:rsid w:val="007C4234"/>
    <w:rsid w:val="00891A83"/>
    <w:rsid w:val="008F2DD2"/>
    <w:rsid w:val="00906C25"/>
    <w:rsid w:val="00940C71"/>
    <w:rsid w:val="0099536E"/>
    <w:rsid w:val="009C691D"/>
    <w:rsid w:val="009D09DA"/>
    <w:rsid w:val="00A040C0"/>
    <w:rsid w:val="00A178EA"/>
    <w:rsid w:val="00AC054F"/>
    <w:rsid w:val="00AE7359"/>
    <w:rsid w:val="00B40B25"/>
    <w:rsid w:val="00B54389"/>
    <w:rsid w:val="00BA1897"/>
    <w:rsid w:val="00BF6D8F"/>
    <w:rsid w:val="00C53795"/>
    <w:rsid w:val="00C82C66"/>
    <w:rsid w:val="00C9330C"/>
    <w:rsid w:val="00DA4EE0"/>
    <w:rsid w:val="00DE58DE"/>
    <w:rsid w:val="00E0280E"/>
    <w:rsid w:val="00E0413E"/>
    <w:rsid w:val="00E06D17"/>
    <w:rsid w:val="00E6131F"/>
    <w:rsid w:val="00EA57FC"/>
    <w:rsid w:val="00EC75B1"/>
    <w:rsid w:val="00EF1BBA"/>
    <w:rsid w:val="00F27417"/>
    <w:rsid w:val="00F5756F"/>
    <w:rsid w:val="00F750A3"/>
    <w:rsid w:val="00F9147B"/>
    <w:rsid w:val="00FC477D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721F1B"/>
  <w15:docId w15:val="{F2987F41-7AEA-4F1A-B226-331758C5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D7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413D7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link w:val="Stopka"/>
    <w:uiPriority w:val="99"/>
    <w:qFormat/>
    <w:locked/>
    <w:rsid w:val="00413D7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E41A0C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uiPriority w:val="99"/>
    <w:semiHidden/>
    <w:qFormat/>
    <w:rsid w:val="00FA40D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FA40D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A40D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ipercze">
    <w:name w:val="Hyperlink"/>
    <w:rsid w:val="00A049FA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B4752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qFormat/>
    <w:rsid w:val="00C63EE0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52F5E"/>
    <w:rPr>
      <w:rFonts w:ascii="Times New Roman" w:eastAsia="Times New Roman" w:hAnsi="Times New Roman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152F5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413D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52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uiPriority w:val="99"/>
    <w:qFormat/>
    <w:rsid w:val="00413D7C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13D7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13D7C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413D7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41A0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FA4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A40D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F5E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rsid w:val="00E06D1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0280E"/>
    <w:rPr>
      <w:color w:val="800080" w:themeColor="followedHyperlink"/>
      <w:u w:val="single"/>
    </w:rPr>
  </w:style>
  <w:style w:type="paragraph" w:customStyle="1" w:styleId="ox-ea2a7c4e09-pkt">
    <w:name w:val="ox-ea2a7c4e09-pkt"/>
    <w:basedOn w:val="Normalny"/>
    <w:rsid w:val="00DE58D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162A04-FCE0-4E8B-BF38-632938A341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o.o. w Tychach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</dc:creator>
  <dc:description/>
  <cp:lastModifiedBy>ktomaszczyk</cp:lastModifiedBy>
  <cp:revision>2</cp:revision>
  <cp:lastPrinted>2023-07-06T10:58:00Z</cp:lastPrinted>
  <dcterms:created xsi:type="dcterms:W3CDTF">2023-08-11T10:37:00Z</dcterms:created>
  <dcterms:modified xsi:type="dcterms:W3CDTF">2023-08-11T10:37:00Z</dcterms:modified>
  <dc:language>pl-PL</dc:language>
</cp:coreProperties>
</file>