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F1C78A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AA1FF8">
        <w:rPr>
          <w:rFonts w:ascii="Adagio_Slab" w:hAnsi="Adagio_Slab"/>
          <w:sz w:val="20"/>
          <w:szCs w:val="20"/>
        </w:rPr>
        <w:t>2</w:t>
      </w:r>
      <w:r w:rsidR="0071286F">
        <w:rPr>
          <w:rFonts w:ascii="Adagio_Slab" w:hAnsi="Adagio_Slab"/>
          <w:sz w:val="20"/>
          <w:szCs w:val="20"/>
        </w:rPr>
        <w:t>9</w:t>
      </w:r>
      <w:r w:rsidR="00AA1FF8">
        <w:rPr>
          <w:rFonts w:ascii="Adagio_Slab" w:hAnsi="Adagio_Slab"/>
          <w:sz w:val="20"/>
          <w:szCs w:val="20"/>
        </w:rPr>
        <w:t>.03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2257CCA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12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17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2B20613" w14:textId="77777777" w:rsidR="0071286F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Usługa charakteryzacji metodą skaningowej mikroskopii elektronowej elementów węglanowego ogniwa paliwowego przed i po eksploatacji w ramach realizacji projektu MOLCAR  pn. Modular system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based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on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Molten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Carbonate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Fuel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Cells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with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tailored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composite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membranes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designed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for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specific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flue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gas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compositions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oriented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into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CCS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integration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with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an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industrial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="0071286F" w:rsidRPr="0071286F">
        <w:rPr>
          <w:rFonts w:cstheme="minorHAnsi"/>
          <w:b/>
          <w:color w:val="0000FF"/>
          <w:sz w:val="20"/>
          <w:szCs w:val="20"/>
        </w:rPr>
        <w:t>power</w:t>
      </w:r>
      <w:proofErr w:type="spellEnd"/>
      <w:r w:rsidR="0071286F" w:rsidRPr="0071286F">
        <w:rPr>
          <w:rFonts w:cstheme="minorHAnsi"/>
          <w:b/>
          <w:color w:val="0000FF"/>
          <w:sz w:val="20"/>
          <w:szCs w:val="20"/>
        </w:rPr>
        <w:t xml:space="preserve"> plant, numer umowy o dofinasowanie NOR/POLNORCCS/MOLCAR/00-17/2020-00dla Instytutu Techniki Cieplnej Wydziału Mechanicznego Energetyki i Lotnictwa Politechniki Warszawskiej</w:t>
      </w:r>
    </w:p>
    <w:p w14:paraId="564D7AEF" w14:textId="77777777" w:rsidR="0071286F" w:rsidRDefault="0071286F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529FC4CB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36AE9405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12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125.000,00 PLN.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52A6469E" w:rsidR="00777277" w:rsidRPr="00776F43" w:rsidRDefault="00712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2B011015" wp14:editId="73F3AFAD">
            <wp:extent cx="5184000" cy="5976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97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B563" w14:textId="77777777" w:rsidR="00F43306" w:rsidRDefault="00F43306" w:rsidP="00300F57">
      <w:pPr>
        <w:spacing w:after="0" w:line="240" w:lineRule="auto"/>
      </w:pPr>
      <w:r>
        <w:separator/>
      </w:r>
    </w:p>
  </w:endnote>
  <w:endnote w:type="continuationSeparator" w:id="0">
    <w:p w14:paraId="2CE4D7A9" w14:textId="77777777" w:rsidR="00F43306" w:rsidRDefault="00F4330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61A4" w14:textId="77777777" w:rsidR="00F43306" w:rsidRDefault="00F43306" w:rsidP="00300F57">
      <w:pPr>
        <w:spacing w:after="0" w:line="240" w:lineRule="auto"/>
      </w:pPr>
      <w:r>
        <w:separator/>
      </w:r>
    </w:p>
  </w:footnote>
  <w:footnote w:type="continuationSeparator" w:id="0">
    <w:p w14:paraId="2774A6D6" w14:textId="77777777" w:rsidR="00F43306" w:rsidRDefault="00F4330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1286F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43306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2023-03-13T07:58:00Z</cp:lastPrinted>
  <dcterms:created xsi:type="dcterms:W3CDTF">2023-03-13T07:59:00Z</dcterms:created>
  <dcterms:modified xsi:type="dcterms:W3CDTF">2023-03-13T07:59:00Z</dcterms:modified>
</cp:coreProperties>
</file>