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53" w:rsidRPr="00325253" w:rsidRDefault="00325253" w:rsidP="00325253">
      <w:pPr>
        <w:tabs>
          <w:tab w:val="center" w:pos="4535"/>
          <w:tab w:val="right" w:pos="9071"/>
        </w:tabs>
        <w:spacing w:before="120" w:after="0" w:line="240" w:lineRule="auto"/>
        <w:jc w:val="right"/>
        <w:rPr>
          <w:rFonts w:eastAsia="Times New Roman" w:cstheme="minorHAnsi"/>
          <w:noProof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Kamienna Góra, 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fldChar w:fldCharType="begin"/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instrText xml:space="preserve"> TIME  \@ "d MMMM yyyy" </w:instrTex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fldChar w:fldCharType="separate"/>
      </w:r>
      <w:r w:rsidR="00E278D1">
        <w:rPr>
          <w:rFonts w:eastAsia="Times New Roman" w:cstheme="minorHAnsi"/>
          <w:noProof/>
          <w:spacing w:val="-5"/>
          <w:sz w:val="21"/>
          <w:szCs w:val="21"/>
          <w:lang w:eastAsia="pl-PL"/>
        </w:rPr>
        <w:t>29 września 2023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fldChar w:fldCharType="end"/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 r.</w:t>
      </w:r>
    </w:p>
    <w:p w:rsidR="00325253" w:rsidRPr="00325253" w:rsidRDefault="00325253" w:rsidP="00325253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b/>
          <w:noProof/>
          <w:spacing w:val="-5"/>
          <w:sz w:val="21"/>
          <w:szCs w:val="21"/>
          <w:lang w:eastAsia="pl-PL"/>
        </w:rPr>
        <w:t>ID.272.3.1</w:t>
      </w:r>
      <w:r w:rsidRPr="00ED4FE0">
        <w:rPr>
          <w:rFonts w:eastAsia="Times New Roman" w:cstheme="minorHAnsi"/>
          <w:b/>
          <w:noProof/>
          <w:spacing w:val="-5"/>
          <w:sz w:val="21"/>
          <w:szCs w:val="21"/>
          <w:lang w:eastAsia="pl-PL"/>
        </w:rPr>
        <w:t>9</w:t>
      </w:r>
      <w:r w:rsidRPr="00325253">
        <w:rPr>
          <w:rFonts w:eastAsia="Times New Roman" w:cstheme="minorHAnsi"/>
          <w:b/>
          <w:noProof/>
          <w:spacing w:val="-5"/>
          <w:sz w:val="21"/>
          <w:szCs w:val="21"/>
          <w:lang w:eastAsia="pl-PL"/>
        </w:rPr>
        <w:t>.202</w:t>
      </w:r>
      <w:r w:rsidRPr="00ED4FE0">
        <w:rPr>
          <w:rFonts w:eastAsia="Times New Roman" w:cstheme="minorHAnsi"/>
          <w:b/>
          <w:noProof/>
          <w:spacing w:val="-5"/>
          <w:sz w:val="21"/>
          <w:szCs w:val="21"/>
          <w:lang w:eastAsia="pl-PL"/>
        </w:rPr>
        <w:t>3</w:t>
      </w:r>
    </w:p>
    <w:p w:rsidR="00325253" w:rsidRPr="00325253" w:rsidRDefault="00325253" w:rsidP="00325253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sz w:val="21"/>
          <w:szCs w:val="21"/>
          <w:lang w:eastAsia="pl-PL"/>
        </w:rPr>
      </w:pPr>
    </w:p>
    <w:p w:rsidR="00325253" w:rsidRPr="00325253" w:rsidRDefault="00325253" w:rsidP="00325253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1"/>
          <w:szCs w:val="21"/>
          <w:lang w:eastAsia="pl-PL"/>
        </w:rPr>
      </w:pPr>
      <w:r w:rsidRPr="00325253"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  <w:t>Zamawiający</w:t>
      </w:r>
      <w:r w:rsidRPr="00325253">
        <w:rPr>
          <w:rFonts w:eastAsia="Times New Roman" w:cstheme="minorHAnsi"/>
          <w:sz w:val="21"/>
          <w:szCs w:val="21"/>
          <w:lang w:eastAsia="pl-PL"/>
        </w:rPr>
        <w:t xml:space="preserve">: </w:t>
      </w:r>
    </w:p>
    <w:p w:rsidR="00325253" w:rsidRPr="00325253" w:rsidRDefault="00325253" w:rsidP="00325253">
      <w:pPr>
        <w:spacing w:after="0" w:line="240" w:lineRule="auto"/>
        <w:contextualSpacing/>
        <w:jc w:val="both"/>
        <w:rPr>
          <w:rFonts w:eastAsia="Times New Roman" w:cstheme="minorHAnsi"/>
          <w:bCs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bCs/>
          <w:spacing w:val="-5"/>
          <w:sz w:val="21"/>
          <w:szCs w:val="21"/>
          <w:lang w:eastAsia="pl-PL"/>
        </w:rPr>
        <w:t>Powiat Kamiennogórski</w:t>
      </w:r>
    </w:p>
    <w:p w:rsidR="00325253" w:rsidRPr="00325253" w:rsidRDefault="00325253" w:rsidP="00325253">
      <w:pPr>
        <w:spacing w:after="0" w:line="240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>ul. Wł. Broniewskiego 15, 58-400 Kamienna Góra</w:t>
      </w:r>
    </w:p>
    <w:p w:rsidR="00325253" w:rsidRPr="00325253" w:rsidRDefault="00325253" w:rsidP="00325253">
      <w:pPr>
        <w:spacing w:after="0" w:line="240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>NIP: 614 14 74 708</w:t>
      </w:r>
    </w:p>
    <w:p w:rsidR="00325253" w:rsidRPr="00325253" w:rsidRDefault="00325253" w:rsidP="00325253">
      <w:pPr>
        <w:spacing w:after="0" w:line="240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</w:p>
    <w:p w:rsidR="00325253" w:rsidRDefault="00325253" w:rsidP="00325253">
      <w:pPr>
        <w:spacing w:after="0" w:line="240" w:lineRule="auto"/>
        <w:ind w:left="4248" w:firstLine="708"/>
        <w:contextualSpacing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b/>
          <w:spacing w:val="-5"/>
          <w:sz w:val="21"/>
          <w:szCs w:val="21"/>
          <w:lang w:eastAsia="pl-PL"/>
        </w:rPr>
        <w:t>Wykonawc</w:t>
      </w:r>
      <w:r w:rsidRPr="00ED4FE0">
        <w:rPr>
          <w:rFonts w:eastAsia="Times New Roman" w:cstheme="minorHAnsi"/>
          <w:b/>
          <w:spacing w:val="-5"/>
          <w:sz w:val="21"/>
          <w:szCs w:val="21"/>
          <w:lang w:eastAsia="pl-PL"/>
        </w:rPr>
        <w:t xml:space="preserve">a </w:t>
      </w:r>
      <w:r w:rsidRPr="00325253">
        <w:rPr>
          <w:rFonts w:eastAsia="Times New Roman" w:cstheme="minorHAnsi"/>
          <w:b/>
          <w:spacing w:val="-5"/>
          <w:sz w:val="21"/>
          <w:szCs w:val="21"/>
          <w:lang w:eastAsia="pl-PL"/>
        </w:rPr>
        <w:t>w postępowaniu</w:t>
      </w:r>
    </w:p>
    <w:p w:rsidR="00E278D1" w:rsidRPr="00325253" w:rsidRDefault="00E278D1" w:rsidP="00325253">
      <w:pPr>
        <w:spacing w:after="0" w:line="240" w:lineRule="auto"/>
        <w:ind w:left="4248" w:firstLine="708"/>
        <w:contextualSpacing/>
        <w:jc w:val="both"/>
        <w:rPr>
          <w:rFonts w:eastAsia="Times New Roman" w:cstheme="minorHAnsi"/>
          <w:b/>
          <w:bCs/>
          <w:spacing w:val="-5"/>
          <w:sz w:val="21"/>
          <w:szCs w:val="21"/>
          <w:lang w:eastAsia="pl-PL"/>
        </w:rPr>
      </w:pPr>
    </w:p>
    <w:p w:rsidR="00325253" w:rsidRPr="00325253" w:rsidRDefault="00ED4FE0" w:rsidP="00ED4FE0">
      <w:pPr>
        <w:spacing w:after="0" w:line="0" w:lineRule="atLeast"/>
        <w:jc w:val="center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  <w:r w:rsidRPr="00ED4FE0">
        <w:rPr>
          <w:rFonts w:eastAsia="Times New Roman" w:cstheme="minorHAnsi"/>
          <w:b/>
          <w:spacing w:val="-5"/>
          <w:sz w:val="21"/>
          <w:szCs w:val="21"/>
          <w:lang w:eastAsia="pl-PL"/>
        </w:rPr>
        <w:t>INFORMACJA O WYBORZE OFERTY</w:t>
      </w:r>
    </w:p>
    <w:p w:rsidR="00325253" w:rsidRPr="00ED4FE0" w:rsidRDefault="00325253" w:rsidP="00325253">
      <w:pPr>
        <w:spacing w:after="0" w:line="0" w:lineRule="atLeast"/>
        <w:ind w:firstLine="708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Powiat Kamiennogórski, jako Zamawiający działając na podstawie art. 253 ust. </w:t>
      </w:r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 xml:space="preserve">1 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ustawy 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br/>
        <w:t>z dnia 11 września 2019 r. – Prawo zamówień publicznych</w:t>
      </w:r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 xml:space="preserve"> (</w:t>
      </w:r>
      <w:proofErr w:type="spellStart"/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>t.j</w:t>
      </w:r>
      <w:proofErr w:type="spellEnd"/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>. Dz. U. z 2023 r., poz. 1605,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 dalej zwanej „ustawą</w:t>
      </w:r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 xml:space="preserve"> </w:t>
      </w:r>
      <w:proofErr w:type="spellStart"/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>Pzp</w:t>
      </w:r>
      <w:proofErr w:type="spellEnd"/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>”</w:t>
      </w:r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>)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>, informuje o wyborze najkorzystniejsz</w:t>
      </w:r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>ej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 ofert</w:t>
      </w:r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>y</w:t>
      </w:r>
      <w:r w:rsidR="00ED4FE0">
        <w:rPr>
          <w:rFonts w:eastAsia="Times New Roman" w:cstheme="minorHAnsi"/>
          <w:spacing w:val="-5"/>
          <w:sz w:val="21"/>
          <w:szCs w:val="21"/>
          <w:lang w:eastAsia="pl-PL"/>
        </w:rPr>
        <w:t xml:space="preserve"> w postępowaniu na Zimowe utrzymanie dróg powiatowych powiatu kamiennogórskiego w sezonie 2023/2024 w rejonie 3 (postępowanie 3)</w:t>
      </w:r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>.</w:t>
      </w:r>
    </w:p>
    <w:p w:rsidR="00325253" w:rsidRPr="00ED4FE0" w:rsidRDefault="00325253" w:rsidP="00325253">
      <w:pPr>
        <w:spacing w:after="0" w:line="0" w:lineRule="atLeast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</w:p>
    <w:p w:rsidR="00325253" w:rsidRPr="00325253" w:rsidRDefault="00325253" w:rsidP="00325253">
      <w:pPr>
        <w:spacing w:after="0" w:line="0" w:lineRule="atLeast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>Jako ofertę najkorzystniejszą uznano ofertę złożoną przez Wykonawcę:</w:t>
      </w:r>
    </w:p>
    <w:p w:rsidR="00325253" w:rsidRPr="00325253" w:rsidRDefault="00325253" w:rsidP="00325253">
      <w:pPr>
        <w:spacing w:after="0" w:line="0" w:lineRule="atLeast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</w:p>
    <w:p w:rsidR="00325253" w:rsidRPr="00325253" w:rsidRDefault="00325253" w:rsidP="00325253">
      <w:pPr>
        <w:spacing w:after="0" w:line="239" w:lineRule="auto"/>
        <w:ind w:right="100"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b/>
          <w:spacing w:val="-5"/>
          <w:sz w:val="21"/>
          <w:szCs w:val="21"/>
          <w:lang w:eastAsia="pl-PL"/>
        </w:rPr>
        <w:t xml:space="preserve">p. Dawida </w:t>
      </w:r>
      <w:proofErr w:type="spellStart"/>
      <w:r w:rsidRPr="00325253">
        <w:rPr>
          <w:rFonts w:eastAsia="Times New Roman" w:cstheme="minorHAnsi"/>
          <w:b/>
          <w:spacing w:val="-5"/>
          <w:sz w:val="21"/>
          <w:szCs w:val="21"/>
          <w:lang w:eastAsia="pl-PL"/>
        </w:rPr>
        <w:t>Karsta</w:t>
      </w:r>
      <w:proofErr w:type="spellEnd"/>
      <w:r w:rsidRPr="00325253">
        <w:rPr>
          <w:rFonts w:eastAsia="Times New Roman" w:cstheme="minorHAnsi"/>
          <w:b/>
          <w:spacing w:val="-5"/>
          <w:sz w:val="21"/>
          <w:szCs w:val="21"/>
          <w:lang w:eastAsia="pl-PL"/>
        </w:rPr>
        <w:t xml:space="preserve"> prowadzącego działalność pn. „INTER – TRANS”, z/s Janiszów 31, 58-400 Kamienna Góra  </w:t>
      </w:r>
    </w:p>
    <w:p w:rsidR="00325253" w:rsidRPr="00325253" w:rsidRDefault="00325253" w:rsidP="00325253">
      <w:pPr>
        <w:spacing w:after="0" w:line="293" w:lineRule="exact"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</w:p>
    <w:p w:rsidR="00325253" w:rsidRPr="00325253" w:rsidRDefault="00325253" w:rsidP="00325253">
      <w:pPr>
        <w:spacing w:after="0" w:line="240" w:lineRule="auto"/>
        <w:contextualSpacing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b/>
          <w:spacing w:val="-5"/>
          <w:sz w:val="21"/>
          <w:szCs w:val="21"/>
          <w:lang w:eastAsia="pl-PL"/>
        </w:rPr>
        <w:t xml:space="preserve">UZASADNIENIE  WYBORU: </w:t>
      </w:r>
    </w:p>
    <w:p w:rsidR="00325253" w:rsidRPr="00325253" w:rsidRDefault="00325253" w:rsidP="00325253">
      <w:pPr>
        <w:spacing w:after="0" w:line="240" w:lineRule="auto"/>
        <w:contextualSpacing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</w:p>
    <w:p w:rsidR="00325253" w:rsidRPr="00325253" w:rsidRDefault="00EB3307" w:rsidP="00325253">
      <w:pPr>
        <w:spacing w:after="0" w:line="240" w:lineRule="auto"/>
        <w:ind w:firstLine="720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ED4FE0">
        <w:rPr>
          <w:rFonts w:eastAsia="Times New Roman" w:cstheme="minorHAnsi"/>
          <w:spacing w:val="-5"/>
          <w:sz w:val="21"/>
          <w:szCs w:val="21"/>
          <w:lang w:eastAsia="pl-PL"/>
        </w:rPr>
        <w:t xml:space="preserve">W niniejszym postępowaniu wpłynęła jedna oferta. </w:t>
      </w:r>
      <w:r w:rsidR="00325253"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Oferta złożona przez wyżej wskazanego Wykonawcę została uznana za ważną i niepodlegającą odrzuceniu. Wykonawca, któremu Zamawiający udziela zamówienia spełnił wszystkie wymagania Zamawiającego opisane w SWZ. W przedmiotowym postępowaniu następująco oceniono oferty: </w:t>
      </w:r>
    </w:p>
    <w:p w:rsidR="00325253" w:rsidRPr="00325253" w:rsidRDefault="00325253" w:rsidP="00325253">
      <w:pPr>
        <w:spacing w:after="0" w:line="293" w:lineRule="exact"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21"/>
        <w:gridCol w:w="2565"/>
        <w:gridCol w:w="1276"/>
      </w:tblGrid>
      <w:tr w:rsidR="00E278D1" w:rsidRPr="00325253" w:rsidTr="00E278D1">
        <w:trPr>
          <w:trHeight w:val="2141"/>
        </w:trPr>
        <w:tc>
          <w:tcPr>
            <w:tcW w:w="4248" w:type="dxa"/>
            <w:shd w:val="clear" w:color="auto" w:fill="D9D9D9"/>
            <w:vAlign w:val="center"/>
          </w:tcPr>
          <w:p w:rsidR="00325253" w:rsidRPr="00325253" w:rsidRDefault="00325253" w:rsidP="0032525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</w:pPr>
            <w:r w:rsidRPr="00325253">
              <w:rPr>
                <w:rFonts w:eastAsia="Times New Roman" w:cstheme="minorHAnsi"/>
                <w:b/>
                <w:spacing w:val="-5"/>
                <w:sz w:val="21"/>
                <w:szCs w:val="21"/>
                <w:lang w:eastAsia="pl-PL"/>
              </w:rPr>
              <w:t>Nazwa Wykonawcy</w:t>
            </w:r>
          </w:p>
        </w:tc>
        <w:tc>
          <w:tcPr>
            <w:tcW w:w="1721" w:type="dxa"/>
            <w:shd w:val="clear" w:color="auto" w:fill="D9D9D9"/>
            <w:vAlign w:val="center"/>
          </w:tcPr>
          <w:p w:rsidR="00325253" w:rsidRPr="00325253" w:rsidRDefault="00325253" w:rsidP="0032525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</w:pPr>
            <w:r w:rsidRPr="00325253">
              <w:rPr>
                <w:rFonts w:eastAsia="Times New Roman" w:cstheme="minorHAnsi"/>
                <w:b/>
                <w:spacing w:val="-5"/>
                <w:sz w:val="21"/>
                <w:szCs w:val="21"/>
                <w:lang w:eastAsia="pl-PL"/>
              </w:rPr>
              <w:t xml:space="preserve">Liczba punktów za kryterium </w:t>
            </w:r>
            <w:r w:rsidRPr="00325253">
              <w:rPr>
                <w:rFonts w:eastAsia="Times New Roman" w:cstheme="minorHAnsi"/>
                <w:b/>
                <w:spacing w:val="-5"/>
                <w:sz w:val="21"/>
                <w:szCs w:val="21"/>
                <w:lang w:eastAsia="pl-PL"/>
              </w:rPr>
              <w:br/>
            </w:r>
            <w:r w:rsidRPr="00325253">
              <w:rPr>
                <w:rFonts w:eastAsia="Times New Roman" w:cstheme="minorHAnsi"/>
                <w:b/>
                <w:spacing w:val="-5"/>
                <w:sz w:val="16"/>
                <w:szCs w:val="16"/>
                <w:u w:val="single"/>
                <w:lang w:eastAsia="pl-PL"/>
              </w:rPr>
              <w:t>„Cena oferty brutto”</w:t>
            </w:r>
          </w:p>
        </w:tc>
        <w:tc>
          <w:tcPr>
            <w:tcW w:w="2565" w:type="dxa"/>
            <w:shd w:val="clear" w:color="auto" w:fill="D9D9D9"/>
            <w:vAlign w:val="center"/>
          </w:tcPr>
          <w:p w:rsidR="00325253" w:rsidRPr="00325253" w:rsidRDefault="00325253" w:rsidP="0032525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325253">
              <w:rPr>
                <w:rFonts w:eastAsia="Times New Roman" w:cstheme="minorHAnsi"/>
                <w:b/>
                <w:spacing w:val="-5"/>
                <w:sz w:val="21"/>
                <w:szCs w:val="21"/>
                <w:lang w:eastAsia="pl-PL"/>
              </w:rPr>
              <w:t xml:space="preserve">Liczba punktów za kryterium </w:t>
            </w:r>
          </w:p>
          <w:p w:rsidR="00325253" w:rsidRPr="00325253" w:rsidRDefault="00325253" w:rsidP="0032525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16"/>
                <w:szCs w:val="16"/>
                <w:u w:val="single"/>
                <w:lang w:eastAsia="pl-PL"/>
              </w:rPr>
            </w:pPr>
            <w:r w:rsidRPr="00325253">
              <w:rPr>
                <w:rFonts w:eastAsia="Times New Roman" w:cstheme="minorHAnsi"/>
                <w:b/>
                <w:spacing w:val="-5"/>
                <w:sz w:val="16"/>
                <w:szCs w:val="16"/>
                <w:u w:val="single"/>
                <w:lang w:eastAsia="pl-PL"/>
              </w:rPr>
              <w:t>„Czas reakcji</w:t>
            </w:r>
            <w:r w:rsidR="00ED4FE0" w:rsidRPr="00E278D1">
              <w:rPr>
                <w:rFonts w:eastAsia="Times New Roman" w:cstheme="minorHAnsi"/>
                <w:b/>
                <w:spacing w:val="-5"/>
                <w:sz w:val="16"/>
                <w:szCs w:val="16"/>
                <w:u w:val="single"/>
                <w:lang w:eastAsia="pl-PL"/>
              </w:rPr>
              <w:t xml:space="preserve"> wyjazdu pojazdów i sprzętu z bazy Wykonawcy po wydaniu dyspozycji wyjazdu przez Zamawiającego</w:t>
            </w:r>
            <w:r w:rsidRPr="00325253">
              <w:rPr>
                <w:rFonts w:eastAsia="Times New Roman" w:cstheme="minorHAnsi"/>
                <w:b/>
                <w:spacing w:val="-5"/>
                <w:sz w:val="16"/>
                <w:szCs w:val="16"/>
                <w:u w:val="single"/>
                <w:lang w:eastAsia="pl-PL"/>
              </w:rPr>
              <w:t>”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25253" w:rsidRPr="00325253" w:rsidRDefault="00325253" w:rsidP="0032525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325253">
              <w:rPr>
                <w:rFonts w:eastAsia="Times New Roman" w:cstheme="minorHAnsi"/>
                <w:b/>
                <w:spacing w:val="-5"/>
                <w:sz w:val="21"/>
                <w:szCs w:val="21"/>
                <w:lang w:eastAsia="pl-PL"/>
              </w:rPr>
              <w:t>Razem</w:t>
            </w:r>
          </w:p>
        </w:tc>
        <w:bookmarkStart w:id="0" w:name="_GoBack"/>
        <w:bookmarkEnd w:id="0"/>
      </w:tr>
      <w:tr w:rsidR="00325253" w:rsidRPr="00325253" w:rsidTr="00E278D1">
        <w:trPr>
          <w:trHeight w:val="757"/>
        </w:trPr>
        <w:tc>
          <w:tcPr>
            <w:tcW w:w="4248" w:type="dxa"/>
            <w:shd w:val="clear" w:color="auto" w:fill="auto"/>
            <w:vAlign w:val="center"/>
          </w:tcPr>
          <w:p w:rsidR="00325253" w:rsidRPr="00325253" w:rsidRDefault="00325253" w:rsidP="00325253">
            <w:pPr>
              <w:spacing w:after="0" w:line="240" w:lineRule="auto"/>
              <w:ind w:left="59"/>
              <w:jc w:val="center"/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</w:pPr>
            <w:r w:rsidRPr="00325253"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  <w:t xml:space="preserve">Dawid Karst prowadzący: </w:t>
            </w:r>
          </w:p>
          <w:p w:rsidR="00325253" w:rsidRPr="00325253" w:rsidRDefault="00325253" w:rsidP="00325253">
            <w:pPr>
              <w:spacing w:after="0" w:line="240" w:lineRule="auto"/>
              <w:ind w:left="58"/>
              <w:jc w:val="center"/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</w:pPr>
            <w:r w:rsidRPr="00325253"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  <w:t xml:space="preserve">INTER-TRANS </w:t>
            </w:r>
          </w:p>
          <w:p w:rsidR="00325253" w:rsidRPr="00325253" w:rsidRDefault="00325253" w:rsidP="00325253">
            <w:pPr>
              <w:spacing w:after="0" w:line="240" w:lineRule="auto"/>
              <w:ind w:left="56"/>
              <w:jc w:val="center"/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</w:pPr>
            <w:r w:rsidRPr="00325253"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  <w:t xml:space="preserve">Janiszów 31, </w:t>
            </w:r>
          </w:p>
          <w:p w:rsidR="00325253" w:rsidRPr="00325253" w:rsidRDefault="00325253" w:rsidP="0032525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</w:pPr>
            <w:r w:rsidRPr="00325253"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  <w:t>58-400 Kamienna Góra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325253" w:rsidRPr="00325253" w:rsidRDefault="00ED4FE0" w:rsidP="0032525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</w:pPr>
            <w:r w:rsidRPr="00ED4FE0"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  <w:t>60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325253" w:rsidRPr="00325253" w:rsidRDefault="00ED4FE0" w:rsidP="0032525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</w:pPr>
            <w:r w:rsidRPr="00ED4FE0"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5253" w:rsidRPr="00325253" w:rsidRDefault="00ED4FE0" w:rsidP="0032525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</w:pPr>
            <w:r w:rsidRPr="00ED4FE0">
              <w:rPr>
                <w:rFonts w:eastAsia="Times New Roman" w:cstheme="minorHAnsi"/>
                <w:spacing w:val="-5"/>
                <w:sz w:val="21"/>
                <w:szCs w:val="21"/>
                <w:lang w:eastAsia="pl-PL"/>
              </w:rPr>
              <w:t>80</w:t>
            </w:r>
          </w:p>
        </w:tc>
      </w:tr>
    </w:tbl>
    <w:p w:rsidR="00325253" w:rsidRPr="00325253" w:rsidRDefault="00325253" w:rsidP="00325253">
      <w:pPr>
        <w:spacing w:after="0" w:line="0" w:lineRule="atLeast"/>
        <w:jc w:val="both"/>
        <w:rPr>
          <w:rFonts w:eastAsia="Times New Roman" w:cstheme="minorHAnsi"/>
          <w:b/>
          <w:spacing w:val="-5"/>
          <w:sz w:val="21"/>
          <w:szCs w:val="21"/>
          <w:u w:val="single"/>
          <w:lang w:eastAsia="pl-PL"/>
        </w:rPr>
      </w:pPr>
    </w:p>
    <w:p w:rsidR="00325253" w:rsidRPr="00325253" w:rsidRDefault="00325253" w:rsidP="00325253">
      <w:pPr>
        <w:spacing w:after="0" w:line="240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b/>
          <w:spacing w:val="-5"/>
          <w:sz w:val="21"/>
          <w:szCs w:val="21"/>
          <w:lang w:eastAsia="pl-PL"/>
        </w:rPr>
        <w:t>TERMIN PO UPŁYWIE, KTÓREGO MOGĄ BYĆ ZAWARTE UMOWY W SPRAWIE ZAMÓWIENIA PUBLICZNEGO: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 </w:t>
      </w:r>
    </w:p>
    <w:p w:rsidR="00325253" w:rsidRPr="00325253" w:rsidRDefault="00325253" w:rsidP="00325253">
      <w:pPr>
        <w:spacing w:after="0" w:line="240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</w:p>
    <w:p w:rsidR="00325253" w:rsidRPr="00ED4FE0" w:rsidRDefault="00325253" w:rsidP="00325253">
      <w:pPr>
        <w:spacing w:after="0" w:line="240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>Umow</w:t>
      </w:r>
      <w:r w:rsidR="00411AE9" w:rsidRPr="00ED4FE0">
        <w:rPr>
          <w:rFonts w:eastAsia="Times New Roman" w:cstheme="minorHAnsi"/>
          <w:spacing w:val="-5"/>
          <w:sz w:val="21"/>
          <w:szCs w:val="21"/>
          <w:lang w:eastAsia="pl-PL"/>
        </w:rPr>
        <w:t xml:space="preserve">a 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>w sprawie zamówienia publicznego</w:t>
      </w:r>
      <w:r w:rsidR="00411AE9" w:rsidRPr="00ED4FE0">
        <w:rPr>
          <w:rFonts w:eastAsia="Times New Roman" w:cstheme="minorHAnsi"/>
          <w:spacing w:val="-5"/>
          <w:sz w:val="21"/>
          <w:szCs w:val="21"/>
          <w:lang w:eastAsia="pl-PL"/>
        </w:rPr>
        <w:t>, które prowadzone było w trybie podstawowym i w którym złożono tylko jedną ofertę,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 mo</w:t>
      </w:r>
      <w:r w:rsidR="00411AE9" w:rsidRPr="00ED4FE0">
        <w:rPr>
          <w:rFonts w:eastAsia="Times New Roman" w:cstheme="minorHAnsi"/>
          <w:spacing w:val="-5"/>
          <w:sz w:val="21"/>
          <w:szCs w:val="21"/>
          <w:lang w:eastAsia="pl-PL"/>
        </w:rPr>
        <w:t>że</w:t>
      </w:r>
      <w:r w:rsidRPr="00325253">
        <w:rPr>
          <w:rFonts w:eastAsia="Times New Roman" w:cstheme="minorHAnsi"/>
          <w:spacing w:val="-5"/>
          <w:sz w:val="21"/>
          <w:szCs w:val="21"/>
          <w:lang w:eastAsia="pl-PL"/>
        </w:rPr>
        <w:t xml:space="preserve"> być zawart</w:t>
      </w:r>
      <w:r w:rsidR="00411AE9" w:rsidRPr="00ED4FE0">
        <w:rPr>
          <w:rFonts w:eastAsia="Times New Roman" w:cstheme="minorHAnsi"/>
          <w:spacing w:val="-5"/>
          <w:sz w:val="21"/>
          <w:szCs w:val="21"/>
          <w:lang w:eastAsia="pl-PL"/>
        </w:rPr>
        <w:t>a przed upływem terminu o którym mowa w art. 308 ust. 2</w:t>
      </w:r>
      <w:r w:rsidR="00ED4FE0">
        <w:rPr>
          <w:rFonts w:eastAsia="Times New Roman" w:cstheme="minorHAnsi"/>
          <w:spacing w:val="-5"/>
          <w:sz w:val="21"/>
          <w:szCs w:val="21"/>
          <w:lang w:eastAsia="pl-PL"/>
        </w:rPr>
        <w:t xml:space="preserve"> ustawy </w:t>
      </w:r>
      <w:proofErr w:type="spellStart"/>
      <w:r w:rsidR="00ED4FE0">
        <w:rPr>
          <w:rFonts w:eastAsia="Times New Roman" w:cstheme="minorHAnsi"/>
          <w:spacing w:val="-5"/>
          <w:sz w:val="21"/>
          <w:szCs w:val="21"/>
          <w:lang w:eastAsia="pl-PL"/>
        </w:rPr>
        <w:t>Pzp</w:t>
      </w:r>
      <w:proofErr w:type="spellEnd"/>
      <w:r w:rsidR="00411AE9" w:rsidRPr="00ED4FE0">
        <w:rPr>
          <w:rFonts w:eastAsia="Times New Roman" w:cstheme="minorHAnsi"/>
          <w:spacing w:val="-5"/>
          <w:sz w:val="21"/>
          <w:szCs w:val="21"/>
          <w:lang w:eastAsia="pl-PL"/>
        </w:rPr>
        <w:t>.</w:t>
      </w:r>
    </w:p>
    <w:p w:rsidR="00411AE9" w:rsidRPr="00325253" w:rsidRDefault="00411AE9" w:rsidP="00325253">
      <w:pPr>
        <w:spacing w:after="0" w:line="240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</w:p>
    <w:p w:rsidR="00325253" w:rsidRPr="00325253" w:rsidRDefault="00411AE9" w:rsidP="00325253">
      <w:pPr>
        <w:spacing w:after="0" w:line="240" w:lineRule="auto"/>
        <w:ind w:left="6372"/>
        <w:contextualSpacing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  <w:r w:rsidRPr="00ED4FE0">
        <w:rPr>
          <w:rFonts w:eastAsia="Times New Roman" w:cstheme="minorHAnsi"/>
          <w:b/>
          <w:spacing w:val="-5"/>
          <w:sz w:val="21"/>
          <w:szCs w:val="21"/>
          <w:lang w:eastAsia="pl-PL"/>
        </w:rPr>
        <w:t xml:space="preserve">   STAROSTA</w:t>
      </w:r>
    </w:p>
    <w:p w:rsidR="00D55656" w:rsidRPr="00ED4FE0" w:rsidRDefault="00325253" w:rsidP="00E278D1">
      <w:pPr>
        <w:spacing w:after="0" w:line="240" w:lineRule="auto"/>
        <w:ind w:left="5664"/>
        <w:contextualSpacing/>
        <w:jc w:val="both"/>
        <w:rPr>
          <w:rFonts w:cstheme="minorHAnsi"/>
          <w:sz w:val="21"/>
          <w:szCs w:val="21"/>
        </w:rPr>
      </w:pPr>
      <w:r w:rsidRPr="00325253">
        <w:rPr>
          <w:rFonts w:eastAsia="Times New Roman" w:cstheme="minorHAnsi"/>
          <w:b/>
          <w:spacing w:val="-5"/>
          <w:sz w:val="21"/>
          <w:szCs w:val="21"/>
          <w:lang w:eastAsia="pl-PL"/>
        </w:rPr>
        <w:t xml:space="preserve">          /-/ </w:t>
      </w:r>
      <w:r w:rsidR="00411AE9" w:rsidRPr="00ED4FE0">
        <w:rPr>
          <w:rFonts w:eastAsia="Times New Roman" w:cstheme="minorHAnsi"/>
          <w:b/>
          <w:spacing w:val="-5"/>
          <w:sz w:val="21"/>
          <w:szCs w:val="21"/>
          <w:lang w:eastAsia="pl-PL"/>
        </w:rPr>
        <w:t xml:space="preserve">Jarosław </w:t>
      </w:r>
      <w:proofErr w:type="spellStart"/>
      <w:r w:rsidR="00411AE9" w:rsidRPr="00ED4FE0">
        <w:rPr>
          <w:rFonts w:eastAsia="Times New Roman" w:cstheme="minorHAnsi"/>
          <w:b/>
          <w:spacing w:val="-5"/>
          <w:sz w:val="21"/>
          <w:szCs w:val="21"/>
          <w:lang w:eastAsia="pl-PL"/>
        </w:rPr>
        <w:t>Gęborys</w:t>
      </w:r>
      <w:proofErr w:type="spellEnd"/>
    </w:p>
    <w:sectPr w:rsidR="00D55656" w:rsidRPr="00ED4FE0" w:rsidSect="00ED4FE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426" w:right="992" w:bottom="426" w:left="1134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FD7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FD7434">
    <w:pPr>
      <w:pStyle w:val="Stopka"/>
      <w:ind w:right="360"/>
    </w:pPr>
  </w:p>
  <w:p w:rsidR="00DA279F" w:rsidRDefault="00FD7434"/>
  <w:p w:rsidR="00DA279F" w:rsidRDefault="00FD74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FD7434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278D1">
      <w:rPr>
        <w:noProof/>
      </w:rPr>
      <w:t>2</w:t>
    </w:r>
    <w:r>
      <w:fldChar w:fldCharType="end"/>
    </w:r>
  </w:p>
  <w:p w:rsidR="00DA279F" w:rsidRDefault="00FD7434"/>
  <w:p w:rsidR="00DA279F" w:rsidRDefault="00FD74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186829"/>
      <w:docPartObj>
        <w:docPartGallery w:val="Page Numbers (Bottom of Page)"/>
        <w:docPartUnique/>
      </w:docPartObj>
    </w:sdtPr>
    <w:sdtEndPr/>
    <w:sdtContent>
      <w:p w:rsidR="00A4486C" w:rsidRDefault="00FD74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8D1">
          <w:rPr>
            <w:noProof/>
          </w:rPr>
          <w:t>1</w:t>
        </w:r>
        <w:r>
          <w:fldChar w:fldCharType="end"/>
        </w:r>
      </w:p>
    </w:sdtContent>
  </w:sdt>
  <w:p w:rsidR="00B90C08" w:rsidRDefault="00FD743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FD7434">
    <w:pPr>
      <w:pStyle w:val="Nagwek"/>
    </w:pPr>
  </w:p>
  <w:p w:rsidR="00DA279F" w:rsidRDefault="00FD7434"/>
  <w:p w:rsidR="00DA279F" w:rsidRDefault="00FD74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FD7434">
    <w:pPr>
      <w:pStyle w:val="Nagwek"/>
    </w:pPr>
  </w:p>
  <w:p w:rsidR="00DA279F" w:rsidRDefault="00FD7434"/>
  <w:p w:rsidR="00DA279F" w:rsidRDefault="00FD743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FD7434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3AA71FDE" wp14:editId="387E61CA">
                <wp:extent cx="876224" cy="1069676"/>
                <wp:effectExtent l="0" t="0" r="635" b="0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1993294228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FD7434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STAROSTWO POWIATOWE W KAMIENNEJ GÓRZE</w:t>
              </w:r>
            </w:p>
          </w:sdtContent>
        </w:sdt>
        <w:p w:rsidR="00E155B4" w:rsidRPr="00765E9E" w:rsidRDefault="00FD7434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FD7434" w:rsidP="008F1A64">
    <w:pPr>
      <w:pStyle w:val="Nagwek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53"/>
    <w:rsid w:val="001D4198"/>
    <w:rsid w:val="00325253"/>
    <w:rsid w:val="00411AE9"/>
    <w:rsid w:val="00BF1169"/>
    <w:rsid w:val="00E278D1"/>
    <w:rsid w:val="00EB3307"/>
    <w:rsid w:val="00ED4FE0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10954-48CF-4A1D-AB8F-06BC7B81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5253"/>
  </w:style>
  <w:style w:type="paragraph" w:styleId="Stopka">
    <w:name w:val="footer"/>
    <w:basedOn w:val="Normalny"/>
    <w:link w:val="StopkaZnak"/>
    <w:uiPriority w:val="99"/>
    <w:semiHidden/>
    <w:unhideWhenUsed/>
    <w:rsid w:val="0032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5253"/>
  </w:style>
  <w:style w:type="paragraph" w:styleId="Adreszwrotnynakopercie">
    <w:name w:val="envelope return"/>
    <w:basedOn w:val="Normalny"/>
    <w:link w:val="AdreszwrotnynakopercieZnak"/>
    <w:rsid w:val="0032525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325253"/>
  </w:style>
  <w:style w:type="paragraph" w:customStyle="1" w:styleId="SNAGWEK">
    <w:name w:val="S_NAGŁÓWEK"/>
    <w:basedOn w:val="Adreszwrotnynakopercie"/>
    <w:link w:val="SNAGWEKZnak"/>
    <w:qFormat/>
    <w:rsid w:val="00325253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325253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325253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325253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325253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cp:lastPrinted>2023-09-29T09:29:00Z</cp:lastPrinted>
  <dcterms:created xsi:type="dcterms:W3CDTF">2023-09-29T06:42:00Z</dcterms:created>
  <dcterms:modified xsi:type="dcterms:W3CDTF">2023-09-29T10:03:00Z</dcterms:modified>
</cp:coreProperties>
</file>