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4292" w14:textId="77777777" w:rsidR="009648AE" w:rsidRPr="009648AE" w:rsidRDefault="009648AE" w:rsidP="009648AE">
      <w:pPr>
        <w:spacing w:before="240" w:line="271" w:lineRule="auto"/>
        <w:outlineLvl w:val="1"/>
        <w:rPr>
          <w:rFonts w:ascii="Calibri" w:eastAsia="Calibri" w:hAnsi="Calibri" w:cs="Times New Roman"/>
          <w:b/>
          <w:color w:val="0000FF"/>
        </w:rPr>
      </w:pPr>
      <w:r w:rsidRPr="009648AE">
        <w:rPr>
          <w:rFonts w:ascii="Calibri" w:eastAsia="Calibri" w:hAnsi="Calibri" w:cs="Times New Roman"/>
          <w:b/>
          <w:color w:val="0000FF"/>
        </w:rPr>
        <w:t xml:space="preserve">Załącznik nr </w:t>
      </w:r>
      <w:r w:rsidR="00952873">
        <w:rPr>
          <w:rFonts w:ascii="Calibri" w:eastAsia="Calibri" w:hAnsi="Calibri" w:cs="Times New Roman"/>
          <w:b/>
          <w:color w:val="0000FF"/>
        </w:rPr>
        <w:t>1</w:t>
      </w:r>
      <w:r w:rsidRPr="009648AE">
        <w:rPr>
          <w:rFonts w:ascii="Calibri" w:eastAsia="Calibri" w:hAnsi="Calibri" w:cs="Times New Roman"/>
          <w:b/>
          <w:color w:val="0000FF"/>
        </w:rPr>
        <w:t xml:space="preserve"> do SWZ</w:t>
      </w:r>
    </w:p>
    <w:p w14:paraId="55DAA0CC" w14:textId="77777777" w:rsidR="009648AE" w:rsidRPr="009648AE" w:rsidRDefault="009648AE" w:rsidP="009648AE">
      <w:pPr>
        <w:spacing w:line="271" w:lineRule="auto"/>
        <w:ind w:left="567" w:hanging="567"/>
        <w:rPr>
          <w:rFonts w:ascii="Calibri" w:eastAsia="Calibri" w:hAnsi="Calibri" w:cs="Times New Roman"/>
          <w:b/>
        </w:rPr>
      </w:pPr>
      <w:r w:rsidRPr="009648AE">
        <w:rPr>
          <w:rFonts w:ascii="Calibri" w:eastAsia="Calibri" w:hAnsi="Calibri" w:cs="Times New Roman"/>
          <w:b/>
        </w:rPr>
        <w:t>Nr postępowania: ZP/</w:t>
      </w:r>
      <w:r w:rsidR="00952873">
        <w:rPr>
          <w:rFonts w:ascii="Calibri" w:eastAsia="Calibri" w:hAnsi="Calibri" w:cs="Times New Roman"/>
          <w:b/>
        </w:rPr>
        <w:t>111</w:t>
      </w:r>
      <w:r w:rsidRPr="009648AE">
        <w:rPr>
          <w:rFonts w:ascii="Calibri" w:eastAsia="Calibri" w:hAnsi="Calibri" w:cs="Times New Roman"/>
          <w:b/>
        </w:rPr>
        <w:t>/2023</w:t>
      </w:r>
    </w:p>
    <w:p w14:paraId="3F579012" w14:textId="77777777" w:rsidR="009648AE" w:rsidRPr="00203882" w:rsidRDefault="009648AE" w:rsidP="00203882">
      <w:pPr>
        <w:spacing w:line="271" w:lineRule="auto"/>
        <w:ind w:left="567" w:hanging="567"/>
        <w:jc w:val="center"/>
        <w:rPr>
          <w:rFonts w:ascii="Calibri" w:eastAsia="Calibri" w:hAnsi="Calibri" w:cs="Times New Roman"/>
          <w:b/>
          <w:bCs/>
          <w:color w:val="3333FF"/>
          <w:sz w:val="24"/>
          <w:szCs w:val="24"/>
        </w:rPr>
      </w:pPr>
      <w:bookmarkStart w:id="0" w:name="_Hlk145417884"/>
      <w:r w:rsidRPr="00203882">
        <w:rPr>
          <w:rFonts w:ascii="Calibri" w:eastAsia="Calibri" w:hAnsi="Calibri" w:cs="Times New Roman"/>
          <w:b/>
          <w:bCs/>
          <w:color w:val="3333FF"/>
          <w:sz w:val="24"/>
          <w:szCs w:val="24"/>
        </w:rPr>
        <w:t>OPIS PRZEDMIOTU ZAMÓWIENIA</w:t>
      </w:r>
    </w:p>
    <w:p w14:paraId="1D3ED3D7" w14:textId="36EDA487" w:rsidR="009648AE" w:rsidRPr="00952873" w:rsidRDefault="00952873" w:rsidP="00952873">
      <w:pPr>
        <w:spacing w:line="271" w:lineRule="auto"/>
        <w:ind w:left="567" w:hanging="567"/>
        <w:rPr>
          <w:rFonts w:ascii="Calibri" w:eastAsia="Calibri" w:hAnsi="Calibri" w:cs="Times New Roman"/>
          <w:b/>
          <w:bCs/>
        </w:rPr>
      </w:pPr>
      <w:bookmarkStart w:id="1" w:name="_Hlk138751522"/>
      <w:r w:rsidRPr="00952873">
        <w:rPr>
          <w:rFonts w:ascii="Calibri" w:eastAsia="Calibri" w:hAnsi="Calibri" w:cs="Times New Roman"/>
          <w:b/>
          <w:bCs/>
        </w:rPr>
        <w:t xml:space="preserve">Zakup systemu </w:t>
      </w:r>
      <w:r w:rsidR="009F6FDC">
        <w:rPr>
          <w:rFonts w:ascii="Calibri" w:eastAsia="Calibri" w:hAnsi="Calibri" w:cs="Times New Roman"/>
          <w:b/>
          <w:bCs/>
        </w:rPr>
        <w:t xml:space="preserve">do </w:t>
      </w:r>
      <w:r w:rsidRPr="00952873">
        <w:rPr>
          <w:rFonts w:ascii="Calibri" w:eastAsia="Calibri" w:hAnsi="Calibri" w:cs="Times New Roman"/>
          <w:b/>
          <w:bCs/>
        </w:rPr>
        <w:t>analizy i dokumentacji żeli</w:t>
      </w:r>
      <w:bookmarkEnd w:id="1"/>
    </w:p>
    <w:p w14:paraId="0E5195A8" w14:textId="77777777" w:rsidR="009648AE" w:rsidRPr="009648AE" w:rsidRDefault="009648AE" w:rsidP="009648AE">
      <w:pPr>
        <w:spacing w:line="271" w:lineRule="auto"/>
        <w:ind w:left="567" w:hanging="567"/>
        <w:rPr>
          <w:rFonts w:ascii="Calibri" w:eastAsia="Calibri" w:hAnsi="Calibri" w:cs="Times New Roman"/>
          <w:b/>
        </w:rPr>
      </w:pPr>
      <w:r w:rsidRPr="009648AE">
        <w:rPr>
          <w:rFonts w:ascii="Calibri" w:eastAsia="Calibri" w:hAnsi="Calibri" w:cs="Times New Roman"/>
          <w:b/>
        </w:rPr>
        <w:t>Ilość:  1 szt.</w:t>
      </w:r>
    </w:p>
    <w:p w14:paraId="6AE70A7F" w14:textId="54F7A7D1" w:rsidR="009648AE" w:rsidRPr="009648AE" w:rsidRDefault="009648AE" w:rsidP="009648AE">
      <w:pPr>
        <w:spacing w:line="271" w:lineRule="auto"/>
        <w:ind w:left="567" w:hanging="567"/>
        <w:rPr>
          <w:rFonts w:ascii="Calibri" w:eastAsia="Calibri" w:hAnsi="Calibri" w:cs="Times New Roman"/>
          <w:b/>
        </w:rPr>
      </w:pPr>
      <w:r w:rsidRPr="009648AE">
        <w:rPr>
          <w:rFonts w:ascii="Calibri" w:eastAsia="Calibri" w:hAnsi="Calibri" w:cs="Times New Roman"/>
          <w:b/>
        </w:rPr>
        <w:t>Producent:</w:t>
      </w:r>
      <w:r w:rsidR="0081412A">
        <w:rPr>
          <w:rFonts w:ascii="Calibri" w:eastAsia="Calibri" w:hAnsi="Calibri" w:cs="Times New Roman"/>
          <w:b/>
        </w:rPr>
        <w:t xml:space="preserve">     </w:t>
      </w:r>
      <w:r w:rsidRPr="009648AE">
        <w:rPr>
          <w:rFonts w:ascii="Calibri" w:eastAsia="Calibri" w:hAnsi="Calibri" w:cs="Times New Roman"/>
          <w:b/>
        </w:rPr>
        <w:t>…………………………</w:t>
      </w:r>
      <w:r w:rsidR="00952873">
        <w:rPr>
          <w:rFonts w:ascii="Calibri" w:eastAsia="Calibri" w:hAnsi="Calibri" w:cs="Times New Roman"/>
          <w:b/>
        </w:rPr>
        <w:t>…………………………………….</w:t>
      </w:r>
    </w:p>
    <w:p w14:paraId="3C8A9A61" w14:textId="63D5FA12" w:rsidR="009648AE" w:rsidRPr="009648AE" w:rsidRDefault="009648AE" w:rsidP="009648AE">
      <w:pPr>
        <w:spacing w:line="271" w:lineRule="auto"/>
        <w:ind w:left="567" w:hanging="567"/>
        <w:rPr>
          <w:rFonts w:ascii="Calibri" w:eastAsia="Calibri" w:hAnsi="Calibri" w:cs="Times New Roman"/>
          <w:b/>
        </w:rPr>
      </w:pPr>
      <w:r w:rsidRPr="009648AE">
        <w:rPr>
          <w:rFonts w:ascii="Calibri" w:eastAsia="Calibri" w:hAnsi="Calibri" w:cs="Times New Roman"/>
          <w:b/>
        </w:rPr>
        <w:t>Model:</w:t>
      </w:r>
      <w:r w:rsidR="0081412A">
        <w:rPr>
          <w:rFonts w:ascii="Calibri" w:eastAsia="Calibri" w:hAnsi="Calibri" w:cs="Times New Roman"/>
          <w:b/>
        </w:rPr>
        <w:t xml:space="preserve">    </w:t>
      </w:r>
      <w:r w:rsidRPr="009648AE">
        <w:rPr>
          <w:rFonts w:ascii="Calibri" w:eastAsia="Calibri" w:hAnsi="Calibri" w:cs="Times New Roman"/>
          <w:b/>
        </w:rPr>
        <w:t>……………………………</w:t>
      </w:r>
      <w:r w:rsidR="00952873">
        <w:rPr>
          <w:rFonts w:ascii="Calibri" w:eastAsia="Calibri" w:hAnsi="Calibri" w:cs="Times New Roman"/>
          <w:b/>
        </w:rPr>
        <w:t>………………………………………..</w:t>
      </w:r>
    </w:p>
    <w:p w14:paraId="2C5158FA" w14:textId="44DE9C6B" w:rsidR="009648AE" w:rsidRPr="009648AE" w:rsidRDefault="009648AE" w:rsidP="009648AE">
      <w:pPr>
        <w:spacing w:line="271" w:lineRule="auto"/>
        <w:ind w:left="567" w:hanging="567"/>
        <w:rPr>
          <w:rFonts w:ascii="Calibri" w:eastAsia="Calibri" w:hAnsi="Calibri" w:cs="Times New Roman"/>
          <w:b/>
        </w:rPr>
      </w:pPr>
      <w:r w:rsidRPr="009648AE">
        <w:rPr>
          <w:rFonts w:ascii="Calibri" w:eastAsia="Calibri" w:hAnsi="Calibri" w:cs="Times New Roman"/>
          <w:b/>
        </w:rPr>
        <w:t>Rok produkcji:</w:t>
      </w:r>
      <w:r w:rsidR="0081412A">
        <w:rPr>
          <w:rFonts w:ascii="Calibri" w:eastAsia="Calibri" w:hAnsi="Calibri" w:cs="Times New Roman"/>
          <w:b/>
        </w:rPr>
        <w:t xml:space="preserve">    </w:t>
      </w:r>
      <w:r w:rsidRPr="009648AE">
        <w:rPr>
          <w:rFonts w:ascii="Calibri" w:eastAsia="Calibri" w:hAnsi="Calibri" w:cs="Times New Roman"/>
          <w:b/>
        </w:rPr>
        <w:t>…………………</w:t>
      </w:r>
      <w:r w:rsidR="00952873">
        <w:rPr>
          <w:rFonts w:ascii="Calibri" w:eastAsia="Calibri" w:hAnsi="Calibri" w:cs="Times New Roman"/>
          <w:b/>
        </w:rPr>
        <w:t>……………………………………….</w:t>
      </w:r>
    </w:p>
    <w:p w14:paraId="47CF2B36" w14:textId="77777777" w:rsidR="009648AE" w:rsidRPr="009648AE" w:rsidRDefault="009648AE" w:rsidP="00952873">
      <w:pPr>
        <w:keepNext/>
        <w:spacing w:before="600" w:after="240" w:line="240" w:lineRule="auto"/>
        <w:ind w:left="567" w:hanging="567"/>
        <w:rPr>
          <w:rFonts w:ascii="Calibri" w:eastAsia="Calibri" w:hAnsi="Calibri" w:cs="Times New Roman"/>
          <w:b/>
          <w:iCs/>
          <w:color w:val="0000FF"/>
          <w:szCs w:val="18"/>
        </w:rPr>
      </w:pPr>
      <w:bookmarkStart w:id="2" w:name="_Hlk145418014"/>
      <w:bookmarkEnd w:id="0"/>
      <w:r w:rsidRPr="009648AE">
        <w:rPr>
          <w:rFonts w:ascii="Calibri" w:eastAsia="Calibri" w:hAnsi="Calibri" w:cs="Times New Roman"/>
          <w:b/>
          <w:iCs/>
          <w:color w:val="0000FF"/>
          <w:szCs w:val="18"/>
        </w:rPr>
        <w:t xml:space="preserve">Tabela </w:t>
      </w:r>
      <w:r w:rsidRPr="009648AE">
        <w:rPr>
          <w:rFonts w:ascii="Calibri" w:eastAsia="Calibri" w:hAnsi="Calibri" w:cs="Times New Roman"/>
          <w:b/>
          <w:iCs/>
          <w:color w:val="0000FF"/>
          <w:szCs w:val="18"/>
        </w:rPr>
        <w:fldChar w:fldCharType="begin"/>
      </w:r>
      <w:r w:rsidRPr="009648AE">
        <w:rPr>
          <w:rFonts w:ascii="Calibri" w:eastAsia="Calibri" w:hAnsi="Calibri" w:cs="Times New Roman"/>
          <w:b/>
          <w:iCs/>
          <w:color w:val="0000FF"/>
          <w:szCs w:val="18"/>
        </w:rPr>
        <w:instrText xml:space="preserve"> SEQ Tabela \* ARABIC </w:instrText>
      </w:r>
      <w:r w:rsidRPr="009648AE">
        <w:rPr>
          <w:rFonts w:ascii="Calibri" w:eastAsia="Calibri" w:hAnsi="Calibri" w:cs="Times New Roman"/>
          <w:b/>
          <w:iCs/>
          <w:color w:val="0000FF"/>
          <w:szCs w:val="18"/>
        </w:rPr>
        <w:fldChar w:fldCharType="separate"/>
      </w:r>
      <w:r w:rsidRPr="009648AE">
        <w:rPr>
          <w:rFonts w:ascii="Calibri" w:eastAsia="Calibri" w:hAnsi="Calibri" w:cs="Times New Roman"/>
          <w:b/>
          <w:iCs/>
          <w:noProof/>
          <w:color w:val="0000FF"/>
          <w:szCs w:val="18"/>
        </w:rPr>
        <w:t>1</w:t>
      </w:r>
      <w:r w:rsidRPr="009648AE">
        <w:rPr>
          <w:rFonts w:ascii="Calibri" w:eastAsia="Calibri" w:hAnsi="Calibri" w:cs="Times New Roman"/>
          <w:b/>
          <w:iCs/>
          <w:noProof/>
          <w:color w:val="0000FF"/>
          <w:szCs w:val="18"/>
        </w:rPr>
        <w:fldChar w:fldCharType="end"/>
      </w:r>
      <w:r w:rsidRPr="009648AE">
        <w:rPr>
          <w:rFonts w:ascii="Calibri" w:eastAsia="Calibri" w:hAnsi="Calibri" w:cs="Times New Roman"/>
          <w:b/>
          <w:iCs/>
          <w:color w:val="0000FF"/>
          <w:szCs w:val="18"/>
        </w:rPr>
        <w:t xml:space="preserve"> Wykaz parametrów wymaganych i oferowanych</w:t>
      </w:r>
    </w:p>
    <w:tbl>
      <w:tblPr>
        <w:tblStyle w:val="Tabela-Siatka"/>
        <w:tblW w:w="10173" w:type="dxa"/>
        <w:jc w:val="center"/>
        <w:tblLook w:val="04A0" w:firstRow="1" w:lastRow="0" w:firstColumn="1" w:lastColumn="0" w:noHBand="0" w:noVBand="1"/>
        <w:tblCaption w:val="Tabela 1 Wykaz parametrów wymaganych i oferowanych"/>
        <w:tblDescription w:val="Tabela zawiera wykaz parametrów wymaganych oraz należy wpisać parametry oferowane"/>
      </w:tblPr>
      <w:tblGrid>
        <w:gridCol w:w="817"/>
        <w:gridCol w:w="5182"/>
        <w:gridCol w:w="4174"/>
      </w:tblGrid>
      <w:tr w:rsidR="009648AE" w14:paraId="3B7FFFBB" w14:textId="77777777" w:rsidTr="00952873">
        <w:trPr>
          <w:cantSplit/>
          <w:tblHeader/>
          <w:jc w:val="center"/>
        </w:trPr>
        <w:tc>
          <w:tcPr>
            <w:tcW w:w="817" w:type="dxa"/>
          </w:tcPr>
          <w:bookmarkEnd w:id="2"/>
          <w:p w14:paraId="71B99FE4" w14:textId="77777777" w:rsidR="009648AE" w:rsidRPr="00952873" w:rsidRDefault="009648AE" w:rsidP="007E6C0B">
            <w:pPr>
              <w:rPr>
                <w:b/>
                <w:bCs/>
              </w:rPr>
            </w:pPr>
            <w:r w:rsidRPr="00952873">
              <w:rPr>
                <w:b/>
                <w:bCs/>
              </w:rPr>
              <w:t>L.p.</w:t>
            </w:r>
          </w:p>
        </w:tc>
        <w:tc>
          <w:tcPr>
            <w:tcW w:w="5182" w:type="dxa"/>
          </w:tcPr>
          <w:p w14:paraId="7937CF88" w14:textId="77777777" w:rsidR="009648AE" w:rsidRPr="00952873" w:rsidRDefault="009648AE" w:rsidP="007E6C0B">
            <w:pPr>
              <w:rPr>
                <w:b/>
                <w:bCs/>
              </w:rPr>
            </w:pPr>
            <w:r w:rsidRPr="00952873">
              <w:rPr>
                <w:b/>
                <w:bCs/>
              </w:rPr>
              <w:t>Parametry wymagane</w:t>
            </w:r>
          </w:p>
        </w:tc>
        <w:tc>
          <w:tcPr>
            <w:tcW w:w="4174" w:type="dxa"/>
          </w:tcPr>
          <w:p w14:paraId="6D218F36" w14:textId="77777777" w:rsidR="009648AE" w:rsidRPr="00952873" w:rsidRDefault="009648AE" w:rsidP="007E6C0B">
            <w:pPr>
              <w:rPr>
                <w:b/>
                <w:bCs/>
              </w:rPr>
            </w:pPr>
            <w:r w:rsidRPr="00952873">
              <w:rPr>
                <w:b/>
                <w:bCs/>
              </w:rPr>
              <w:t>Parametry oferowane</w:t>
            </w:r>
          </w:p>
        </w:tc>
      </w:tr>
      <w:tr w:rsidR="009648AE" w14:paraId="59C76FBC" w14:textId="77777777" w:rsidTr="00952873">
        <w:trPr>
          <w:jc w:val="center"/>
        </w:trPr>
        <w:tc>
          <w:tcPr>
            <w:tcW w:w="817" w:type="dxa"/>
          </w:tcPr>
          <w:p w14:paraId="38827F2D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0155BDD0" w14:textId="77777777" w:rsidR="009648AE" w:rsidRDefault="009648AE" w:rsidP="00952873">
            <w:pPr>
              <w:spacing w:line="276" w:lineRule="auto"/>
            </w:pPr>
            <w:r>
              <w:t>Maksymalna fotografowana powierzchnia (pole widzenia) nie mniejsza niż 20.9 x 16.7 cm.</w:t>
            </w:r>
          </w:p>
        </w:tc>
        <w:tc>
          <w:tcPr>
            <w:tcW w:w="4174" w:type="dxa"/>
          </w:tcPr>
          <w:p w14:paraId="515F8D95" w14:textId="77777777" w:rsidR="009648AE" w:rsidRDefault="009648AE" w:rsidP="007E6C0B"/>
        </w:tc>
      </w:tr>
      <w:tr w:rsidR="009648AE" w14:paraId="41AB845D" w14:textId="77777777" w:rsidTr="00952873">
        <w:trPr>
          <w:jc w:val="center"/>
        </w:trPr>
        <w:tc>
          <w:tcPr>
            <w:tcW w:w="817" w:type="dxa"/>
          </w:tcPr>
          <w:p w14:paraId="53166619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1D57AF04" w14:textId="77777777" w:rsidR="009648AE" w:rsidRDefault="009648AE" w:rsidP="00952873">
            <w:pPr>
              <w:spacing w:line="276" w:lineRule="auto"/>
            </w:pPr>
            <w:r>
              <w:t>Mechaniczny zoom kamery detekcyjnej umożliwiający utrzymanie wysokich parametrów ostrości i czułości niezależnie od użytej metody wizualizacyjnej i wielkości fotografowanego żelu lub membrany.</w:t>
            </w:r>
          </w:p>
        </w:tc>
        <w:tc>
          <w:tcPr>
            <w:tcW w:w="4174" w:type="dxa"/>
          </w:tcPr>
          <w:p w14:paraId="47E1EF70" w14:textId="77777777" w:rsidR="009648AE" w:rsidRDefault="009648AE" w:rsidP="007E6C0B"/>
        </w:tc>
      </w:tr>
      <w:tr w:rsidR="009648AE" w14:paraId="766205D7" w14:textId="77777777" w:rsidTr="00952873">
        <w:trPr>
          <w:jc w:val="center"/>
        </w:trPr>
        <w:tc>
          <w:tcPr>
            <w:tcW w:w="817" w:type="dxa"/>
          </w:tcPr>
          <w:p w14:paraId="6C01B41B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18676539" w14:textId="77777777" w:rsidR="009648AE" w:rsidRDefault="009648AE" w:rsidP="00952873">
            <w:pPr>
              <w:spacing w:line="276" w:lineRule="auto"/>
            </w:pPr>
            <w:r>
              <w:t>Automatyczne dopasowanie odległości kamery od fotografowanego obiektu. Brak konieczności układania żelu lub membrany (niezależnie od ich rozmiarów i rodzaju metody detekcji sygnału) na różnych półkach, w różnej odległości od obiektywu kamery.</w:t>
            </w:r>
          </w:p>
        </w:tc>
        <w:tc>
          <w:tcPr>
            <w:tcW w:w="4174" w:type="dxa"/>
          </w:tcPr>
          <w:p w14:paraId="51A30775" w14:textId="77777777" w:rsidR="009648AE" w:rsidRDefault="009648AE" w:rsidP="007E6C0B"/>
        </w:tc>
      </w:tr>
      <w:tr w:rsidR="009648AE" w14:paraId="297EFF18" w14:textId="77777777" w:rsidTr="00952873">
        <w:trPr>
          <w:jc w:val="center"/>
        </w:trPr>
        <w:tc>
          <w:tcPr>
            <w:tcW w:w="817" w:type="dxa"/>
          </w:tcPr>
          <w:p w14:paraId="2987105A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3D8B214A" w14:textId="77777777" w:rsidR="009648AE" w:rsidRDefault="009648AE" w:rsidP="00952873">
            <w:pPr>
              <w:spacing w:line="276" w:lineRule="auto"/>
            </w:pPr>
            <w:r>
              <w:t>Wykorzystanie wysuwanej szuflady wraz z tackami roboczymi umożliwiającymi akwizycję chemiluminescencji oraz sygnału przy wykorzystaniu światła przechodzącego i EPI.</w:t>
            </w:r>
          </w:p>
        </w:tc>
        <w:tc>
          <w:tcPr>
            <w:tcW w:w="4174" w:type="dxa"/>
          </w:tcPr>
          <w:p w14:paraId="1D88F07F" w14:textId="77777777" w:rsidR="009648AE" w:rsidRDefault="009648AE" w:rsidP="007E6C0B"/>
        </w:tc>
      </w:tr>
      <w:tr w:rsidR="009648AE" w14:paraId="473990D0" w14:textId="77777777" w:rsidTr="00952873">
        <w:trPr>
          <w:jc w:val="center"/>
        </w:trPr>
        <w:tc>
          <w:tcPr>
            <w:tcW w:w="817" w:type="dxa"/>
          </w:tcPr>
          <w:p w14:paraId="080D1616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7914FFB6" w14:textId="77777777" w:rsidR="009648AE" w:rsidRDefault="009648AE" w:rsidP="00952873">
            <w:pPr>
              <w:spacing w:line="276" w:lineRule="auto"/>
            </w:pPr>
            <w:r>
              <w:t>Automatyczne wykrywanie tacek roboczych kompatybilnych dla danej metody akwizycji sygnału. Automatyczna blokada dla użycia tacki niekompatybilnej z wybraną metodą akwizycji sygnału.</w:t>
            </w:r>
          </w:p>
        </w:tc>
        <w:tc>
          <w:tcPr>
            <w:tcW w:w="4174" w:type="dxa"/>
          </w:tcPr>
          <w:p w14:paraId="35A2F263" w14:textId="77777777" w:rsidR="009648AE" w:rsidRDefault="009648AE" w:rsidP="007E6C0B"/>
        </w:tc>
      </w:tr>
      <w:tr w:rsidR="009648AE" w14:paraId="521CAE3E" w14:textId="77777777" w:rsidTr="00952873">
        <w:trPr>
          <w:jc w:val="center"/>
        </w:trPr>
        <w:tc>
          <w:tcPr>
            <w:tcW w:w="817" w:type="dxa"/>
          </w:tcPr>
          <w:p w14:paraId="06755508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5E4BC2BC" w14:textId="77777777" w:rsidR="009648AE" w:rsidRDefault="009648AE" w:rsidP="00952873">
            <w:pPr>
              <w:spacing w:line="276" w:lineRule="auto"/>
            </w:pPr>
            <w:r>
              <w:t>Dostępne źródła światła w standardzie, umożliwiające zastosowanie wskazanych zakresów wzbudzenia:</w:t>
            </w:r>
          </w:p>
          <w:p w14:paraId="1B7A944B" w14:textId="77777777" w:rsidR="009648AE" w:rsidRPr="007E6C0B" w:rsidRDefault="009648AE" w:rsidP="0095287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· Trans-UV (302 nm),</w:t>
            </w:r>
          </w:p>
          <w:p w14:paraId="4897CD99" w14:textId="77777777" w:rsidR="009648AE" w:rsidRPr="007E6C0B" w:rsidRDefault="009648AE" w:rsidP="0095287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· Epi-white,</w:t>
            </w:r>
          </w:p>
          <w:p w14:paraId="02B743F2" w14:textId="77777777" w:rsidR="009648AE" w:rsidRDefault="009648AE" w:rsidP="00952873">
            <w:pPr>
              <w:spacing w:line="276" w:lineRule="auto"/>
            </w:pPr>
            <w:r>
              <w:t>· Trans-</w:t>
            </w:r>
            <w:proofErr w:type="spellStart"/>
            <w:r>
              <w:t>blue</w:t>
            </w:r>
            <w:proofErr w:type="spellEnd"/>
            <w:r>
              <w:t xml:space="preserve"> (450 </w:t>
            </w:r>
            <w:proofErr w:type="spellStart"/>
            <w:r>
              <w:t>nm</w:t>
            </w:r>
            <w:proofErr w:type="spellEnd"/>
            <w:r>
              <w:t xml:space="preserve"> – 490 </w:t>
            </w:r>
            <w:proofErr w:type="spellStart"/>
            <w:r>
              <w:t>nm</w:t>
            </w:r>
            <w:proofErr w:type="spellEnd"/>
            <w:r>
              <w:t>), wymaga użycia niebieskiej tacy,</w:t>
            </w:r>
          </w:p>
          <w:p w14:paraId="4BB65AD4" w14:textId="77777777" w:rsidR="009648AE" w:rsidRDefault="009648AE" w:rsidP="00952873">
            <w:pPr>
              <w:spacing w:line="276" w:lineRule="auto"/>
            </w:pPr>
            <w:r>
              <w:t>· Trans-</w:t>
            </w:r>
            <w:proofErr w:type="spellStart"/>
            <w:r>
              <w:t>white</w:t>
            </w:r>
            <w:proofErr w:type="spellEnd"/>
            <w:r>
              <w:t xml:space="preserve"> (wymaga użycia białej tacy).</w:t>
            </w:r>
          </w:p>
        </w:tc>
        <w:tc>
          <w:tcPr>
            <w:tcW w:w="4174" w:type="dxa"/>
          </w:tcPr>
          <w:p w14:paraId="2DC74E89" w14:textId="77777777" w:rsidR="009648AE" w:rsidRDefault="009648AE" w:rsidP="007E6C0B"/>
        </w:tc>
      </w:tr>
      <w:tr w:rsidR="009648AE" w14:paraId="5C9CCFEE" w14:textId="77777777" w:rsidTr="00952873">
        <w:trPr>
          <w:jc w:val="center"/>
        </w:trPr>
        <w:tc>
          <w:tcPr>
            <w:tcW w:w="817" w:type="dxa"/>
          </w:tcPr>
          <w:p w14:paraId="31555D83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32F12E07" w14:textId="77777777" w:rsidR="009648AE" w:rsidRDefault="009648AE" w:rsidP="00952873">
            <w:pPr>
              <w:spacing w:line="276" w:lineRule="auto"/>
            </w:pPr>
            <w:r>
              <w:t>Dostępna dodatkowa osłona UV do pracy z UV przy wysuniętej szufladzie i otwartych drzwiczkach systemu.</w:t>
            </w:r>
          </w:p>
        </w:tc>
        <w:tc>
          <w:tcPr>
            <w:tcW w:w="4174" w:type="dxa"/>
          </w:tcPr>
          <w:p w14:paraId="697F884D" w14:textId="77777777" w:rsidR="009648AE" w:rsidRDefault="009648AE" w:rsidP="007E6C0B"/>
        </w:tc>
      </w:tr>
      <w:tr w:rsidR="009648AE" w14:paraId="20E5A8CF" w14:textId="77777777" w:rsidTr="00952873">
        <w:trPr>
          <w:jc w:val="center"/>
        </w:trPr>
        <w:tc>
          <w:tcPr>
            <w:tcW w:w="817" w:type="dxa"/>
          </w:tcPr>
          <w:p w14:paraId="06E1D520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20B9E32D" w14:textId="77777777" w:rsidR="009648AE" w:rsidRDefault="009648AE" w:rsidP="00952873">
            <w:pPr>
              <w:spacing w:line="276" w:lineRule="auto"/>
            </w:pPr>
            <w:r>
              <w:t>Automatyczne wykrywanie otwartych drzwiczek systemu oraz niepoprawnej pozycji szuflady roboczej.</w:t>
            </w:r>
          </w:p>
        </w:tc>
        <w:tc>
          <w:tcPr>
            <w:tcW w:w="4174" w:type="dxa"/>
          </w:tcPr>
          <w:p w14:paraId="164CF1D1" w14:textId="77777777" w:rsidR="009648AE" w:rsidRDefault="009648AE" w:rsidP="007E6C0B"/>
        </w:tc>
      </w:tr>
      <w:tr w:rsidR="009648AE" w14:paraId="3FE3D11E" w14:textId="77777777" w:rsidTr="00952873">
        <w:trPr>
          <w:cantSplit/>
          <w:jc w:val="center"/>
        </w:trPr>
        <w:tc>
          <w:tcPr>
            <w:tcW w:w="817" w:type="dxa"/>
          </w:tcPr>
          <w:p w14:paraId="2589C46C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3141380E" w14:textId="77777777" w:rsidR="009648AE" w:rsidRDefault="009648AE" w:rsidP="00952873">
            <w:pPr>
              <w:spacing w:line="276" w:lineRule="auto"/>
            </w:pPr>
            <w:r>
              <w:t>Automatyczne wykrywanie osłony UV w przypadku pracy z UV na wysuniętej szufladzie roboczej. Automatyczna blokada źródła UV w przypadku wysuniętej szuflady bez osłony UV.</w:t>
            </w:r>
          </w:p>
        </w:tc>
        <w:tc>
          <w:tcPr>
            <w:tcW w:w="4174" w:type="dxa"/>
          </w:tcPr>
          <w:p w14:paraId="2E103C3E" w14:textId="77777777" w:rsidR="009648AE" w:rsidRDefault="009648AE" w:rsidP="007E6C0B"/>
        </w:tc>
      </w:tr>
      <w:tr w:rsidR="009648AE" w14:paraId="254224C1" w14:textId="77777777" w:rsidTr="00952873">
        <w:trPr>
          <w:jc w:val="center"/>
        </w:trPr>
        <w:tc>
          <w:tcPr>
            <w:tcW w:w="817" w:type="dxa"/>
          </w:tcPr>
          <w:p w14:paraId="21DA4763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4DF1727C" w14:textId="77777777" w:rsidR="009648AE" w:rsidRDefault="009648AE" w:rsidP="00952873">
            <w:pPr>
              <w:spacing w:line="276" w:lineRule="auto"/>
            </w:pPr>
            <w:r>
              <w:t>Brak konieczności mechanicznego zablokowania czujnika otwartych drzwiczek systemu do pracy z UV na wysuniętej szufladzie roboczej.</w:t>
            </w:r>
          </w:p>
        </w:tc>
        <w:tc>
          <w:tcPr>
            <w:tcW w:w="4174" w:type="dxa"/>
          </w:tcPr>
          <w:p w14:paraId="42C1F0DD" w14:textId="77777777" w:rsidR="009648AE" w:rsidRDefault="009648AE" w:rsidP="007E6C0B"/>
        </w:tc>
      </w:tr>
      <w:tr w:rsidR="009648AE" w14:paraId="50FDF27E" w14:textId="77777777" w:rsidTr="00952873">
        <w:trPr>
          <w:jc w:val="center"/>
        </w:trPr>
        <w:tc>
          <w:tcPr>
            <w:tcW w:w="817" w:type="dxa"/>
          </w:tcPr>
          <w:p w14:paraId="7588CB1D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1BE510EC" w14:textId="77777777" w:rsidR="009648AE" w:rsidRDefault="009648AE" w:rsidP="00952873">
            <w:pPr>
              <w:spacing w:line="276" w:lineRule="auto"/>
            </w:pPr>
            <w:r>
              <w:t xml:space="preserve">Detektor w postaci kamery CCD o parametrach wydajności kwantowej (quantum </w:t>
            </w:r>
            <w:proofErr w:type="spellStart"/>
            <w:r>
              <w:t>efficiency</w:t>
            </w:r>
            <w:proofErr w:type="spellEnd"/>
            <w:r>
              <w:t>):</w:t>
            </w:r>
          </w:p>
          <w:p w14:paraId="3DC6EB1A" w14:textId="77777777" w:rsidR="009648AE" w:rsidRDefault="009648AE" w:rsidP="00952873">
            <w:pPr>
              <w:spacing w:line="276" w:lineRule="auto"/>
            </w:pPr>
            <w:r>
              <w:t xml:space="preserve">· 70% dla światła o długości fali 425 </w:t>
            </w:r>
            <w:proofErr w:type="spellStart"/>
            <w:r>
              <w:t>nm</w:t>
            </w:r>
            <w:proofErr w:type="spellEnd"/>
          </w:p>
          <w:p w14:paraId="13361539" w14:textId="77777777" w:rsidR="009648AE" w:rsidRDefault="009648AE" w:rsidP="00952873">
            <w:pPr>
              <w:spacing w:line="276" w:lineRule="auto"/>
            </w:pPr>
            <w:r>
              <w:t xml:space="preserve">· 75% dla światła o długości fali 525 </w:t>
            </w:r>
            <w:proofErr w:type="spellStart"/>
            <w:r>
              <w:t>nm</w:t>
            </w:r>
            <w:proofErr w:type="spellEnd"/>
          </w:p>
          <w:p w14:paraId="1CD8D7D8" w14:textId="77777777" w:rsidR="009648AE" w:rsidRDefault="009648AE" w:rsidP="00952873">
            <w:pPr>
              <w:spacing w:line="276" w:lineRule="auto"/>
            </w:pPr>
            <w:r>
              <w:t xml:space="preserve">· 75-50% dla zakresu 525 </w:t>
            </w:r>
            <w:proofErr w:type="spellStart"/>
            <w:r>
              <w:t>nm</w:t>
            </w:r>
            <w:proofErr w:type="spellEnd"/>
            <w:r>
              <w:t xml:space="preserve"> – 800 </w:t>
            </w:r>
            <w:proofErr w:type="spellStart"/>
            <w:r>
              <w:t>nm</w:t>
            </w:r>
            <w:proofErr w:type="spellEnd"/>
          </w:p>
        </w:tc>
        <w:tc>
          <w:tcPr>
            <w:tcW w:w="4174" w:type="dxa"/>
          </w:tcPr>
          <w:p w14:paraId="45DD2C6C" w14:textId="77777777" w:rsidR="009648AE" w:rsidRDefault="009648AE" w:rsidP="007E6C0B"/>
        </w:tc>
      </w:tr>
      <w:tr w:rsidR="009648AE" w14:paraId="7BD074B2" w14:textId="77777777" w:rsidTr="00952873">
        <w:trPr>
          <w:jc w:val="center"/>
        </w:trPr>
        <w:tc>
          <w:tcPr>
            <w:tcW w:w="817" w:type="dxa"/>
          </w:tcPr>
          <w:p w14:paraId="394C9BA6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4AFBFAE8" w14:textId="77777777" w:rsidR="009648AE" w:rsidRDefault="009648AE" w:rsidP="00952873">
            <w:pPr>
              <w:spacing w:line="276" w:lineRule="auto"/>
            </w:pPr>
            <w:r>
              <w:t>Urządzenie jest skalibrowane fabrycznie, nie jest potrzebna kalibracja w siedzibie użytkownika.</w:t>
            </w:r>
          </w:p>
        </w:tc>
        <w:tc>
          <w:tcPr>
            <w:tcW w:w="4174" w:type="dxa"/>
          </w:tcPr>
          <w:p w14:paraId="3FD57AAF" w14:textId="77777777" w:rsidR="009648AE" w:rsidRDefault="009648AE" w:rsidP="007E6C0B"/>
        </w:tc>
      </w:tr>
      <w:tr w:rsidR="009648AE" w14:paraId="053D334C" w14:textId="77777777" w:rsidTr="00952873">
        <w:trPr>
          <w:jc w:val="center"/>
        </w:trPr>
        <w:tc>
          <w:tcPr>
            <w:tcW w:w="817" w:type="dxa"/>
          </w:tcPr>
          <w:p w14:paraId="0719CACD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0385D0F3" w14:textId="50F999CD" w:rsidR="009648AE" w:rsidRDefault="009648AE" w:rsidP="00952873">
            <w:pPr>
              <w:spacing w:line="276" w:lineRule="auto"/>
            </w:pPr>
            <w:r>
              <w:t xml:space="preserve">Oprogramowanie analityczne do </w:t>
            </w:r>
            <w:r w:rsidR="008816E5">
              <w:t>a</w:t>
            </w:r>
            <w:r>
              <w:t>nalizy obrazu, obliczeń ilościowych i jakościowych dostępne w nielimitowanej ilości licencji. Licencja umożliwia analizę zdjęć dla dowolnej liczby użytkowników w tym samym czasie.</w:t>
            </w:r>
          </w:p>
        </w:tc>
        <w:tc>
          <w:tcPr>
            <w:tcW w:w="4174" w:type="dxa"/>
          </w:tcPr>
          <w:p w14:paraId="3FADAFC7" w14:textId="77777777" w:rsidR="009648AE" w:rsidRDefault="009648AE" w:rsidP="007E6C0B"/>
        </w:tc>
      </w:tr>
      <w:tr w:rsidR="009648AE" w14:paraId="19B69B28" w14:textId="77777777" w:rsidTr="00952873">
        <w:trPr>
          <w:jc w:val="center"/>
        </w:trPr>
        <w:tc>
          <w:tcPr>
            <w:tcW w:w="817" w:type="dxa"/>
          </w:tcPr>
          <w:p w14:paraId="17E5A176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5F6FDDD8" w14:textId="77777777" w:rsidR="009648AE" w:rsidRDefault="009648AE" w:rsidP="00952873">
            <w:pPr>
              <w:spacing w:line="276" w:lineRule="auto"/>
            </w:pPr>
            <w:r>
              <w:t xml:space="preserve">Urządzenie wyposażone jest w port </w:t>
            </w:r>
            <w:proofErr w:type="spellStart"/>
            <w:r>
              <w:t>ethernetowy</w:t>
            </w:r>
            <w:proofErr w:type="spellEnd"/>
            <w:r>
              <w:t xml:space="preserve"> i nie mniej niż 3 porty USB umożliwiające transfer danych z systemu.</w:t>
            </w:r>
          </w:p>
        </w:tc>
        <w:tc>
          <w:tcPr>
            <w:tcW w:w="4174" w:type="dxa"/>
          </w:tcPr>
          <w:p w14:paraId="619E873A" w14:textId="77777777" w:rsidR="009648AE" w:rsidRDefault="009648AE" w:rsidP="007E6C0B"/>
        </w:tc>
      </w:tr>
      <w:tr w:rsidR="009648AE" w14:paraId="6E5054BF" w14:textId="77777777" w:rsidTr="00952873">
        <w:trPr>
          <w:jc w:val="center"/>
        </w:trPr>
        <w:tc>
          <w:tcPr>
            <w:tcW w:w="817" w:type="dxa"/>
          </w:tcPr>
          <w:p w14:paraId="0D6B1444" w14:textId="77777777" w:rsidR="009648AE" w:rsidRDefault="009648AE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5FF53A29" w14:textId="77777777" w:rsidR="009648AE" w:rsidRDefault="009648AE" w:rsidP="00952873">
            <w:pPr>
              <w:spacing w:line="276" w:lineRule="auto"/>
            </w:pPr>
            <w:r>
              <w:t>Rozmiary piksela w kamerze CCD wynoszą 4,54 x 4,54 mikrometra</w:t>
            </w:r>
          </w:p>
        </w:tc>
        <w:tc>
          <w:tcPr>
            <w:tcW w:w="4174" w:type="dxa"/>
          </w:tcPr>
          <w:p w14:paraId="5DC51F58" w14:textId="77777777" w:rsidR="009648AE" w:rsidRDefault="009648AE" w:rsidP="007E6C0B"/>
        </w:tc>
      </w:tr>
      <w:tr w:rsidR="008816E5" w14:paraId="339E3B4B" w14:textId="77777777" w:rsidTr="00952873">
        <w:trPr>
          <w:jc w:val="center"/>
        </w:trPr>
        <w:tc>
          <w:tcPr>
            <w:tcW w:w="817" w:type="dxa"/>
          </w:tcPr>
          <w:p w14:paraId="0F8E0AD7" w14:textId="77777777" w:rsidR="008816E5" w:rsidRDefault="008816E5" w:rsidP="009648AE">
            <w:pPr>
              <w:pStyle w:val="Akapitzlist"/>
              <w:numPr>
                <w:ilvl w:val="0"/>
                <w:numId w:val="1"/>
              </w:numPr>
              <w:ind w:left="567"/>
            </w:pPr>
          </w:p>
        </w:tc>
        <w:tc>
          <w:tcPr>
            <w:tcW w:w="5182" w:type="dxa"/>
          </w:tcPr>
          <w:p w14:paraId="57429FCA" w14:textId="14D2F0FB" w:rsidR="008816E5" w:rsidRPr="008816E5" w:rsidRDefault="008816E5" w:rsidP="00952873">
            <w:pPr>
              <w:spacing w:line="276" w:lineRule="auto"/>
              <w:rPr>
                <w:color w:val="FF0000"/>
              </w:rPr>
            </w:pPr>
            <w:r w:rsidRPr="0081412A">
              <w:t>Gwarancja minimum 24 miesiące</w:t>
            </w:r>
          </w:p>
        </w:tc>
        <w:tc>
          <w:tcPr>
            <w:tcW w:w="4174" w:type="dxa"/>
          </w:tcPr>
          <w:p w14:paraId="31F8DF60" w14:textId="77777777" w:rsidR="008816E5" w:rsidRDefault="008816E5" w:rsidP="007E6C0B"/>
        </w:tc>
      </w:tr>
    </w:tbl>
    <w:p w14:paraId="1AD0252A" w14:textId="77777777" w:rsidR="009648AE" w:rsidRDefault="009648AE" w:rsidP="007E6C0B">
      <w:pPr>
        <w:spacing w:line="240" w:lineRule="auto"/>
      </w:pPr>
    </w:p>
    <w:p w14:paraId="3E2E86D0" w14:textId="77777777" w:rsidR="007E6C0B" w:rsidRDefault="007E6C0B" w:rsidP="007E6C0B">
      <w:pPr>
        <w:spacing w:line="240" w:lineRule="auto"/>
      </w:pPr>
    </w:p>
    <w:p w14:paraId="19F6A924" w14:textId="77777777" w:rsidR="007E6C0B" w:rsidRDefault="007E6C0B" w:rsidP="007E6C0B">
      <w:pPr>
        <w:spacing w:line="240" w:lineRule="auto"/>
      </w:pPr>
    </w:p>
    <w:p w14:paraId="13F2D36F" w14:textId="0C40E827" w:rsidR="009B257A" w:rsidRPr="009B257A" w:rsidRDefault="009B257A" w:rsidP="009B257A">
      <w:pPr>
        <w:spacing w:line="240" w:lineRule="auto"/>
        <w:rPr>
          <w:b/>
          <w:color w:val="C00000"/>
        </w:rPr>
      </w:pPr>
      <w:r w:rsidRPr="009B257A">
        <w:rPr>
          <w:b/>
          <w:color w:val="C00000"/>
        </w:rPr>
        <w:t>Dokument  musi być podpisany kwalifikowanym podpisem elektronicznym lub podpisem zaufanym lub podpisem osobistym.</w:t>
      </w:r>
    </w:p>
    <w:p w14:paraId="26C379CF" w14:textId="77777777" w:rsidR="00A554CA" w:rsidRDefault="00A554CA" w:rsidP="007E6C0B">
      <w:pPr>
        <w:spacing w:line="240" w:lineRule="auto"/>
      </w:pPr>
    </w:p>
    <w:sectPr w:rsidR="00A5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357"/>
    <w:multiLevelType w:val="hybridMultilevel"/>
    <w:tmpl w:val="0F8CAB9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0B"/>
    <w:rsid w:val="00093B7C"/>
    <w:rsid w:val="00203882"/>
    <w:rsid w:val="00340F58"/>
    <w:rsid w:val="004308D9"/>
    <w:rsid w:val="007E6C0B"/>
    <w:rsid w:val="0081412A"/>
    <w:rsid w:val="008816E5"/>
    <w:rsid w:val="00952873"/>
    <w:rsid w:val="009648AE"/>
    <w:rsid w:val="009B257A"/>
    <w:rsid w:val="009F6FDC"/>
    <w:rsid w:val="00A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48D6"/>
  <w15:docId w15:val="{F2728A3D-6AC1-4762-8EC5-2D1A6F9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8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PFAX22JPUVXR-1-1722</_dlc_DocId>
    <_dlc_DocIdUrl xmlns="618bfc8a-bf33-4875-b0fc-ab121a7aaba7">
      <Url>https://intranet.local.umed.pl/bpm/app05_medicalapparatus/_layouts/15/DocIdRedir.aspx?ID=PFAX22JPUVXR-1-1722</Url>
      <Description>PFAX22JPUVXR-1-1722</Description>
    </_dlc_DocIdUrl>
    <archiveCategoryId xmlns="618bfc8a-bf33-4875-b0fc-ab121a7aaba7">"B5"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2023-08-02T06:15:13+00:00</dateOfGenerated>
    <Autor xmlns="618bfc8a-bf33-4875-b0fc-ab121a7aaba7">"mgr Marlena Maciejewska"</Autor>
    <idProcessBPM xmlns="618bfc8a-bf33-4875-b0fc-ab121a7aaba7">"1383067"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Z218_ManagerZ218_Manager;KBP_Team;KBP_Manager;BCKP_Manager;BDAS_Manager;BDAS_Team;"</permissionGroup>
    <permissionUser xmlns="618bfc8a-bf33-4875-b0fc-ab121a7aaba7">";32968;23780;"</permissionUser>
    <applicant xmlns="618bfc8a-bf33-4875-b0fc-ab121a7aaba7">"mgr Marlena Maciejewska"</applicant>
    <classificationKeywordId xmlns="618bfc8a-bf33-4875-b0fc-ab121a7aaba7">"230"</classificationKeywordId>
    <organizationalUnitApplicant xmlns="618bfc8a-bf33-4875-b0fc-ab121a7aaba7">"Zakład Biochemii"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";5220011445;"</contractorNipPesel>
    <purchaseRequestNumber xmlns="618bfc8a-bf33-4875-b0fc-ab121a7aaba7">";AP/2023/08/00007;"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";507/1-156-04/507-10-152/401-02-0-08;"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";WOJCIECH KACA "DONSERV";"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F73E8-25DD-4FFF-BAFC-C86A44B87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AD41B-B81A-4E4A-8851-F5B45F73BC55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3.xml><?xml version="1.0" encoding="utf-8"?>
<ds:datastoreItem xmlns:ds="http://schemas.openxmlformats.org/officeDocument/2006/customXml" ds:itemID="{2FE50E42-EE38-4C56-8B1D-2BDB7CDF72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D62597-B68F-4976-960B-749BCDD9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Monika Krawczyk</cp:lastModifiedBy>
  <cp:revision>9</cp:revision>
  <dcterms:created xsi:type="dcterms:W3CDTF">2023-09-14T08:25:00Z</dcterms:created>
  <dcterms:modified xsi:type="dcterms:W3CDTF">2023-09-15T11:53:00Z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ccbdb3d5-ed51-4c93-aa80-5245621ef544</vt:lpwstr>
  </property>
</Properties>
</file>