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wordWrap w:val="0"/>
        <w:spacing w:before="72" w:line="276" w:lineRule="auto"/>
        <w:ind w:right="0"/>
        <w:jc w:val="right"/>
      </w:pPr>
      <w:r>
        <w:tab/>
      </w:r>
      <w:r>
        <w:tab/>
      </w:r>
      <w:r>
        <w:tab/>
      </w:r>
      <w:r>
        <w:tab/>
      </w:r>
      <w:r>
        <w:tab/>
      </w:r>
      <w:r>
        <w:rPr>
          <w:rFonts w:hint="default"/>
          <w:lang w:val="pl-PL"/>
        </w:rPr>
        <w:t>TOM IV SWZ</w:t>
      </w:r>
    </w:p>
    <w:p>
      <w:pPr>
        <w:pStyle w:val="3"/>
        <w:spacing w:line="276" w:lineRule="auto"/>
        <w:jc w:val="center"/>
        <w:rPr>
          <w:rFonts w:hint="default"/>
          <w:b/>
          <w:bCs/>
          <w:sz w:val="24"/>
          <w:szCs w:val="24"/>
          <w:lang w:val="pl-PL"/>
        </w:rPr>
      </w:pPr>
      <w:r>
        <w:rPr>
          <w:rFonts w:hint="default"/>
          <w:b/>
          <w:bCs/>
          <w:sz w:val="24"/>
          <w:szCs w:val="24"/>
        </w:rPr>
        <w:t xml:space="preserve">UMOWA </w:t>
      </w:r>
      <w:r>
        <w:rPr>
          <w:rFonts w:hint="default"/>
          <w:b/>
          <w:bCs/>
          <w:color w:val="000000"/>
          <w:sz w:val="24"/>
          <w:szCs w:val="24"/>
          <w:highlight w:val="none"/>
          <w:lang w:val="pl-PL"/>
        </w:rPr>
        <w:t xml:space="preserve">Nr </w:t>
      </w:r>
      <w:r>
        <w:rPr>
          <w:b/>
          <w:bCs/>
          <w:sz w:val="24"/>
          <w:szCs w:val="24"/>
        </w:rPr>
        <w:t>272-</w:t>
      </w:r>
      <w:r>
        <w:rPr>
          <w:rFonts w:hint="default"/>
          <w:b/>
          <w:bCs/>
          <w:sz w:val="24"/>
          <w:szCs w:val="24"/>
          <w:lang w:val="pl-PL"/>
        </w:rPr>
        <w:t>.....</w:t>
      </w:r>
      <w:r>
        <w:rPr>
          <w:b/>
          <w:bCs/>
          <w:sz w:val="24"/>
          <w:szCs w:val="24"/>
        </w:rPr>
        <w:t>/2023</w:t>
      </w:r>
      <w:r>
        <w:rPr>
          <w:rFonts w:hint="default"/>
          <w:b/>
          <w:bCs/>
          <w:sz w:val="24"/>
          <w:szCs w:val="24"/>
          <w:lang w:val="pl-PL"/>
        </w:rPr>
        <w:t xml:space="preserve"> </w:t>
      </w:r>
    </w:p>
    <w:p>
      <w:pPr>
        <w:pStyle w:val="3"/>
        <w:spacing w:line="276" w:lineRule="auto"/>
        <w:jc w:val="center"/>
        <w:rPr>
          <w:sz w:val="24"/>
          <w:szCs w:val="24"/>
        </w:rPr>
      </w:pPr>
      <w:r>
        <w:rPr>
          <w:rFonts w:hint="default"/>
          <w:b/>
          <w:bCs/>
          <w:sz w:val="24"/>
          <w:szCs w:val="24"/>
        </w:rPr>
        <w:t>(wzór)</w:t>
      </w:r>
    </w:p>
    <w:p>
      <w:pPr>
        <w:pStyle w:val="3"/>
        <w:spacing w:line="276" w:lineRule="auto"/>
        <w:jc w:val="left"/>
        <w:rPr>
          <w:color w:val="000000"/>
        </w:rPr>
      </w:pPr>
    </w:p>
    <w:p>
      <w:pPr>
        <w:pStyle w:val="3"/>
        <w:spacing w:line="276" w:lineRule="auto"/>
        <w:ind w:left="0"/>
        <w:jc w:val="left"/>
      </w:pPr>
      <w:r>
        <w:rPr>
          <w:color w:val="000000"/>
        </w:rPr>
        <w:t xml:space="preserve">zawarta w dniu …………....................r. </w:t>
      </w:r>
      <w:r>
        <w:rPr>
          <w:rFonts w:hint="default"/>
          <w:color w:val="000000"/>
          <w:lang w:val="pl-PL"/>
        </w:rPr>
        <w:t xml:space="preserve">w Nowym Stawie </w:t>
      </w:r>
      <w:r>
        <w:rPr>
          <w:color w:val="000000"/>
        </w:rPr>
        <w:t>pomiędzy:</w:t>
      </w:r>
    </w:p>
    <w:p>
      <w:pPr>
        <w:pStyle w:val="3"/>
        <w:spacing w:line="276" w:lineRule="auto"/>
        <w:ind w:left="0"/>
        <w:rPr>
          <w:color w:val="000000"/>
        </w:rPr>
      </w:pPr>
      <w:r>
        <w:rPr>
          <w:color w:val="000000"/>
        </w:rPr>
        <w:t>Gminą Nowy Staw, z siedzibą przy ul. Gen. J. Bema 1, 82-230 Nowy Staw, NIP: 579-204-67-81</w:t>
      </w:r>
    </w:p>
    <w:p>
      <w:pPr>
        <w:pStyle w:val="3"/>
        <w:spacing w:line="276" w:lineRule="auto"/>
        <w:ind w:left="0"/>
        <w:jc w:val="left"/>
        <w:rPr>
          <w:color w:val="000000"/>
        </w:rPr>
      </w:pPr>
      <w:r>
        <w:rPr>
          <w:color w:val="000000"/>
        </w:rPr>
        <w:t>reprezentowaną przez:</w:t>
      </w:r>
    </w:p>
    <w:p>
      <w:pPr>
        <w:pStyle w:val="3"/>
        <w:spacing w:line="276" w:lineRule="auto"/>
        <w:ind w:left="0"/>
        <w:jc w:val="left"/>
        <w:rPr>
          <w:color w:val="000000"/>
        </w:rPr>
      </w:pPr>
      <w:r>
        <w:rPr>
          <w:b/>
          <w:bCs/>
          <w:color w:val="000000"/>
        </w:rPr>
        <w:t>Burmistrza Nowego Stawu – Jerzego Szałacha</w:t>
      </w:r>
      <w:r>
        <w:rPr>
          <w:color w:val="000000"/>
        </w:rPr>
        <w:t>,</w:t>
      </w:r>
    </w:p>
    <w:p>
      <w:pPr>
        <w:pStyle w:val="3"/>
        <w:spacing w:line="276" w:lineRule="auto"/>
        <w:ind w:left="0"/>
        <w:jc w:val="left"/>
        <w:rPr>
          <w:color w:val="000000"/>
        </w:rPr>
      </w:pPr>
      <w:r>
        <w:rPr>
          <w:color w:val="000000"/>
        </w:rPr>
        <w:t xml:space="preserve">przy kontrasygnacie </w:t>
      </w:r>
      <w:r>
        <w:rPr>
          <w:b/>
          <w:bCs/>
          <w:color w:val="000000"/>
        </w:rPr>
        <w:t>Skarbnika Gminy – Hanny Gil</w:t>
      </w:r>
      <w:r>
        <w:rPr>
          <w:color w:val="000000"/>
        </w:rPr>
        <w:t>,</w:t>
      </w:r>
    </w:p>
    <w:p>
      <w:pPr>
        <w:spacing w:line="276" w:lineRule="auto"/>
      </w:pPr>
      <w:r>
        <w:rPr>
          <w:color w:val="000000"/>
        </w:rPr>
        <w:t xml:space="preserve">zwaną w dalszej części umowy </w:t>
      </w:r>
      <w:r>
        <w:rPr>
          <w:b/>
          <w:bCs/>
          <w:color w:val="000000"/>
        </w:rPr>
        <w:t xml:space="preserve">,,Zamawiającym" </w:t>
      </w:r>
    </w:p>
    <w:p>
      <w:pPr>
        <w:spacing w:line="276" w:lineRule="auto"/>
        <w:rPr>
          <w:color w:val="000000"/>
        </w:rPr>
      </w:pPr>
      <w:r>
        <w:rPr>
          <w:color w:val="000000"/>
        </w:rPr>
        <w:t>a</w:t>
      </w:r>
    </w:p>
    <w:p>
      <w:pPr>
        <w:spacing w:line="276" w:lineRule="auto"/>
      </w:pPr>
      <w:r>
        <w:rPr>
          <w:color w:val="000000"/>
        </w:rPr>
        <w:t>(</w:t>
      </w:r>
      <w:r>
        <w:rPr>
          <w:rFonts w:hint="default"/>
          <w:color w:val="000000"/>
          <w:lang w:val="pl-PL"/>
        </w:rPr>
        <w:t xml:space="preserve">PESEL, </w:t>
      </w:r>
      <w:r>
        <w:rPr>
          <w:color w:val="000000"/>
        </w:rPr>
        <w:t xml:space="preserve">Firma, siedziba, </w:t>
      </w:r>
      <w:r>
        <w:rPr>
          <w:color w:val="000000"/>
          <w:spacing w:val="-13"/>
        </w:rPr>
        <w:t>NIP),</w:t>
      </w:r>
    </w:p>
    <w:p>
      <w:pPr>
        <w:pStyle w:val="3"/>
        <w:spacing w:line="276" w:lineRule="auto"/>
        <w:ind w:left="0"/>
        <w:jc w:val="left"/>
      </w:pPr>
      <w:r>
        <w:rPr>
          <w:color w:val="000000"/>
        </w:rPr>
        <w:t xml:space="preserve">reprezentowaną </w:t>
      </w:r>
      <w:r>
        <w:rPr>
          <w:color w:val="000000"/>
          <w:spacing w:val="-8"/>
        </w:rPr>
        <w:t xml:space="preserve">przez: </w:t>
      </w:r>
    </w:p>
    <w:p>
      <w:pPr>
        <w:pStyle w:val="3"/>
        <w:spacing w:before="1" w:line="276" w:lineRule="auto"/>
        <w:ind w:left="0"/>
        <w:jc w:val="left"/>
        <w:rPr>
          <w:color w:val="000000"/>
        </w:rPr>
      </w:pPr>
      <w:r>
        <w:rPr>
          <w:color w:val="000000"/>
        </w:rPr>
        <w:t>............................…………....…</w:t>
      </w:r>
    </w:p>
    <w:p>
      <w:pPr>
        <w:pStyle w:val="3"/>
        <w:spacing w:line="276" w:lineRule="auto"/>
        <w:ind w:left="0"/>
        <w:jc w:val="left"/>
        <w:rPr>
          <w:color w:val="000000"/>
        </w:rPr>
      </w:pPr>
      <w:r>
        <w:rPr>
          <w:color w:val="000000"/>
        </w:rPr>
        <w:t>zwaną dalej</w:t>
      </w:r>
      <w:r>
        <w:rPr>
          <w:b/>
          <w:bCs/>
          <w:color w:val="000000"/>
        </w:rPr>
        <w:t xml:space="preserve"> „Wykonawcą”</w:t>
      </w:r>
      <w:r>
        <w:rPr>
          <w:color w:val="000000"/>
        </w:rPr>
        <w:t xml:space="preserve">, </w:t>
      </w:r>
    </w:p>
    <w:p>
      <w:pPr>
        <w:pStyle w:val="3"/>
        <w:keepNext w:val="0"/>
        <w:keepLines w:val="0"/>
        <w:pageBreakBefore w:val="0"/>
        <w:widowControl/>
        <w:kinsoku/>
        <w:wordWrap/>
        <w:overflowPunct/>
        <w:topLinePunct w:val="0"/>
        <w:autoSpaceDE/>
        <w:autoSpaceDN/>
        <w:bidi w:val="0"/>
        <w:adjustRightInd/>
        <w:snapToGrid/>
        <w:spacing w:before="181" w:beforeLines="50" w:after="181" w:afterLines="50" w:line="240" w:lineRule="auto"/>
        <w:ind w:left="0" w:right="3515"/>
        <w:jc w:val="left"/>
        <w:textAlignment w:val="auto"/>
        <w:rPr>
          <w:b/>
          <w:bCs/>
          <w:color w:val="000000"/>
        </w:rPr>
      </w:pPr>
      <w:r>
        <w:rPr>
          <w:color w:val="000000"/>
        </w:rPr>
        <w:t xml:space="preserve">zwanymi dalej łącznie </w:t>
      </w:r>
      <w:r>
        <w:rPr>
          <w:b/>
          <w:bCs/>
          <w:color w:val="000000"/>
        </w:rPr>
        <w:t>„Stronami”.</w:t>
      </w:r>
    </w:p>
    <w:p>
      <w:pPr>
        <w:pStyle w:val="3"/>
        <w:keepNext w:val="0"/>
        <w:keepLines w:val="0"/>
        <w:pageBreakBefore w:val="0"/>
        <w:widowControl/>
        <w:kinsoku/>
        <w:wordWrap/>
        <w:overflowPunct/>
        <w:topLinePunct w:val="0"/>
        <w:autoSpaceDE/>
        <w:autoSpaceDN/>
        <w:bidi w:val="0"/>
        <w:adjustRightInd/>
        <w:snapToGrid/>
        <w:spacing w:before="181" w:beforeLines="50" w:after="181" w:afterLines="50" w:line="240" w:lineRule="auto"/>
        <w:ind w:left="0" w:right="3515"/>
        <w:jc w:val="left"/>
        <w:textAlignment w:val="auto"/>
        <w:rPr>
          <w:b/>
          <w:bCs/>
          <w:color w:val="000000"/>
        </w:rPr>
      </w:pPr>
    </w:p>
    <w:p>
      <w:pPr>
        <w:pStyle w:val="3"/>
        <w:keepNext w:val="0"/>
        <w:keepLines w:val="0"/>
        <w:pageBreakBefore w:val="0"/>
        <w:widowControl/>
        <w:kinsoku/>
        <w:wordWrap/>
        <w:overflowPunct/>
        <w:topLinePunct w:val="0"/>
        <w:autoSpaceDE/>
        <w:autoSpaceDN/>
        <w:bidi w:val="0"/>
        <w:adjustRightInd/>
        <w:snapToGrid/>
        <w:spacing w:before="181" w:beforeLines="50" w:line="240" w:lineRule="auto"/>
        <w:ind w:left="0"/>
        <w:textAlignment w:val="auto"/>
        <w:rPr>
          <w:color w:val="000000"/>
        </w:rPr>
      </w:pPr>
      <w:r>
        <w:rPr>
          <w:color w:val="000000"/>
        </w:rPr>
        <w:t>na podstawie dokonanego przez Zamawiającego wyboru oferty Wykonawcy w postępowaniu o udzielenie zamówienia publicznego prowadzonego w trybie podstawowym zgodnie z art. 275 pkt 2 ustawy  z dnia 11 września 2019 r. Prawo Zamówień Publicznych (</w:t>
      </w:r>
      <w:r>
        <w:rPr>
          <w:color w:val="000000"/>
          <w:highlight w:val="white"/>
        </w:rPr>
        <w:t xml:space="preserve">Dz. U. </w:t>
      </w:r>
      <w:r>
        <w:rPr>
          <w:rFonts w:eastAsia="NSimSun"/>
          <w:color w:val="000000"/>
          <w:kern w:val="2"/>
          <w:highlight w:val="white"/>
          <w:lang w:eastAsia="zh-CN" w:bidi="hi-IN"/>
        </w:rPr>
        <w:t>z</w:t>
      </w:r>
      <w:r>
        <w:rPr>
          <w:color w:val="000000"/>
          <w:highlight w:val="white"/>
        </w:rPr>
        <w:t xml:space="preserve"> 202</w:t>
      </w:r>
      <w:r>
        <w:rPr>
          <w:rFonts w:hint="default"/>
          <w:color w:val="000000"/>
          <w:highlight w:val="white"/>
          <w:lang w:val="pl-PL"/>
        </w:rPr>
        <w:t>3</w:t>
      </w:r>
      <w:r>
        <w:rPr>
          <w:color w:val="000000"/>
          <w:highlight w:val="white"/>
        </w:rPr>
        <w:t xml:space="preserve"> r., poz. </w:t>
      </w:r>
      <w:r>
        <w:rPr>
          <w:rFonts w:hint="default"/>
          <w:color w:val="000000"/>
          <w:highlight w:val="white"/>
          <w:lang w:val="pl-PL"/>
        </w:rPr>
        <w:t>1605</w:t>
      </w:r>
      <w:r>
        <w:rPr>
          <w:color w:val="000000"/>
          <w:highlight w:val="white"/>
        </w:rPr>
        <w:t xml:space="preserve"> z późn. zm.</w:t>
      </w:r>
      <w:r>
        <w:rPr>
          <w:color w:val="000000"/>
        </w:rPr>
        <w:t>), została zawarta umowa o następującej treści:</w:t>
      </w:r>
    </w:p>
    <w:p>
      <w:pPr>
        <w:pStyle w:val="3"/>
        <w:spacing w:line="276" w:lineRule="auto"/>
        <w:ind w:left="0"/>
        <w:rPr>
          <w:color w:val="000000"/>
        </w:rPr>
      </w:pPr>
    </w:p>
    <w:p>
      <w:pPr>
        <w:pStyle w:val="3"/>
        <w:spacing w:line="276" w:lineRule="auto"/>
        <w:ind w:left="0"/>
        <w:rPr>
          <w:color w:val="000000"/>
        </w:rPr>
      </w:pPr>
    </w:p>
    <w:p>
      <w:pPr>
        <w:spacing w:line="276" w:lineRule="auto"/>
        <w:jc w:val="center"/>
        <w:rPr>
          <w:b/>
          <w:color w:val="000000"/>
        </w:rPr>
      </w:pPr>
      <w:r>
        <w:rPr>
          <w:b/>
          <w:color w:val="000000"/>
        </w:rPr>
        <w:t>§1</w:t>
      </w:r>
    </w:p>
    <w:p>
      <w:pPr>
        <w:spacing w:line="276" w:lineRule="auto"/>
        <w:jc w:val="center"/>
        <w:rPr>
          <w:color w:val="000000"/>
        </w:rPr>
      </w:pPr>
      <w:r>
        <w:rPr>
          <w:b/>
          <w:color w:val="000000"/>
        </w:rPr>
        <w:t>Przedmiot umowy</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pPr>
      <w:r>
        <w:rPr>
          <w:color w:val="000000"/>
        </w:rPr>
        <w:t xml:space="preserve">Zamawiający zamawia a Wykonawca zobowiązuje się do wykonania </w:t>
      </w:r>
      <w:r>
        <w:rPr>
          <w:rStyle w:val="12"/>
          <w:b w:val="0"/>
          <w:bCs/>
          <w:color w:val="000000"/>
        </w:rPr>
        <w:t>zadania inwestycyjnego</w:t>
      </w:r>
      <w:r>
        <w:rPr>
          <w:rStyle w:val="12"/>
          <w:b w:val="0"/>
          <w:bCs/>
          <w:color w:val="000000"/>
        </w:rPr>
        <w:br w:type="textWrapping"/>
      </w:r>
      <w:r>
        <w:rPr>
          <w:rStyle w:val="12"/>
          <w:b w:val="0"/>
          <w:bCs/>
          <w:color w:val="000000"/>
        </w:rPr>
        <w:t>pn.</w:t>
      </w:r>
      <w:r>
        <w:rPr>
          <w:rStyle w:val="12"/>
          <w:color w:val="000000"/>
        </w:rPr>
        <w:t xml:space="preserve"> </w:t>
      </w:r>
      <w:r>
        <w:rPr>
          <w:rFonts w:eastAsia="SimSun"/>
          <w:b/>
          <w:bCs/>
          <w:color w:val="000000"/>
        </w:rPr>
        <w:t>”</w:t>
      </w:r>
      <w:r>
        <w:rPr>
          <w:rFonts w:hint="default" w:eastAsia="SimSun"/>
          <w:b/>
          <w:bCs/>
          <w:color w:val="000000"/>
        </w:rPr>
        <w:t>Remont drogi gminnej od ul.Obrońców Westerplatte w kierunku drogi powiatowej nr 2922G (Laski-Dębina) w gminie Nowy Staw</w:t>
      </w:r>
      <w:r>
        <w:rPr>
          <w:rFonts w:eastAsia="SimSun"/>
          <w:b/>
          <w:bCs/>
          <w:color w:val="000000"/>
          <w:lang w:val="pl"/>
        </w:rPr>
        <w:t>”</w:t>
      </w:r>
      <w:r>
        <w:rPr>
          <w:rStyle w:val="12"/>
          <w:b w:val="0"/>
          <w:bCs w:val="0"/>
          <w:color w:val="000000"/>
        </w:rPr>
        <w:t>,</w:t>
      </w:r>
      <w:r>
        <w:rPr>
          <w:rStyle w:val="12"/>
          <w:color w:val="000000"/>
        </w:rPr>
        <w:t xml:space="preserve"> </w:t>
      </w:r>
      <w:r>
        <w:rPr>
          <w:color w:val="000000"/>
        </w:rPr>
        <w:t>zgodnie z wymaganiami określonymi przez Zamawiającego i zasadami wiedzy technicznej, na warunkach wskazanych w ofercie Wykonawcy.</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rPr>
          <w:color w:val="000000"/>
        </w:rPr>
      </w:pPr>
      <w:r>
        <w:rPr>
          <w:color w:val="000000"/>
        </w:rPr>
        <w:t>Szczegółowy zakres robót opisany został w SWZ, w szczególności: w dokumentacji projektowej, specyfikacji technicznej wykonania i odbioru robót oraz przedmiarach robót.</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rPr>
          <w:color w:val="000000"/>
        </w:rPr>
      </w:pPr>
      <w:r>
        <w:rPr>
          <w:color w:val="000000"/>
        </w:rPr>
        <w:t xml:space="preserve">Wykonawca zobowiązuje się wykonać roboty zgodnie z niniejszą umową, w zakresie określonym w złożonej ofercie, z zachowaniem należytej staranności, zasad bezpieczeństwa, zasad wiedzy technicznej </w:t>
      </w:r>
      <w:r>
        <w:rPr>
          <w:color w:val="000000"/>
        </w:rPr>
        <w:br w:type="textWrapping"/>
      </w:r>
      <w:r>
        <w:rPr>
          <w:color w:val="000000"/>
        </w:rPr>
        <w:t xml:space="preserve">i sztuki budowlanej, dokumentacją projektową, specyfikacją techniczną wykonania i odbioru robót, obowiązujących przepisów i Polskich Norm </w:t>
      </w:r>
      <w:r>
        <w:t xml:space="preserve">oraz norm europejskich </w:t>
      </w:r>
      <w:r>
        <w:rPr>
          <w:color w:val="000000"/>
        </w:rPr>
        <w:t>oraz do oddania przedmiotu niniejszej umowy Zamawiającemu w terminie w niej uzgodnionym.</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rPr>
          <w:color w:val="000000"/>
        </w:rPr>
      </w:pPr>
      <w:r>
        <w:rPr>
          <w:color w:val="000000"/>
        </w:rPr>
        <w:t xml:space="preserve">Inwestycja jest dofinansowana z Rządowego Funduszu Rozwoju Dróg w ramach umowy nr </w:t>
      </w:r>
      <w:r>
        <w:rPr>
          <w:rFonts w:hint="default"/>
          <w:color w:val="000000"/>
          <w:highlight w:val="none"/>
          <w:lang w:val="pl-PL"/>
        </w:rPr>
        <w:t>19/</w:t>
      </w:r>
      <w:r>
        <w:rPr>
          <w:color w:val="000000"/>
          <w:highlight w:val="none"/>
        </w:rPr>
        <w:t xml:space="preserve">G/RFRD/2023 z dnia </w:t>
      </w:r>
      <w:r>
        <w:rPr>
          <w:rFonts w:hint="default"/>
          <w:color w:val="000000"/>
          <w:highlight w:val="none"/>
          <w:lang w:val="pl-PL"/>
        </w:rPr>
        <w:t>17 października</w:t>
      </w:r>
      <w:r>
        <w:rPr>
          <w:color w:val="000000"/>
          <w:highlight w:val="none"/>
        </w:rPr>
        <w:t xml:space="preserve"> 2023 r</w:t>
      </w:r>
      <w:r>
        <w:rPr>
          <w:color w:val="000000"/>
        </w:rPr>
        <w:t>. zawartej pomiędzy Wojewodą Pomorskim i Gminą Nowy Staw.</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p>
    <w:p>
      <w:pPr>
        <w:spacing w:line="276" w:lineRule="auto"/>
        <w:jc w:val="center"/>
        <w:rPr>
          <w:b/>
          <w:color w:val="000000"/>
        </w:rPr>
      </w:pPr>
      <w:r>
        <w:rPr>
          <w:b/>
          <w:color w:val="000000"/>
        </w:rPr>
        <w:t>§2</w:t>
      </w:r>
    </w:p>
    <w:p>
      <w:pPr>
        <w:spacing w:line="276" w:lineRule="auto"/>
        <w:jc w:val="center"/>
        <w:rPr>
          <w:color w:val="000000"/>
        </w:rPr>
      </w:pPr>
      <w:r>
        <w:rPr>
          <w:b/>
          <w:color w:val="000000"/>
        </w:rPr>
        <w:t>Termin wykonania</w:t>
      </w:r>
    </w:p>
    <w:p>
      <w:pPr>
        <w:keepNext w:val="0"/>
        <w:keepLines w:val="0"/>
        <w:pageBreakBefore w:val="0"/>
        <w:widowControl/>
        <w:numPr>
          <w:ilvl w:val="0"/>
          <w:numId w:val="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Termin rozpoczęcia wykonywania przedmiotu umowy rozpoczyna się z dniem protokolarnego przekazania terenu budowy.</w:t>
      </w:r>
    </w:p>
    <w:p>
      <w:pPr>
        <w:keepNext w:val="0"/>
        <w:keepLines w:val="0"/>
        <w:pageBreakBefore w:val="0"/>
        <w:widowControl/>
        <w:numPr>
          <w:ilvl w:val="0"/>
          <w:numId w:val="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Termin wykonania zamówienia:</w:t>
      </w:r>
      <w:r>
        <w:rPr>
          <w:b/>
          <w:bCs/>
          <w:color w:val="000000"/>
        </w:rPr>
        <w:t xml:space="preserve"> </w:t>
      </w:r>
      <w:r>
        <w:rPr>
          <w:b/>
          <w:bCs/>
          <w:color w:val="000000"/>
          <w:kern w:val="2"/>
          <w:highlight w:val="none"/>
          <w:lang w:bidi="ar-SA"/>
        </w:rPr>
        <w:t xml:space="preserve">do </w:t>
      </w:r>
      <w:r>
        <w:rPr>
          <w:rFonts w:hint="default"/>
          <w:b/>
          <w:bCs/>
          <w:color w:val="000000"/>
          <w:kern w:val="2"/>
          <w:highlight w:val="none"/>
          <w:lang w:val="pl-PL" w:bidi="ar-SA"/>
        </w:rPr>
        <w:t>10</w:t>
      </w:r>
      <w:r>
        <w:rPr>
          <w:b/>
          <w:bCs/>
          <w:color w:val="000000"/>
          <w:highlight w:val="none"/>
        </w:rPr>
        <w:t xml:space="preserve"> miesięcy </w:t>
      </w:r>
      <w:r>
        <w:rPr>
          <w:color w:val="000000"/>
          <w:kern w:val="2"/>
          <w:lang w:bidi="ar-SA"/>
        </w:rPr>
        <w:t xml:space="preserve"> </w:t>
      </w:r>
      <w:r>
        <w:rPr>
          <w:color w:val="000000"/>
        </w:rPr>
        <w:t>z uwzględnieniem §3 ust. 1 pkt 1) niniejszej umowy.</w:t>
      </w:r>
    </w:p>
    <w:p>
      <w:pPr>
        <w:spacing w:line="276" w:lineRule="auto"/>
        <w:rPr>
          <w:color w:val="000000"/>
        </w:rPr>
      </w:pPr>
    </w:p>
    <w:p>
      <w:pPr>
        <w:spacing w:line="276" w:lineRule="auto"/>
        <w:rPr>
          <w:color w:val="000000"/>
        </w:rPr>
      </w:pPr>
    </w:p>
    <w:p>
      <w:pPr>
        <w:spacing w:line="276" w:lineRule="auto"/>
        <w:jc w:val="center"/>
        <w:rPr>
          <w:b/>
          <w:color w:val="000000"/>
        </w:rPr>
      </w:pPr>
      <w:r>
        <w:rPr>
          <w:b/>
          <w:color w:val="000000"/>
        </w:rPr>
        <w:t>§3</w:t>
      </w:r>
    </w:p>
    <w:p>
      <w:pPr>
        <w:spacing w:line="276" w:lineRule="auto"/>
        <w:jc w:val="center"/>
        <w:rPr>
          <w:color w:val="000000"/>
        </w:rPr>
      </w:pPr>
      <w:r>
        <w:rPr>
          <w:b/>
          <w:color w:val="000000"/>
        </w:rPr>
        <w:t>Obowiązki Zamawiającego</w:t>
      </w:r>
    </w:p>
    <w:p>
      <w:pPr>
        <w:keepNext w:val="0"/>
        <w:keepLines w:val="0"/>
        <w:pageBreakBefore w:val="0"/>
        <w:widowControl/>
        <w:numPr>
          <w:ilvl w:val="0"/>
          <w:numId w:val="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Do obowiązków Zamawiającego należy:</w:t>
      </w:r>
    </w:p>
    <w:p>
      <w:pPr>
        <w:keepNext w:val="0"/>
        <w:keepLines w:val="0"/>
        <w:pageBreakBefore w:val="0"/>
        <w:widowControl/>
        <w:numPr>
          <w:ilvl w:val="0"/>
          <w:numId w:val="5"/>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 xml:space="preserve">wprowadzenie i protokolarne przekazanie Wykonawcy terenu budowy wraz z dziennikiem budowy oraz dokumentacją projektową, na każde jego wezwanie, nie później niż w terminie </w:t>
      </w:r>
      <w:r>
        <w:rPr>
          <w:b/>
          <w:bCs/>
          <w:color w:val="000000"/>
        </w:rPr>
        <w:t>do</w:t>
      </w:r>
      <w:r>
        <w:rPr>
          <w:color w:val="000000"/>
        </w:rPr>
        <w:t xml:space="preserve"> </w:t>
      </w:r>
      <w:r>
        <w:rPr>
          <w:rFonts w:hint="default"/>
          <w:b/>
          <w:bCs/>
          <w:lang w:val="pl-PL"/>
        </w:rPr>
        <w:t xml:space="preserve">14 </w:t>
      </w:r>
      <w:r>
        <w:rPr>
          <w:b/>
          <w:bCs/>
        </w:rPr>
        <w:t>dni</w:t>
      </w:r>
      <w:r>
        <w:rPr>
          <w:color w:val="000000"/>
        </w:rPr>
        <w:t xml:space="preserve"> od dnia podpisania umowy;</w:t>
      </w:r>
    </w:p>
    <w:p>
      <w:pPr>
        <w:keepNext w:val="0"/>
        <w:keepLines w:val="0"/>
        <w:pageBreakBefore w:val="0"/>
        <w:widowControl/>
        <w:numPr>
          <w:ilvl w:val="0"/>
          <w:numId w:val="5"/>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odbiór robót i ich części;</w:t>
      </w:r>
    </w:p>
    <w:p>
      <w:pPr>
        <w:keepNext w:val="0"/>
        <w:keepLines w:val="0"/>
        <w:pageBreakBefore w:val="0"/>
        <w:widowControl/>
        <w:numPr>
          <w:ilvl w:val="0"/>
          <w:numId w:val="5"/>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terminowa zapłata umówionego wynagrodzenia za wykonane roboty zgodnie z postanowieniami niniejszej umowy.</w:t>
      </w:r>
    </w:p>
    <w:p>
      <w:pPr>
        <w:keepNext w:val="0"/>
        <w:keepLines w:val="0"/>
        <w:pageBreakBefore w:val="0"/>
        <w:widowControl/>
        <w:numPr>
          <w:ilvl w:val="0"/>
          <w:numId w:val="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Nadzór nad robotami przewidzianymi niniejszą umową ze strony Zamawiającego, prowadzić będzie Inspektor Nadzoru wraz z Inspektorem Robót Branżowych, którzy są upoważnieni do przeprowadzania kontroli realizacji robót, dokonywania odbioru robót zanikających i ulegających zakryciu i wydawania poleceń w tym zakresie, wynikających z ustawy Prawo Budowlane oraz kontrolowania rozliczeń robót (upoważniony również do podpisywania protokołów).</w:t>
      </w:r>
    </w:p>
    <w:p>
      <w:pPr>
        <w:keepNext w:val="0"/>
        <w:keepLines w:val="0"/>
        <w:pageBreakBefore w:val="0"/>
        <w:widowControl/>
        <w:numPr>
          <w:ilvl w:val="0"/>
          <w:numId w:val="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Inspektor Nadzoru oraz Inspektor Robót Branżowych są upoważnieni do inspekcji wszystkich robót </w:t>
      </w:r>
      <w:r>
        <w:rPr>
          <w:color w:val="000000"/>
        </w:rPr>
        <w:br w:type="textWrapping"/>
      </w:r>
      <w:r>
        <w:rPr>
          <w:color w:val="000000"/>
        </w:rPr>
        <w:t>i kontroli wszystkich materiałów dostarczonych na budowę lub na niej produkowanych, włączając przygotowanie i produkcję materiałów. Inspektorowie odrzucą wszystkie te materiały i roboty, które nie spełniają wymagań jakościowych określonych w dokumentacji projektowej i specyfikacji technicznej wykonania i odbioru robót.</w:t>
      </w:r>
    </w:p>
    <w:p>
      <w:pPr>
        <w:pStyle w:val="3"/>
        <w:spacing w:line="276" w:lineRule="auto"/>
        <w:rPr>
          <w:color w:val="000000"/>
        </w:rPr>
      </w:pPr>
    </w:p>
    <w:p>
      <w:pPr>
        <w:pStyle w:val="3"/>
        <w:spacing w:line="276" w:lineRule="auto"/>
        <w:rPr>
          <w:color w:val="000000"/>
        </w:rPr>
      </w:pPr>
    </w:p>
    <w:p>
      <w:pPr>
        <w:spacing w:line="276" w:lineRule="auto"/>
        <w:jc w:val="center"/>
        <w:rPr>
          <w:b/>
          <w:color w:val="000000"/>
        </w:rPr>
      </w:pPr>
      <w:r>
        <w:rPr>
          <w:b/>
          <w:color w:val="000000"/>
        </w:rPr>
        <w:t>§4</w:t>
      </w:r>
    </w:p>
    <w:p>
      <w:pPr>
        <w:spacing w:line="276" w:lineRule="auto"/>
        <w:jc w:val="center"/>
        <w:rPr>
          <w:color w:val="000000"/>
        </w:rPr>
      </w:pPr>
      <w:r>
        <w:rPr>
          <w:b/>
          <w:color w:val="000000"/>
        </w:rPr>
        <w:t>Obowiązki Wykonawcy</w:t>
      </w:r>
    </w:p>
    <w:p>
      <w:pPr>
        <w:numPr>
          <w:ilvl w:val="0"/>
          <w:numId w:val="7"/>
        </w:numPr>
        <w:tabs>
          <w:tab w:val="left" w:pos="335"/>
          <w:tab w:val="clear" w:pos="720"/>
        </w:tabs>
        <w:spacing w:before="120" w:beforeLines="50" w:line="276" w:lineRule="auto"/>
        <w:ind w:left="340" w:hanging="340"/>
        <w:rPr>
          <w:color w:val="000000"/>
        </w:rPr>
      </w:pPr>
      <w:r>
        <w:rPr>
          <w:rFonts w:hint="default"/>
          <w:color w:val="000000"/>
          <w:lang w:val="pl-PL"/>
        </w:rPr>
        <w:t>Wykonawca zobowiązuje się do:</w:t>
      </w:r>
    </w:p>
    <w:p>
      <w:pPr>
        <w:keepNext w:val="0"/>
        <w:keepLines w:val="0"/>
        <w:pageBreakBefore w:val="0"/>
        <w:widowControl/>
        <w:numPr>
          <w:ilvl w:val="0"/>
          <w:numId w:val="8"/>
        </w:numPr>
        <w:tabs>
          <w:tab w:val="left" w:pos="335"/>
        </w:tabs>
        <w:kinsoku/>
        <w:wordWrap/>
        <w:overflowPunct/>
        <w:topLinePunct w:val="0"/>
        <w:autoSpaceDE/>
        <w:autoSpaceDN/>
        <w:bidi w:val="0"/>
        <w:adjustRightInd/>
        <w:snapToGrid/>
        <w:spacing w:line="240" w:lineRule="auto"/>
        <w:ind w:left="420" w:leftChars="0"/>
        <w:jc w:val="both"/>
        <w:textAlignment w:val="auto"/>
        <w:rPr>
          <w:rFonts w:hint="default"/>
          <w:color w:val="auto"/>
          <w:highlight w:val="none"/>
        </w:rPr>
      </w:pPr>
      <w:r>
        <w:rPr>
          <w:rFonts w:hint="default" w:cs="Times New Roman"/>
          <w:b w:val="0"/>
          <w:bCs w:val="0"/>
          <w:color w:val="000000"/>
          <w:sz w:val="22"/>
          <w:szCs w:val="22"/>
          <w:highlight w:val="none"/>
          <w:lang w:val="pl-PL"/>
        </w:rPr>
        <w:t>re</w:t>
      </w:r>
      <w:r>
        <w:rPr>
          <w:rFonts w:hint="default" w:ascii="Times New Roman" w:hAnsi="Times New Roman" w:cs="Times New Roman"/>
          <w:b w:val="0"/>
          <w:bCs w:val="0"/>
          <w:color w:val="000000"/>
          <w:sz w:val="22"/>
          <w:szCs w:val="22"/>
          <w:highlight w:val="none"/>
        </w:rPr>
        <w:t xml:space="preserve">mont drogi </w:t>
      </w:r>
      <w:r>
        <w:rPr>
          <w:rFonts w:hint="default" w:ascii="Times New Roman" w:hAnsi="Times New Roman" w:eastAsia="Calibri"/>
          <w:color w:val="000000"/>
          <w:sz w:val="22"/>
          <w:szCs w:val="22"/>
        </w:rPr>
        <w:t xml:space="preserve"> gminnej od ul</w:t>
      </w:r>
      <w:r>
        <w:rPr>
          <w:rFonts w:hint="default" w:ascii="Times New Roman" w:hAnsi="Times New Roman" w:eastAsia="Calibri"/>
          <w:color w:val="000000"/>
          <w:sz w:val="22"/>
          <w:szCs w:val="22"/>
          <w:lang w:val="pl-PL"/>
        </w:rPr>
        <w:t xml:space="preserve">icy </w:t>
      </w:r>
      <w:r>
        <w:rPr>
          <w:rFonts w:hint="default" w:ascii="Times New Roman" w:hAnsi="Times New Roman" w:eastAsia="Calibri"/>
          <w:color w:val="000000"/>
          <w:sz w:val="22"/>
          <w:szCs w:val="22"/>
        </w:rPr>
        <w:t>Obrońców Westerplatte w kierunku drogi powiatowej nr 2922G (Laski-Dębina)</w:t>
      </w:r>
      <w:r>
        <w:rPr>
          <w:rFonts w:hint="default" w:eastAsia="Calibri"/>
          <w:color w:val="000000"/>
          <w:sz w:val="22"/>
          <w:szCs w:val="22"/>
          <w:lang w:val="pl-PL"/>
        </w:rPr>
        <w:t xml:space="preserve"> </w:t>
      </w:r>
      <w:r>
        <w:rPr>
          <w:rFonts w:hint="default" w:ascii="Times New Roman" w:hAnsi="Times New Roman" w:cs="Times New Roman"/>
          <w:b w:val="0"/>
          <w:bCs w:val="0"/>
          <w:color w:val="000000"/>
          <w:sz w:val="22"/>
          <w:szCs w:val="22"/>
        </w:rPr>
        <w:t>o długości około 1133,29 i szerokościach od 3,8m do 6</w:t>
      </w:r>
      <w:r>
        <w:rPr>
          <w:rFonts w:hint="default" w:ascii="Times New Roman" w:hAnsi="Times New Roman" w:cs="Times New Roman"/>
          <w:b w:val="0"/>
          <w:bCs w:val="0"/>
          <w:color w:val="000000"/>
          <w:sz w:val="22"/>
          <w:szCs w:val="22"/>
          <w:lang w:val="pl-PL"/>
        </w:rPr>
        <w:t>,</w:t>
      </w:r>
      <w:r>
        <w:rPr>
          <w:rFonts w:hint="default" w:ascii="Times New Roman" w:hAnsi="Times New Roman" w:cs="Times New Roman"/>
          <w:b w:val="0"/>
          <w:bCs w:val="0"/>
          <w:color w:val="000000"/>
          <w:sz w:val="22"/>
          <w:szCs w:val="22"/>
        </w:rPr>
        <w:t xml:space="preserve">0m, </w:t>
      </w:r>
      <w:r>
        <w:rPr>
          <w:rFonts w:hint="default"/>
          <w:color w:val="auto"/>
          <w:highlight w:val="none"/>
          <w:lang w:val="pl-PL"/>
        </w:rPr>
        <w:t xml:space="preserve"> </w:t>
      </w:r>
      <w:r>
        <w:rPr>
          <w:rFonts w:hint="default"/>
          <w:color w:val="auto"/>
          <w:highlight w:val="none"/>
        </w:rPr>
        <w:t>zgodnie z dokumentacją projektową i STWiORB dostarczonymi przez Zamawiającego, zgłoszeniem robót budowlanych i zasadami aktualnej wiedzy technicznej, w termin</w:t>
      </w:r>
      <w:r>
        <w:rPr>
          <w:rFonts w:hint="default"/>
          <w:color w:val="auto"/>
          <w:highlight w:val="none"/>
          <w:lang w:val="pl-PL"/>
        </w:rPr>
        <w:t>ie</w:t>
      </w:r>
      <w:r>
        <w:rPr>
          <w:rFonts w:hint="default"/>
          <w:color w:val="auto"/>
          <w:highlight w:val="none"/>
        </w:rPr>
        <w:t xml:space="preserve"> określony</w:t>
      </w:r>
      <w:r>
        <w:rPr>
          <w:rFonts w:hint="default"/>
          <w:color w:val="auto"/>
          <w:highlight w:val="none"/>
          <w:lang w:val="pl-PL"/>
        </w:rPr>
        <w:t>m w §2</w:t>
      </w:r>
      <w:r>
        <w:rPr>
          <w:rFonts w:hint="default"/>
          <w:color w:val="auto"/>
          <w:highlight w:val="none"/>
        </w:rPr>
        <w:t xml:space="preserve"> Umow</w:t>
      </w:r>
      <w:r>
        <w:rPr>
          <w:rFonts w:hint="default"/>
          <w:color w:val="auto"/>
          <w:highlight w:val="none"/>
          <w:lang w:val="pl-PL"/>
        </w:rPr>
        <w:t>y</w:t>
      </w:r>
      <w:r>
        <w:rPr>
          <w:rFonts w:hint="default"/>
          <w:color w:val="auto"/>
          <w:highlight w:val="none"/>
        </w:rPr>
        <w:t>,</w:t>
      </w:r>
    </w:p>
    <w:p>
      <w:pPr>
        <w:keepNext w:val="0"/>
        <w:keepLines w:val="0"/>
        <w:pageBreakBefore w:val="0"/>
        <w:widowControl/>
        <w:numPr>
          <w:ilvl w:val="0"/>
          <w:numId w:val="8"/>
        </w:numPr>
        <w:tabs>
          <w:tab w:val="left" w:pos="335"/>
        </w:tabs>
        <w:kinsoku/>
        <w:wordWrap/>
        <w:overflowPunct/>
        <w:topLinePunct w:val="0"/>
        <w:autoSpaceDE/>
        <w:autoSpaceDN/>
        <w:bidi w:val="0"/>
        <w:adjustRightInd/>
        <w:snapToGrid/>
        <w:spacing w:before="120" w:beforeLines="50" w:line="240" w:lineRule="auto"/>
        <w:ind w:left="420" w:leftChars="0" w:firstLine="0" w:firstLineChars="0"/>
        <w:jc w:val="both"/>
        <w:textAlignment w:val="auto"/>
        <w:rPr>
          <w:color w:val="auto"/>
          <w:highlight w:val="none"/>
        </w:rPr>
      </w:pPr>
      <w:r>
        <w:rPr>
          <w:rFonts w:hint="default"/>
          <w:color w:val="auto"/>
          <w:highlight w:val="none"/>
          <w:lang w:val="pl-PL"/>
        </w:rPr>
        <w:t xml:space="preserve">terminowego wykonania i </w:t>
      </w:r>
      <w:r>
        <w:rPr>
          <w:rFonts w:hint="default"/>
          <w:color w:val="auto"/>
          <w:highlight w:val="none"/>
        </w:rPr>
        <w:t>oddania Zamawiającemu wy</w:t>
      </w:r>
      <w:r>
        <w:rPr>
          <w:rFonts w:hint="default"/>
          <w:color w:val="auto"/>
          <w:highlight w:val="none"/>
          <w:lang w:val="pl-PL"/>
        </w:rPr>
        <w:t>remontowanej</w:t>
      </w:r>
      <w:r>
        <w:rPr>
          <w:rFonts w:hint="default" w:ascii="Times New Roman" w:hAnsi="Times New Roman" w:eastAsia="Calibri"/>
          <w:color w:val="000000"/>
          <w:sz w:val="22"/>
          <w:szCs w:val="22"/>
        </w:rPr>
        <w:t xml:space="preserve"> </w:t>
      </w:r>
      <w:r>
        <w:rPr>
          <w:rFonts w:hint="default" w:eastAsia="Calibri"/>
          <w:color w:val="000000"/>
          <w:sz w:val="22"/>
          <w:szCs w:val="22"/>
          <w:lang w:val="pl-PL"/>
        </w:rPr>
        <w:t xml:space="preserve">drogi </w:t>
      </w:r>
      <w:r>
        <w:rPr>
          <w:rFonts w:hint="default" w:ascii="Times New Roman" w:hAnsi="Times New Roman" w:eastAsia="Calibri"/>
          <w:color w:val="000000"/>
          <w:sz w:val="22"/>
          <w:szCs w:val="22"/>
        </w:rPr>
        <w:t>gminnej od ul</w:t>
      </w:r>
      <w:r>
        <w:rPr>
          <w:rFonts w:hint="default" w:ascii="Times New Roman" w:hAnsi="Times New Roman" w:eastAsia="Calibri"/>
          <w:color w:val="000000"/>
          <w:sz w:val="22"/>
          <w:szCs w:val="22"/>
          <w:lang w:val="pl-PL"/>
        </w:rPr>
        <w:t xml:space="preserve">icy </w:t>
      </w:r>
      <w:r>
        <w:rPr>
          <w:rFonts w:hint="default" w:ascii="Times New Roman" w:hAnsi="Times New Roman" w:eastAsia="Calibri"/>
          <w:color w:val="000000"/>
          <w:sz w:val="22"/>
          <w:szCs w:val="22"/>
        </w:rPr>
        <w:t>Obrońców Westerplatte w kierunku drogi powiatowej nr 2922G (Laski-Dębina)</w:t>
      </w:r>
      <w:r>
        <w:rPr>
          <w:rFonts w:hint="default" w:eastAsia="Calibri"/>
          <w:color w:val="000000"/>
          <w:sz w:val="22"/>
          <w:szCs w:val="22"/>
          <w:lang w:val="pl-PL"/>
        </w:rPr>
        <w:t xml:space="preserve"> </w:t>
      </w:r>
      <w:r>
        <w:rPr>
          <w:rStyle w:val="22"/>
          <w:rFonts w:hint="default" w:eastAsia="Liberation Serif" w:cs="Times New Roman"/>
          <w:color w:val="auto"/>
          <w:kern w:val="2"/>
          <w:sz w:val="22"/>
          <w:szCs w:val="22"/>
          <w:highlight w:val="none"/>
          <w:lang w:val="pl-PL" w:eastAsia="zh-CN" w:bidi="hi-IN"/>
        </w:rPr>
        <w:t>wraz z o</w:t>
      </w:r>
      <w:r>
        <w:rPr>
          <w:rFonts w:hint="default"/>
          <w:color w:val="auto"/>
          <w:highlight w:val="none"/>
          <w:lang w:val="pl-PL"/>
        </w:rPr>
        <w:t>świadczeniem, że roboty wykończone przez niego są całkowicie zgodne z umową, dokumentacją projektowa i opisem przedmiotu zamówienia</w:t>
      </w:r>
      <w:r>
        <w:rPr>
          <w:rFonts w:hint="default"/>
          <w:color w:val="auto"/>
          <w:highlight w:val="none"/>
        </w:rPr>
        <w:t xml:space="preserve">. </w:t>
      </w:r>
    </w:p>
    <w:p>
      <w:pPr>
        <w:numPr>
          <w:ilvl w:val="0"/>
          <w:numId w:val="7"/>
        </w:numPr>
        <w:tabs>
          <w:tab w:val="left" w:pos="335"/>
          <w:tab w:val="clear" w:pos="720"/>
        </w:tabs>
        <w:spacing w:before="120" w:beforeLines="50" w:line="276" w:lineRule="auto"/>
        <w:ind w:left="340" w:hanging="340"/>
        <w:rPr>
          <w:color w:val="000000"/>
        </w:rPr>
      </w:pPr>
      <w:r>
        <w:rPr>
          <w:color w:val="000000"/>
        </w:rPr>
        <w:t>Do obowiązków Wykonawcy należy:</w:t>
      </w:r>
    </w:p>
    <w:p>
      <w:pPr>
        <w:numPr>
          <w:ilvl w:val="0"/>
          <w:numId w:val="9"/>
        </w:numPr>
        <w:tabs>
          <w:tab w:val="left" w:pos="683"/>
          <w:tab w:val="clear" w:pos="720"/>
        </w:tabs>
        <w:spacing w:line="276" w:lineRule="auto"/>
        <w:ind w:left="680" w:hanging="340"/>
        <w:jc w:val="both"/>
      </w:pPr>
      <w:r>
        <w:rPr>
          <w:color w:val="000000"/>
        </w:rPr>
        <w:t>przejęcie terenu budowy</w:t>
      </w:r>
      <w:r>
        <w:rPr>
          <w:rFonts w:hint="default"/>
          <w:color w:val="000000"/>
          <w:lang w:val="pl-PL"/>
        </w:rPr>
        <w:t>, zgodnie z §3 ust 1 pkt 1</w:t>
      </w:r>
      <w:r>
        <w:rPr>
          <w:color w:val="000000"/>
        </w:rPr>
        <w:t>;</w:t>
      </w:r>
    </w:p>
    <w:p>
      <w:pPr>
        <w:numPr>
          <w:ilvl w:val="0"/>
          <w:numId w:val="9"/>
        </w:numPr>
        <w:tabs>
          <w:tab w:val="left" w:pos="683"/>
          <w:tab w:val="clear" w:pos="720"/>
        </w:tabs>
        <w:spacing w:line="276" w:lineRule="auto"/>
        <w:ind w:left="680" w:hanging="340"/>
        <w:jc w:val="both"/>
      </w:pPr>
      <w:r>
        <w:rPr>
          <w:color w:val="000000"/>
        </w:rPr>
        <w:t>przestrzeganie wszystkich aktualnych przepisów prawa (ustawy, rozporządzenia, aktualne polskie normy, normy europejskie i normy branżowe itp.), zarządzenia władz samorządowych, inne przepisy, które są związane z realizacją robót lub mogą wpływać na sposób ich wykonania i prowadzenia;</w:t>
      </w:r>
    </w:p>
    <w:p>
      <w:pPr>
        <w:numPr>
          <w:ilvl w:val="0"/>
          <w:numId w:val="9"/>
        </w:numPr>
        <w:tabs>
          <w:tab w:val="left" w:pos="683"/>
          <w:tab w:val="clear" w:pos="720"/>
        </w:tabs>
        <w:spacing w:line="276" w:lineRule="auto"/>
        <w:ind w:left="680" w:hanging="340"/>
        <w:jc w:val="both"/>
        <w:rPr>
          <w:highlight w:val="none"/>
        </w:rPr>
      </w:pPr>
      <w:r>
        <w:rPr>
          <w:color w:val="000000"/>
        </w:rPr>
        <w:t xml:space="preserve">realizowanie przedmiotu umowy zgodnie z </w:t>
      </w:r>
      <w:r>
        <w:rPr>
          <w:b/>
          <w:bCs/>
          <w:color w:val="000000"/>
        </w:rPr>
        <w:t>harmonogramem rzeczowo-finansowym</w:t>
      </w:r>
      <w:r>
        <w:rPr>
          <w:color w:val="000000"/>
        </w:rPr>
        <w:t xml:space="preserve"> robót</w:t>
      </w:r>
      <w:r>
        <w:rPr>
          <w:color w:val="000000"/>
        </w:rPr>
        <w:br w:type="textWrapping"/>
      </w:r>
      <w:r>
        <w:rPr>
          <w:color w:val="000000"/>
        </w:rPr>
        <w:t xml:space="preserve">(z uwzględnieniem zakładanych i szacowanych kosztów wykonania danych robót), który zapewniał będzie wykonanie przedmiotu umowy w terminie, sporządzonym przez Wykonawcę i przedłożonym Zamawiającemu do zatwierdzenia w terminie </w:t>
      </w:r>
      <w:r>
        <w:rPr>
          <w:b/>
          <w:bCs/>
          <w:color w:val="000000"/>
        </w:rPr>
        <w:t xml:space="preserve">do 7 dni </w:t>
      </w:r>
      <w:r>
        <w:rPr>
          <w:color w:val="000000"/>
        </w:rPr>
        <w:t>po podpisaniu niniejszej umowy oraz bieżącego aktualizowania tego harmonogramu; Zamawiający ma obowiązek zatwierdzić bądź wnieść poprawki do harmonogramu tylko wtedy, gdy harmonogram nie będzie zapewniał realizacji przedmiotu umowy w terminie; brak zgody na wniesienie poprawek wskazanych przez Zamawiającego może skutkować naliczenie kary umownej, o której mowa w §</w:t>
      </w:r>
      <w:r>
        <w:rPr>
          <w:color w:val="000000"/>
          <w:highlight w:val="none"/>
        </w:rPr>
        <w:t>1</w:t>
      </w:r>
      <w:r>
        <w:rPr>
          <w:rFonts w:hint="default"/>
          <w:color w:val="000000"/>
          <w:highlight w:val="none"/>
          <w:lang w:val="pl-PL"/>
        </w:rPr>
        <w:t>2</w:t>
      </w:r>
      <w:r>
        <w:rPr>
          <w:color w:val="000000"/>
          <w:highlight w:val="none"/>
        </w:rPr>
        <w:t xml:space="preserve"> ust. 2 pkt. 5);</w:t>
      </w:r>
    </w:p>
    <w:p>
      <w:pPr>
        <w:numPr>
          <w:ilvl w:val="0"/>
          <w:numId w:val="9"/>
        </w:numPr>
        <w:tabs>
          <w:tab w:val="left" w:pos="683"/>
          <w:tab w:val="clear" w:pos="720"/>
        </w:tabs>
        <w:spacing w:line="276" w:lineRule="auto"/>
        <w:ind w:left="680" w:hanging="340"/>
        <w:jc w:val="both"/>
      </w:pPr>
      <w:r>
        <w:rPr>
          <w:color w:val="000000"/>
        </w:rPr>
        <w:t xml:space="preserve">organizacja, odpowiednie oznakowanie, utrzymanie i zabezpieczenie na własny koszt terenu </w:t>
      </w:r>
      <w:r>
        <w:rPr>
          <w:color w:val="000000"/>
        </w:rPr>
        <w:br w:type="textWrapping"/>
      </w:r>
      <w:r>
        <w:rPr>
          <w:color w:val="000000"/>
        </w:rPr>
        <w:t>i zaplecza robót, zabezpieczenie miejsca wykonywania robót przed dostępem osób postronnych oraz organizacja ochrony mienia na terenie budowy, do czasu przekazania go do eksploatacji; Wykonawca dostarczy, zainstaluje i będzie utrzymywać tymczasowe urządzenia zabezpieczające w tym: ogrodzenia, poręcze, oświetlenie, sygnały i znaki ostrzegawcze, dozorców, wszelkie inne środki niezbędne do ochrony robót, wygody społeczności i innych;</w:t>
      </w:r>
    </w:p>
    <w:p>
      <w:pPr>
        <w:numPr>
          <w:ilvl w:val="0"/>
          <w:numId w:val="9"/>
        </w:numPr>
        <w:tabs>
          <w:tab w:val="left" w:pos="683"/>
          <w:tab w:val="clear" w:pos="720"/>
        </w:tabs>
        <w:spacing w:line="276" w:lineRule="auto"/>
        <w:ind w:left="680" w:hanging="340"/>
        <w:jc w:val="both"/>
        <w:rPr>
          <w:color w:val="000000"/>
        </w:rPr>
      </w:pPr>
      <w:r>
        <w:rPr>
          <w:color w:val="000000"/>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pPr>
        <w:numPr>
          <w:ilvl w:val="0"/>
          <w:numId w:val="9"/>
        </w:numPr>
        <w:tabs>
          <w:tab w:val="left" w:pos="683"/>
          <w:tab w:val="clear" w:pos="720"/>
        </w:tabs>
        <w:spacing w:line="276" w:lineRule="auto"/>
        <w:ind w:left="680" w:hanging="340"/>
        <w:jc w:val="both"/>
        <w:rPr>
          <w:color w:val="000000"/>
        </w:rPr>
      </w:pPr>
      <w:r>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miejsca czasowego składowania będą zlokalizowane w obrębie terenu budowy w miejscach uzgodnionych z Inspektorem Nadzoru lub poza terenem budowy w miejscach zorganizowanych przez Wykonawcę;</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materiały wykorzystywane do wykonania inwestycji powinny być nowe i dopuszczone do stosowania w budownictwie, w szczególności spełniające warunki określone w Ustawie o wyrobach budowlanych z dnia 16 kwietnia 2004r (t.j. Dz. U. z 2021r poz. 1213) oraz przepisach wykonawczych do tej ustawy</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2</w:t>
      </w:r>
      <w:r>
        <w:rPr>
          <w:rFonts w:hint="default"/>
          <w:color w:val="000000"/>
          <w:highlight w:val="none"/>
        </w:rPr>
        <w:t xml:space="preserve"> ust. 2 pkt. 5)</w:t>
      </w:r>
      <w:r>
        <w:rPr>
          <w:rFonts w:hint="default"/>
          <w:color w:val="000000"/>
          <w:highlight w:val="none"/>
          <w:lang w:val="pl-PL"/>
        </w:rPr>
        <w:t>;</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stosowanie jedynie takich środków transportu, który nie wpłynie niekorzystnie na jakość wykonywanych robót i właściwości przewożonych materiałów;</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technologia wbudowywania wyrobów powinna być zgodna z wymogami producentów oraz dokumentacją i odnośnymi przepisami branżowymi;</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zorganizowanie we własnym zakresie powierzchni składowych i magazynowych w miejscach udostępnionych przez administrację obiektu;</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składowanie gruzu i odpadów budowlanych w pojemnikach ustawionych w miejscach uzgodnionych</w:t>
      </w:r>
      <w:r>
        <w:rPr>
          <w:color w:val="000000"/>
        </w:rPr>
        <w:br w:type="textWrapping"/>
      </w:r>
      <w:r>
        <w:rPr>
          <w:color w:val="000000"/>
        </w:rPr>
        <w:t>z Inspektorem Nadzoru;</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we własnym zakresie wywozu i utylizacji odpadów budowlanych (śmieci, gruz i inne);</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prowadzenie robót z zachowaniem należytej ostrożności, zgodnie z obowiązującymi w tym zakresie normami i przepisami prawnymi;</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highlight w:val="none"/>
        </w:rPr>
      </w:pPr>
      <w:r>
        <w:rPr>
          <w:color w:val="000000"/>
        </w:rPr>
        <w:t xml:space="preserve">zapewnienie wykonywania robót budowlanych przy zachowaniu przepisów BHP i p.poż oraz przy maksymalnym ograniczeniu uciążliwości prowadzenia robót na otaczające środowisko </w:t>
      </w:r>
      <w:r>
        <w:rPr>
          <w:color w:val="000000"/>
        </w:rPr>
        <w:br w:type="textWrapping"/>
      </w:r>
      <w:r>
        <w:rPr>
          <w:color w:val="000000"/>
        </w:rPr>
        <w:t>i mieszkańców</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2</w:t>
      </w:r>
      <w:r>
        <w:rPr>
          <w:rFonts w:hint="default"/>
          <w:color w:val="000000"/>
          <w:highlight w:val="none"/>
        </w:rPr>
        <w:t xml:space="preserve"> ust. 2 pkt. 5)</w:t>
      </w:r>
      <w:r>
        <w:rPr>
          <w:color w:val="000000"/>
          <w:highlight w:val="none"/>
        </w:rPr>
        <w:t>;</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ponoszenia pełnej odpowiedzialności za bezpieczeństwo swoich pracowników oraz innych osób znajdujących się w obrębie przekazanego terenu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 xml:space="preserve">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Inspektora Nadzoru </w:t>
      </w:r>
      <w:r>
        <w:rPr>
          <w:color w:val="000000"/>
        </w:rPr>
        <w:br w:type="textWrapping"/>
      </w:r>
      <w:r>
        <w:rPr>
          <w:color w:val="000000"/>
        </w:rPr>
        <w:t>i Zamawiającego oraz będzie współpracował dostarczając wszelkiej pomocy potrzebnej przy dokonywaniu napraw;</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highlight w:val="none"/>
        </w:rPr>
        <w:t>kompletowanie wszelkiej dokumentacji</w:t>
      </w:r>
      <w:r>
        <w:rPr>
          <w:color w:val="000000"/>
        </w:rPr>
        <w:t xml:space="preserve"> zgodnie z obowiązującymi przepisami i dokumentacją projektową</w:t>
      </w:r>
      <w:r>
        <w:rPr>
          <w:rFonts w:hint="default"/>
          <w:color w:val="000000"/>
          <w:lang w:val="pl-PL"/>
        </w:rPr>
        <w:t xml:space="preserve"> o której mowa w §8</w:t>
      </w:r>
      <w:r>
        <w:rPr>
          <w:color w:val="000000"/>
        </w:rPr>
        <w:t xml:space="preserve"> </w:t>
      </w:r>
      <w:r>
        <w:rPr>
          <w:rFonts w:hint="default"/>
          <w:color w:val="000000"/>
          <w:lang w:val="pl-PL"/>
        </w:rPr>
        <w:t xml:space="preserve">Umowy, </w:t>
      </w:r>
      <w:r>
        <w:rPr>
          <w:color w:val="000000"/>
        </w:rPr>
        <w:t>i udostępnianie ich na każde żądanie Zamawiającego; zaginięcie któregokolwiek z dokumentów budowy spowoduje jego natychmiastowe odtworzenie w formie przewidzianej prawem;</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r>
        <w:rPr>
          <w:rFonts w:hint="default"/>
          <w:color w:val="000000"/>
          <w:lang w:val="pl-PL"/>
        </w:rPr>
        <w:t xml:space="preserve"> (pod rygorem naliczenia przez </w:t>
      </w:r>
      <w:r>
        <w:rPr>
          <w:rFonts w:hint="default"/>
          <w:color w:val="000000"/>
        </w:rPr>
        <w:t>Zamawiającego kary umownej, o której mowa w §</w:t>
      </w:r>
      <w:r>
        <w:rPr>
          <w:rFonts w:hint="default"/>
          <w:color w:val="000000"/>
          <w:highlight w:val="none"/>
        </w:rPr>
        <w:t>1</w:t>
      </w:r>
      <w:r>
        <w:rPr>
          <w:rFonts w:hint="default"/>
          <w:color w:val="000000"/>
          <w:highlight w:val="none"/>
          <w:lang w:val="pl-PL"/>
        </w:rPr>
        <w:t>2</w:t>
      </w:r>
      <w:r>
        <w:rPr>
          <w:rFonts w:hint="default"/>
          <w:color w:val="000000"/>
          <w:highlight w:val="none"/>
        </w:rPr>
        <w:t xml:space="preserve"> ust. 2 pkt. 5)</w:t>
      </w:r>
      <w:r>
        <w:rPr>
          <w:color w:val="000000"/>
          <w:highlight w:val="none"/>
        </w:rPr>
        <w:t>;</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usuwanie wszelkich wad i usterek lub niezgodności robót z dokumentacją wskazanych przez Nadzór Inwestorski;</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koordynacja robót podwykonawców;</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przygotowanie od strony technicznej i udział w odbiorach technicznych robót zanikających </w:t>
      </w:r>
      <w:r>
        <w:rPr>
          <w:color w:val="000000"/>
        </w:rPr>
        <w:br w:type="textWrapping"/>
      </w:r>
      <w:r>
        <w:rPr>
          <w:color w:val="000000"/>
        </w:rPr>
        <w:t>i ulegających zakryciu, odbiorach częściowych, odbiorach końcowych robót i odbiorach pogwarancyjnych;</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usuwanie usterek i wad w ramach gwarancji i rękojmi, w terminie wskazanym przez Zamawiającego;</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wykonanie na własny koszt wszelkich badań wymaganych odrębnymi przepisami, oraz badań laboratoryjnych w przypadku wątpliwości Zamawiającego co do jakości stosowanych materiałów;</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uzgadnianie z Inspektorem Nadzoru zamiennych rozwiązań w zakresie technologii wykonania, zastosowanych materiałów lub wyrobów wskazanych w dokumentacji, w przypadku ich zaproponowania;</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niezwłoczne informowanie Inspektora Nadzoru o problemach technicznych lub okolicznościach, które mogą wpłynąć na jakość robót lub termin zakończenia robót.</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Gdziekolwiek w umowie i dokumentacji projektowej powołane są konkretne normy lub przepisy, które spełniać mają materiały, sprzęt i inne dostarczane towary, oraz wykonane i zbadane roboty, będą obowiązywać postanowienia najnowszego wydania lub poprawionego wydania powołanych norm </w:t>
      </w:r>
      <w:r>
        <w:rPr>
          <w:color w:val="000000"/>
        </w:rPr>
        <w:br w:type="textWrapping"/>
      </w:r>
      <w:r>
        <w:rPr>
          <w:color w:val="000000"/>
        </w:rPr>
        <w:t>i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Wykonawca zobowiązany jest zapewnić wykonanie i kierowanie robotami objętymi umową przez osoby posiadające stosowne kwalifikacje zawodowe i uprawnienia budowlane.</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w:t>
      </w:r>
      <w:r>
        <w:rPr>
          <w:color w:val="000000"/>
        </w:rPr>
        <w:br w:type="textWrapping"/>
      </w:r>
      <w:r>
        <w:rPr>
          <w:color w:val="000000"/>
        </w:rPr>
        <w:t>i odbioru robót oraz poleceniami Inspektora Nadzoru.</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rFonts w:hint="default"/>
          <w:color w:val="000000"/>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We wszystkich sprawach nie objętych niniejszą umową będą obowiązywały zapisy i zalecenia dokumentacji projektowej i specyfikacji technicznej wykonania i odbioru robót.</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b/>
          <w:color w:val="000000"/>
        </w:rPr>
        <w:t>Wykonawca ponosi pełną odpowiedzialność za teren budowy od chwili jego przejęcia.</w:t>
      </w:r>
    </w:p>
    <w:p>
      <w:pPr>
        <w:pStyle w:val="3"/>
        <w:spacing w:line="276" w:lineRule="auto"/>
        <w:rPr>
          <w:color w:val="000000"/>
        </w:rPr>
      </w:pPr>
    </w:p>
    <w:p>
      <w:pPr>
        <w:pStyle w:val="3"/>
        <w:spacing w:line="276" w:lineRule="auto"/>
        <w:rPr>
          <w:color w:val="000000"/>
        </w:rPr>
      </w:pPr>
    </w:p>
    <w:p>
      <w:pPr>
        <w:spacing w:line="276" w:lineRule="auto"/>
        <w:jc w:val="center"/>
        <w:rPr>
          <w:b/>
          <w:bCs/>
          <w:color w:val="000000"/>
        </w:rPr>
      </w:pPr>
      <w:r>
        <w:rPr>
          <w:b/>
          <w:bCs/>
          <w:color w:val="000000"/>
        </w:rPr>
        <w:t>§5</w:t>
      </w:r>
    </w:p>
    <w:p>
      <w:pPr>
        <w:spacing w:line="276" w:lineRule="auto"/>
        <w:jc w:val="center"/>
        <w:rPr>
          <w:b/>
          <w:bCs/>
          <w:color w:val="000000"/>
        </w:rPr>
      </w:pPr>
      <w:r>
        <w:rPr>
          <w:rFonts w:hint="default"/>
          <w:b/>
          <w:bCs/>
          <w:color w:val="000000"/>
          <w:lang w:val="pl-PL"/>
        </w:rPr>
        <w:t>Kierownik budowy</w:t>
      </w:r>
    </w:p>
    <w:p>
      <w:pPr>
        <w:keepNext w:val="0"/>
        <w:keepLines w:val="0"/>
        <w:pageBreakBefore w:val="0"/>
        <w:widowControl/>
        <w:numPr>
          <w:ilvl w:val="0"/>
          <w:numId w:val="10"/>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Wykonawca zobowiązuje się zapewnić kierowanie budową przez osoby posiadające uprawnienia budowlane oraz doświadczenie,. </w:t>
      </w:r>
    </w:p>
    <w:p>
      <w:pPr>
        <w:keepNext w:val="0"/>
        <w:keepLines w:val="0"/>
        <w:pageBreakBefore w:val="0"/>
        <w:widowControl/>
        <w:numPr>
          <w:ilvl w:val="0"/>
          <w:numId w:val="10"/>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Wykonawca zobowiązuje się skierować do kierowania budową kierownika budowy</w:t>
      </w:r>
      <w:r>
        <w:rPr>
          <w:rFonts w:hint="default" w:ascii="Times New Roman" w:hAnsi="Times New Roman" w:cs="Times New Roman"/>
        </w:rPr>
        <w:br w:type="textWrapping"/>
      </w:r>
      <w:r>
        <w:rPr>
          <w:rFonts w:hint="default" w:ascii="Times New Roman" w:hAnsi="Times New Roman" w:cs="Times New Roman"/>
          <w:b/>
          <w:bCs/>
        </w:rPr>
        <w:t>………………………………</w:t>
      </w:r>
      <w:r>
        <w:rPr>
          <w:rFonts w:hint="default" w:ascii="Times New Roman" w:hAnsi="Times New Roman" w:cs="Times New Roman"/>
        </w:rPr>
        <w:t xml:space="preserve"> – upr. bud. nr ………………………………. ,</w:t>
      </w:r>
    </w:p>
    <w:p>
      <w:pPr>
        <w:keepNext w:val="0"/>
        <w:keepLines w:val="0"/>
        <w:pageBreakBefore w:val="0"/>
        <w:widowControl/>
        <w:numPr>
          <w:ilvl w:val="0"/>
          <w:numId w:val="10"/>
        </w:numPr>
        <w:tabs>
          <w:tab w:val="left" w:pos="335"/>
          <w:tab w:val="clear" w:pos="720"/>
        </w:tabs>
        <w:kinsoku/>
        <w:wordWrap/>
        <w:overflowPunct/>
        <w:topLinePunct w:val="0"/>
        <w:autoSpaceDE/>
        <w:autoSpaceDN/>
        <w:bidi w:val="0"/>
        <w:adjustRightInd/>
        <w:snapToGrid/>
        <w:spacing w:before="181" w:beforeLines="50" w:line="240" w:lineRule="auto"/>
        <w:ind w:left="357" w:leftChars="0" w:hanging="357" w:firstLineChars="0"/>
        <w:jc w:val="both"/>
        <w:textAlignment w:val="auto"/>
        <w:rPr>
          <w:rFonts w:hint="default" w:ascii="Times New Roman" w:hAnsi="Times New Roman" w:cs="Times New Roman"/>
          <w:lang w:val="en-US"/>
        </w:rPr>
      </w:pPr>
      <w:r>
        <w:rPr>
          <w:rFonts w:hint="default" w:ascii="Times New Roman" w:hAnsi="Times New Roman" w:cs="Times New Roman"/>
          <w:color w:val="000000"/>
        </w:rPr>
        <w:t xml:space="preserve">Kierownik Budowy działa zgodnie z przepisami Prawa Budowlanego </w:t>
      </w:r>
      <w:r>
        <w:rPr>
          <w:rFonts w:hint="default" w:ascii="Times New Roman" w:hAnsi="Times New Roman" w:cs="Times New Roman"/>
          <w:color w:val="000000"/>
          <w:highlight w:val="none"/>
        </w:rPr>
        <w:t>(t.j. Dz. U. z 202</w:t>
      </w:r>
      <w:r>
        <w:rPr>
          <w:rFonts w:hint="default" w:cs="Times New Roman"/>
          <w:color w:val="000000"/>
          <w:highlight w:val="none"/>
          <w:lang w:val="pl-PL"/>
        </w:rPr>
        <w:t>3</w:t>
      </w:r>
      <w:r>
        <w:rPr>
          <w:rFonts w:hint="default" w:ascii="Times New Roman" w:hAnsi="Times New Roman" w:cs="Times New Roman"/>
          <w:color w:val="000000"/>
          <w:highlight w:val="none"/>
        </w:rPr>
        <w:t xml:space="preserve"> r., poz. </w:t>
      </w:r>
      <w:r>
        <w:rPr>
          <w:rFonts w:hint="default" w:cs="Times New Roman"/>
          <w:color w:val="000000"/>
          <w:highlight w:val="none"/>
          <w:lang w:val="pl-PL"/>
        </w:rPr>
        <w:t>682</w:t>
      </w:r>
      <w:r>
        <w:rPr>
          <w:rFonts w:hint="default" w:ascii="Times New Roman" w:hAnsi="Times New Roman" w:cs="Times New Roman"/>
          <w:color w:val="000000"/>
          <w:highlight w:val="none"/>
        </w:rPr>
        <w:t>)</w:t>
      </w:r>
      <w:r>
        <w:rPr>
          <w:rFonts w:hint="default" w:ascii="Times New Roman" w:hAnsi="Times New Roman" w:cs="Times New Roman"/>
          <w:color w:val="000000"/>
        </w:rPr>
        <w:t xml:space="preserve"> i zobowiązany jest do prowadzenia dziennika budowy, a także odpowiada za jakość i zgodność z wymogami techniczno-prawnymi wykonywanych zabezpieczeń, jak również za ich stałą sprawność techniczną.</w:t>
      </w:r>
    </w:p>
    <w:p>
      <w:pPr>
        <w:keepNext w:val="0"/>
        <w:keepLines w:val="0"/>
        <w:pageBreakBefore w:val="0"/>
        <w:widowControl/>
        <w:numPr>
          <w:ilvl w:val="0"/>
          <w:numId w:val="10"/>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Zmiana osoby, o której mowa w ust. </w:t>
      </w:r>
      <w:r>
        <w:rPr>
          <w:rFonts w:hint="default" w:ascii="Times New Roman" w:hAnsi="Times New Roman" w:cs="Times New Roman"/>
          <w:lang w:val="pl-PL"/>
        </w:rPr>
        <w:t>2</w:t>
      </w:r>
      <w:r>
        <w:rPr>
          <w:rFonts w:hint="default" w:ascii="Times New Roman" w:hAnsi="Times New Roman" w:cs="Times New Roman"/>
        </w:rPr>
        <w:t xml:space="preserve"> w trakcie wykonywania Umowy musi być uzasadniona przez Wykonawcę na piśmie</w:t>
      </w:r>
      <w:r>
        <w:rPr>
          <w:rFonts w:hint="default" w:ascii="Times New Roman" w:hAnsi="Times New Roman" w:cs="Times New Roman"/>
          <w:lang w:val="pl-PL"/>
        </w:rPr>
        <w:t xml:space="preserve">. </w:t>
      </w:r>
      <w:r>
        <w:rPr>
          <w:rFonts w:hint="default" w:ascii="Times New Roman" w:hAnsi="Times New Roman" w:cs="Times New Roman"/>
        </w:rPr>
        <w:t>Zmiana taka wymaga zmiany Umowy.</w:t>
      </w:r>
    </w:p>
    <w:p>
      <w:pPr>
        <w:pStyle w:val="11"/>
        <w:keepNext w:val="0"/>
        <w:keepLines w:val="0"/>
        <w:pageBreakBefore w:val="0"/>
        <w:widowControl/>
        <w:numPr>
          <w:ilvl w:val="0"/>
          <w:numId w:val="10"/>
        </w:numPr>
        <w:tabs>
          <w:tab w:val="clear" w:pos="720"/>
        </w:tabs>
        <w:kinsoku/>
        <w:wordWrap/>
        <w:overflowPunct/>
        <w:topLinePunct w:val="0"/>
        <w:autoSpaceDN/>
        <w:bidi w:val="0"/>
        <w:adjustRightInd/>
        <w:snapToGrid/>
        <w:spacing w:before="181" w:beforeLines="50"/>
        <w:ind w:left="357" w:hanging="357"/>
        <w:jc w:val="both"/>
        <w:textAlignment w:val="auto"/>
        <w:rPr>
          <w:rFonts w:hint="default" w:ascii="Times New Roman" w:hAnsi="Times New Roman" w:cs="Times New Roman"/>
          <w:szCs w:val="24"/>
        </w:rPr>
      </w:pPr>
      <w:r>
        <w:rPr>
          <w:rFonts w:hint="default" w:ascii="Times New Roman" w:hAnsi="Times New Roman" w:cs="Times New Roman"/>
          <w:szCs w:val="24"/>
        </w:rPr>
        <w:t xml:space="preserve">Wykonawca zobowiązuje się przedłożyć Zamawiającemu propozycję zmiany, o której mowa w ust. </w:t>
      </w:r>
      <w:r>
        <w:rPr>
          <w:rFonts w:hint="default" w:ascii="Times New Roman" w:hAnsi="Times New Roman" w:cs="Times New Roman"/>
          <w:szCs w:val="24"/>
          <w:lang w:val="pl-PL"/>
        </w:rPr>
        <w:t>3</w:t>
      </w:r>
      <w:r>
        <w:rPr>
          <w:rFonts w:hint="default" w:ascii="Times New Roman" w:hAnsi="Times New Roman" w:cs="Times New Roman"/>
          <w:szCs w:val="24"/>
        </w:rPr>
        <w:t>, nie później niż 14 dni przed planowanym terminem zakończenia pełnienia obowiązków kierownika budowy przez wskazaną w Umowie osobę i podjęciem tych obowiązków przez nową osobę, a po zaakceptowaniu przez Zamawiającego, dołączyć oświadczenie nowego kierownika budowy do dokumentacji budowy.</w:t>
      </w:r>
    </w:p>
    <w:p>
      <w:pPr>
        <w:pStyle w:val="11"/>
        <w:keepNext w:val="0"/>
        <w:keepLines w:val="0"/>
        <w:pageBreakBefore w:val="0"/>
        <w:widowControl/>
        <w:numPr>
          <w:ilvl w:val="0"/>
          <w:numId w:val="10"/>
        </w:numPr>
        <w:tabs>
          <w:tab w:val="clear" w:pos="720"/>
        </w:tabs>
        <w:kinsoku/>
        <w:wordWrap/>
        <w:overflowPunct/>
        <w:topLinePunct w:val="0"/>
        <w:autoSpaceDN/>
        <w:bidi w:val="0"/>
        <w:adjustRightInd/>
        <w:snapToGrid/>
        <w:spacing w:before="181" w:beforeLines="50"/>
        <w:ind w:left="357" w:hanging="357"/>
        <w:jc w:val="both"/>
        <w:textAlignment w:val="auto"/>
        <w:rPr>
          <w:rFonts w:hint="default" w:ascii="Times New Roman" w:hAnsi="Times New Roman" w:cs="Times New Roman"/>
          <w:szCs w:val="24"/>
        </w:rPr>
      </w:pPr>
      <w:r>
        <w:rPr>
          <w:rFonts w:hint="default" w:ascii="Times New Roman" w:hAnsi="Times New Roman" w:cs="Times New Roman"/>
          <w:szCs w:val="24"/>
        </w:rPr>
        <w:t xml:space="preserve">Jakakolwiek przerwa w realizacji Robót wynikająca z braku kierownictwa budowy będzie traktowana, jako przerwa wynikła z przyczyn zależnych od Wykonawcy i nie może stanowić podstawy do zmiany terminu wykonania Umowy. </w:t>
      </w:r>
    </w:p>
    <w:p>
      <w:pPr>
        <w:keepNext w:val="0"/>
        <w:keepLines w:val="0"/>
        <w:pageBreakBefore w:val="0"/>
        <w:widowControl/>
        <w:numPr>
          <w:ilvl w:val="0"/>
          <w:numId w:val="10"/>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Wykonawca zapłaci Zamawiającemu karę umowną w kwocie 5.000,00 zł z tytułu skierowania do kierowania Robotami innych osób niż wskazane w Umowie, za każdy taki przypadek.</w:t>
      </w:r>
    </w:p>
    <w:p>
      <w:pPr>
        <w:spacing w:line="276" w:lineRule="auto"/>
        <w:jc w:val="center"/>
        <w:rPr>
          <w:b/>
          <w:bCs/>
          <w:color w:val="000000"/>
        </w:rPr>
      </w:pPr>
    </w:p>
    <w:p>
      <w:pPr>
        <w:spacing w:line="276" w:lineRule="auto"/>
        <w:jc w:val="center"/>
        <w:rPr>
          <w:b/>
          <w:bCs/>
          <w:color w:val="000000"/>
        </w:rPr>
      </w:pPr>
    </w:p>
    <w:p>
      <w:pPr>
        <w:spacing w:line="276" w:lineRule="auto"/>
        <w:jc w:val="center"/>
        <w:rPr>
          <w:b/>
          <w:bCs/>
          <w:color w:val="000000"/>
          <w:highlight w:val="none"/>
        </w:rPr>
      </w:pPr>
      <w:r>
        <w:rPr>
          <w:b/>
          <w:bCs/>
          <w:color w:val="000000"/>
          <w:highlight w:val="none"/>
        </w:rPr>
        <w:t>§</w:t>
      </w:r>
      <w:r>
        <w:rPr>
          <w:rFonts w:hint="default"/>
          <w:b/>
          <w:bCs/>
          <w:color w:val="000000"/>
          <w:highlight w:val="none"/>
          <w:lang w:val="pl-PL"/>
        </w:rPr>
        <w:t>6</w:t>
      </w:r>
    </w:p>
    <w:p>
      <w:pPr>
        <w:spacing w:line="276" w:lineRule="auto"/>
        <w:jc w:val="center"/>
        <w:rPr>
          <w:color w:val="000000"/>
        </w:rPr>
      </w:pPr>
      <w:r>
        <w:rPr>
          <w:b/>
          <w:color w:val="000000"/>
        </w:rPr>
        <w:t>Podwykonawcy</w:t>
      </w:r>
    </w:p>
    <w:p>
      <w:pPr>
        <w:keepNext w:val="0"/>
        <w:keepLines w:val="0"/>
        <w:pageBreakBefore w:val="0"/>
        <w:widowControl/>
        <w:numPr>
          <w:ilvl w:val="0"/>
          <w:numId w:val="11"/>
        </w:numPr>
        <w:tabs>
          <w:tab w:val="left" w:pos="335"/>
          <w:tab w:val="left" w:pos="339"/>
          <w:tab w:val="clear" w:pos="720"/>
        </w:tabs>
        <w:kinsoku/>
        <w:wordWrap/>
        <w:overflowPunct/>
        <w:topLinePunct w:val="0"/>
        <w:autoSpaceDE/>
        <w:autoSpaceDN/>
        <w:bidi w:val="0"/>
        <w:adjustRightInd/>
        <w:snapToGrid/>
        <w:spacing w:before="120" w:beforeLines="50" w:line="240" w:lineRule="auto"/>
        <w:ind w:left="340" w:hanging="340"/>
        <w:jc w:val="both"/>
        <w:textAlignment w:val="auto"/>
        <w:rPr>
          <w:rFonts w:hint="default"/>
          <w:color w:val="000000"/>
        </w:rPr>
      </w:pPr>
      <w:r>
        <w:rPr>
          <w:rFonts w:hint="default"/>
          <w:color w:val="000000"/>
        </w:rPr>
        <w:t>Wykonawca oświadcza, że następujący zakres Robót będzie wykonywał za pomocą podwykonawców:</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before="120" w:beforeLines="50" w:line="240" w:lineRule="auto"/>
        <w:ind w:leftChars="0"/>
        <w:jc w:val="both"/>
        <w:textAlignment w:val="auto"/>
        <w:rPr>
          <w:rFonts w:hint="default"/>
          <w:color w:val="000000"/>
        </w:rPr>
      </w:pPr>
      <w:r>
        <w:rPr>
          <w:rFonts w:hint="default"/>
          <w:color w:val="000000"/>
        </w:rPr>
        <w:t>…………………………………………………………………………………………………………………</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 xml:space="preserve">(nazwa albo nazwisko i imię oraz dane kontaktowe podwykonawcy i osób do kontaktu z podwykonawcą), </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albo</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Wykonawca oświadcza, że cały zakres Robót będzie wykonywał bez udziału podwykonawców.</w:t>
      </w:r>
    </w:p>
    <w:p>
      <w:pPr>
        <w:numPr>
          <w:ilvl w:val="0"/>
          <w:numId w:val="0"/>
        </w:numPr>
        <w:tabs>
          <w:tab w:val="left" w:pos="335"/>
          <w:tab w:val="left" w:pos="339"/>
        </w:tabs>
        <w:spacing w:before="120" w:beforeLines="50" w:line="276" w:lineRule="auto"/>
        <w:ind w:leftChars="0"/>
        <w:jc w:val="both"/>
        <w:rPr>
          <w:rFonts w:hint="default"/>
          <w:color w:val="000000"/>
        </w:rPr>
      </w:pPr>
      <w:r>
        <w:rPr>
          <w:rFonts w:hint="default"/>
          <w:color w:val="000000"/>
        </w:rPr>
        <w:t>(w dniu zawarcia Umowy do Umowy zostanie wpisany odpowiednio zapis zdanie pierwsze lub zdanie drugie, zgodnie z treścią oświadczenia złożonego przez Wykonawcę w Formularzu oferty, a nawias zostanie usunięty).</w:t>
      </w:r>
    </w:p>
    <w:p>
      <w:pPr>
        <w:numPr>
          <w:ilvl w:val="0"/>
          <w:numId w:val="11"/>
        </w:numPr>
        <w:tabs>
          <w:tab w:val="left" w:pos="335"/>
          <w:tab w:val="left" w:pos="339"/>
          <w:tab w:val="clear" w:pos="720"/>
        </w:tabs>
        <w:spacing w:before="120" w:beforeLines="50" w:line="276" w:lineRule="auto"/>
        <w:ind w:left="340" w:hanging="340"/>
        <w:jc w:val="both"/>
        <w:rPr>
          <w:rFonts w:hint="default"/>
          <w:color w:val="000000"/>
        </w:rPr>
      </w:pPr>
      <w:r>
        <w:rPr>
          <w:rFonts w:hint="default"/>
          <w:color w:val="000000"/>
        </w:rPr>
        <w:t>Wykonawca zawiadamia Zamawiającego o wszelkich zmianach danych, o których mowa w ust. 1, w trakcie realizacji Umowy, a także przekazuje informacje na temat nowych podwykonawców, którym w okresie późniejszym zamierza powierzyć realizację zamówienia.</w:t>
      </w:r>
    </w:p>
    <w:p>
      <w:pPr>
        <w:numPr>
          <w:ilvl w:val="0"/>
          <w:numId w:val="11"/>
        </w:numPr>
        <w:tabs>
          <w:tab w:val="left" w:pos="335"/>
          <w:tab w:val="left" w:pos="339"/>
          <w:tab w:val="clear" w:pos="720"/>
        </w:tabs>
        <w:spacing w:before="120" w:beforeLines="50" w:line="276" w:lineRule="auto"/>
        <w:ind w:left="340" w:hanging="340"/>
        <w:jc w:val="both"/>
        <w:rPr>
          <w:color w:val="000000"/>
        </w:rPr>
      </w:pPr>
      <w:r>
        <w:rPr>
          <w:rFonts w:hint="default"/>
          <w:color w:val="000000"/>
        </w:rPr>
        <w:t xml:space="preserve">Jeżeli powierzenie podwykonawcy wykonania części Umowy następuje w trakcie jej realizacji, Wykonawca przedstawia oświadczenie, o którym mowa w art. 125 ust. 1 Pzp,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pPr>
        <w:numPr>
          <w:ilvl w:val="0"/>
          <w:numId w:val="11"/>
        </w:numPr>
        <w:tabs>
          <w:tab w:val="left" w:pos="335"/>
          <w:tab w:val="left" w:pos="339"/>
          <w:tab w:val="clear" w:pos="720"/>
        </w:tabs>
        <w:spacing w:before="120" w:beforeLines="50" w:line="276" w:lineRule="auto"/>
        <w:ind w:left="340" w:hanging="340"/>
        <w:jc w:val="both"/>
        <w:rPr>
          <w:color w:val="000000"/>
        </w:rPr>
      </w:pPr>
      <w:r>
        <w:rPr>
          <w:color w:val="000000"/>
        </w:rPr>
        <w:t xml:space="preserve">Wykonawca, podwykonawca lub dalszy podwykonawca zamówienia na roboty budowlane zamierzający zawrzeć umowę o podwykonawstwo, której przedmiotem są roboty budowlane, jest obowiązany, </w:t>
      </w:r>
      <w:r>
        <w:rPr>
          <w:color w:val="000000"/>
        </w:rPr>
        <w:br w:type="textWrapping"/>
      </w:r>
      <w:r>
        <w:rPr>
          <w:color w:val="000000"/>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w formie pisemnej, pod rygorem nieważności, zastrzeżeń do projektu umowy, uważać się będzie, że wyraził zgodę na projekt umowy o podwykonawstwo, której przedmiotem są roboty budowlane.</w:t>
      </w:r>
    </w:p>
    <w:p>
      <w:pPr>
        <w:numPr>
          <w:ilvl w:val="0"/>
          <w:numId w:val="11"/>
        </w:numPr>
        <w:tabs>
          <w:tab w:val="left" w:pos="335"/>
          <w:tab w:val="left" w:pos="339"/>
          <w:tab w:val="clear" w:pos="720"/>
        </w:tabs>
        <w:spacing w:before="120" w:beforeLines="50" w:line="276" w:lineRule="auto"/>
        <w:ind w:left="340" w:hanging="340"/>
        <w:jc w:val="both"/>
      </w:pPr>
      <w:r>
        <w:rPr>
          <w:color w:val="000000"/>
        </w:rPr>
        <w:t>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uważać się będzie, że wyraził zgodę na umowę podwykonawstwo, której przedmiotem są roboty budowlane.</w:t>
      </w:r>
    </w:p>
    <w:p>
      <w:pPr>
        <w:numPr>
          <w:ilvl w:val="0"/>
          <w:numId w:val="11"/>
        </w:numPr>
        <w:tabs>
          <w:tab w:val="left" w:pos="335"/>
          <w:tab w:val="left" w:pos="339"/>
          <w:tab w:val="clear" w:pos="720"/>
        </w:tabs>
        <w:spacing w:before="120" w:beforeLines="50" w:line="276" w:lineRule="auto"/>
        <w:ind w:left="340" w:hanging="340"/>
        <w:jc w:val="both"/>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Pr>
          <w:color w:val="000000"/>
          <w:lang w:eastAsia="zh-CN" w:bidi="ar-SA"/>
        </w:rPr>
        <w:t>dokumentach</w:t>
      </w:r>
      <w:r>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pPr>
        <w:numPr>
          <w:ilvl w:val="0"/>
          <w:numId w:val="12"/>
        </w:numPr>
        <w:tabs>
          <w:tab w:val="left" w:pos="679"/>
          <w:tab w:val="clear" w:pos="1140"/>
        </w:tabs>
        <w:spacing w:line="276" w:lineRule="auto"/>
        <w:ind w:left="1100" w:leftChars="0" w:hanging="340"/>
        <w:jc w:val="both"/>
        <w:rPr>
          <w:color w:val="000000"/>
        </w:rPr>
      </w:pPr>
      <w:r>
        <w:rPr>
          <w:color w:val="000000"/>
        </w:rPr>
        <w:t>Umowy na dostawy energii elektrycznej;</w:t>
      </w:r>
    </w:p>
    <w:p>
      <w:pPr>
        <w:numPr>
          <w:ilvl w:val="0"/>
          <w:numId w:val="12"/>
        </w:numPr>
        <w:tabs>
          <w:tab w:val="left" w:pos="679"/>
          <w:tab w:val="clear" w:pos="1140"/>
        </w:tabs>
        <w:spacing w:line="276" w:lineRule="auto"/>
        <w:ind w:left="1100" w:leftChars="0" w:hanging="340"/>
        <w:jc w:val="both"/>
        <w:rPr>
          <w:color w:val="000000"/>
        </w:rPr>
      </w:pPr>
      <w:r>
        <w:rPr>
          <w:color w:val="000000"/>
        </w:rPr>
        <w:t>Umowy na dostawy gazu;</w:t>
      </w:r>
    </w:p>
    <w:p>
      <w:pPr>
        <w:numPr>
          <w:ilvl w:val="0"/>
          <w:numId w:val="12"/>
        </w:numPr>
        <w:tabs>
          <w:tab w:val="left" w:pos="679"/>
          <w:tab w:val="clear" w:pos="1140"/>
        </w:tabs>
        <w:spacing w:line="276" w:lineRule="auto"/>
        <w:ind w:left="1100" w:leftChars="0" w:hanging="340"/>
        <w:jc w:val="both"/>
        <w:rPr>
          <w:color w:val="000000"/>
        </w:rPr>
      </w:pPr>
      <w:r>
        <w:rPr>
          <w:color w:val="000000"/>
        </w:rPr>
        <w:t>Umowy na dostawę wody;</w:t>
      </w:r>
    </w:p>
    <w:p>
      <w:pPr>
        <w:numPr>
          <w:ilvl w:val="0"/>
          <w:numId w:val="12"/>
        </w:numPr>
        <w:tabs>
          <w:tab w:val="left" w:pos="679"/>
          <w:tab w:val="clear" w:pos="1140"/>
        </w:tabs>
        <w:spacing w:line="276" w:lineRule="auto"/>
        <w:ind w:left="1100" w:leftChars="0" w:hanging="340"/>
        <w:jc w:val="both"/>
        <w:rPr>
          <w:color w:val="000000"/>
        </w:rPr>
      </w:pPr>
      <w:r>
        <w:rPr>
          <w:color w:val="000000"/>
        </w:rPr>
        <w:t>Umowy na odprowadzanie ścieków;</w:t>
      </w:r>
    </w:p>
    <w:p>
      <w:pPr>
        <w:numPr>
          <w:ilvl w:val="0"/>
          <w:numId w:val="12"/>
        </w:numPr>
        <w:tabs>
          <w:tab w:val="left" w:pos="679"/>
          <w:tab w:val="clear" w:pos="1140"/>
        </w:tabs>
        <w:spacing w:line="276" w:lineRule="auto"/>
        <w:ind w:left="1100" w:leftChars="0" w:hanging="340"/>
        <w:jc w:val="both"/>
        <w:rPr>
          <w:color w:val="000000"/>
        </w:rPr>
      </w:pPr>
      <w:r>
        <w:rPr>
          <w:color w:val="000000"/>
        </w:rPr>
        <w:t>Umowy świadczenia usług finansowych;</w:t>
      </w:r>
    </w:p>
    <w:p>
      <w:pPr>
        <w:numPr>
          <w:ilvl w:val="0"/>
          <w:numId w:val="12"/>
        </w:numPr>
        <w:tabs>
          <w:tab w:val="left" w:pos="679"/>
          <w:tab w:val="clear" w:pos="1140"/>
        </w:tabs>
        <w:spacing w:line="276" w:lineRule="auto"/>
        <w:ind w:left="1100" w:leftChars="0" w:hanging="340"/>
        <w:jc w:val="both"/>
        <w:rPr>
          <w:color w:val="000000"/>
        </w:rPr>
      </w:pPr>
      <w:r>
        <w:rPr>
          <w:color w:val="000000"/>
        </w:rPr>
        <w:t>Umowy ubezpieczeniowe;</w:t>
      </w:r>
    </w:p>
    <w:p>
      <w:pPr>
        <w:numPr>
          <w:ilvl w:val="0"/>
          <w:numId w:val="12"/>
        </w:numPr>
        <w:tabs>
          <w:tab w:val="left" w:pos="679"/>
          <w:tab w:val="clear" w:pos="1140"/>
        </w:tabs>
        <w:spacing w:line="276" w:lineRule="auto"/>
        <w:ind w:left="1100" w:leftChars="0" w:hanging="340"/>
        <w:jc w:val="both"/>
        <w:rPr>
          <w:color w:val="000000"/>
        </w:rPr>
      </w:pPr>
      <w:r>
        <w:rPr>
          <w:color w:val="000000"/>
        </w:rPr>
        <w:t>Umowy telekomunikacyjne;</w:t>
      </w:r>
    </w:p>
    <w:p>
      <w:pPr>
        <w:numPr>
          <w:ilvl w:val="0"/>
          <w:numId w:val="12"/>
        </w:numPr>
        <w:tabs>
          <w:tab w:val="left" w:pos="679"/>
          <w:tab w:val="clear" w:pos="1140"/>
        </w:tabs>
        <w:spacing w:line="276" w:lineRule="auto"/>
        <w:ind w:left="1100" w:leftChars="0" w:hanging="340"/>
        <w:jc w:val="both"/>
        <w:rPr>
          <w:color w:val="000000"/>
        </w:rPr>
      </w:pPr>
      <w:r>
        <w:rPr>
          <w:color w:val="000000"/>
        </w:rPr>
        <w:t>Umowy ochrony mienia.</w:t>
      </w:r>
    </w:p>
    <w:p>
      <w:pPr>
        <w:tabs>
          <w:tab w:val="left" w:pos="720"/>
        </w:tabs>
        <w:spacing w:line="276" w:lineRule="auto"/>
        <w:ind w:left="340"/>
        <w:jc w:val="both"/>
        <w:rPr>
          <w:color w:val="000000"/>
        </w:rPr>
      </w:pPr>
      <w:r>
        <w:rPr>
          <w:color w:val="000000"/>
        </w:rPr>
        <w:t xml:space="preserve">Wyłączenie, o którym mowa w zdaniu pierwszym, nie dotyczy umów o podwykonawstwo o wartości większej niż 50.000 zł. </w:t>
      </w:r>
    </w:p>
    <w:p>
      <w:pPr>
        <w:keepNext w:val="0"/>
        <w:keepLines w:val="0"/>
        <w:pageBreakBefore w:val="0"/>
        <w:widowControl/>
        <w:numPr>
          <w:ilvl w:val="0"/>
          <w:numId w:val="11"/>
        </w:numPr>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przypadkach, o których mowa w ust. </w:t>
      </w:r>
      <w:r>
        <w:rPr>
          <w:rFonts w:hint="default"/>
          <w:color w:val="000000"/>
          <w:lang w:val="pl-PL"/>
        </w:rPr>
        <w:t>5</w:t>
      </w:r>
      <w:r>
        <w:rPr>
          <w:color w:val="000000"/>
        </w:rPr>
        <w:t xml:space="preserve"> i ust. </w:t>
      </w:r>
      <w:r>
        <w:rPr>
          <w:rFonts w:hint="default"/>
          <w:color w:val="000000"/>
          <w:lang w:val="pl-PL"/>
        </w:rPr>
        <w:t>6</w:t>
      </w:r>
      <w:r>
        <w:rPr>
          <w:color w:val="000000"/>
        </w:rPr>
        <w:t xml:space="preserve">, przedkładający może poświadczyć za zgodność </w:t>
      </w:r>
      <w:r>
        <w:rPr>
          <w:color w:val="000000"/>
        </w:rPr>
        <w:br w:type="textWrapping"/>
      </w:r>
      <w:r>
        <w:rPr>
          <w:color w:val="000000"/>
        </w:rPr>
        <w:t>z oryginałem kopię umowy o podwykonawstwo.</w:t>
      </w:r>
    </w:p>
    <w:p>
      <w:pPr>
        <w:keepNext w:val="0"/>
        <w:keepLines w:val="0"/>
        <w:pageBreakBefore w:val="0"/>
        <w:widowControl/>
        <w:numPr>
          <w:ilvl w:val="0"/>
          <w:numId w:val="11"/>
        </w:numPr>
        <w:tabs>
          <w:tab w:val="left" w:pos="342"/>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W przypadku, o którym mowa w ust. </w:t>
      </w:r>
      <w:r>
        <w:rPr>
          <w:rFonts w:hint="default"/>
          <w:color w:val="000000"/>
          <w:lang w:val="pl-PL"/>
        </w:rPr>
        <w:t>6</w:t>
      </w:r>
      <w:r>
        <w:rPr>
          <w:color w:val="000000"/>
        </w:rPr>
        <w:t xml:space="preserve">, podwykonawca lub dalszy podwykonawca, przedkłada poświadczoną za zgodność z oryginałem kopię umowy również Wykonawcy. </w:t>
      </w:r>
    </w:p>
    <w:p>
      <w:pPr>
        <w:keepNext w:val="0"/>
        <w:keepLines w:val="0"/>
        <w:pageBreakBefore w:val="0"/>
        <w:widowControl/>
        <w:numPr>
          <w:ilvl w:val="0"/>
          <w:numId w:val="11"/>
        </w:numPr>
        <w:tabs>
          <w:tab w:val="left" w:pos="342"/>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Umowy o podwykonawstwo, których przedmiotem będą roboty budowlane muszą zawierać </w:t>
      </w:r>
      <w:r>
        <w:rPr>
          <w:color w:val="000000"/>
        </w:rPr>
        <w:br w:type="textWrapping"/>
      </w:r>
      <w:r>
        <w:rPr>
          <w:color w:val="000000"/>
        </w:rPr>
        <w:t xml:space="preserve">w szczególności następujące postanowienia: </w:t>
      </w:r>
    </w:p>
    <w:p>
      <w:pPr>
        <w:numPr>
          <w:ilvl w:val="0"/>
          <w:numId w:val="13"/>
        </w:numPr>
        <w:tabs>
          <w:tab w:val="left" w:pos="675"/>
          <w:tab w:val="clear" w:pos="720"/>
        </w:tabs>
        <w:spacing w:line="276" w:lineRule="auto"/>
        <w:ind w:left="680" w:hanging="340"/>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pPr>
        <w:numPr>
          <w:ilvl w:val="0"/>
          <w:numId w:val="13"/>
        </w:numPr>
        <w:tabs>
          <w:tab w:val="left" w:pos="675"/>
          <w:tab w:val="clear" w:pos="720"/>
        </w:tabs>
        <w:spacing w:line="276" w:lineRule="auto"/>
        <w:ind w:left="680" w:hanging="340"/>
        <w:jc w:val="both"/>
        <w:rPr>
          <w:color w:val="000000"/>
        </w:rPr>
      </w:pPr>
      <w:r>
        <w:rPr>
          <w:color w:val="000000"/>
        </w:rPr>
        <w:t xml:space="preserve">że Zamawiający zapłaci bezpośrednio podwykonawcy kwotę należnego wynagrodzenia bez odsetek </w:t>
      </w:r>
      <w:r>
        <w:rPr>
          <w:color w:val="000000"/>
        </w:rPr>
        <w:br w:type="textWrapping"/>
      </w:r>
      <w:r>
        <w:rPr>
          <w:color w:val="000000"/>
        </w:rPr>
        <w:t>w przypadku uchylania się przez Wykonawcę od obowiązku zapłaty wymagalnego wynagrodzenia przysługującego podwykonawcy lub dalszemu podwykonawcy, którzy zawarli zaakceptowane przez Zamawiającego umowy o podwykonawstwo, których przedmiotem są roboty budowlane;</w:t>
      </w:r>
    </w:p>
    <w:p>
      <w:pPr>
        <w:numPr>
          <w:ilvl w:val="0"/>
          <w:numId w:val="13"/>
        </w:numPr>
        <w:tabs>
          <w:tab w:val="left" w:pos="675"/>
          <w:tab w:val="clear" w:pos="720"/>
        </w:tabs>
        <w:spacing w:line="276" w:lineRule="auto"/>
        <w:ind w:left="680" w:hanging="340"/>
        <w:jc w:val="both"/>
        <w:rPr>
          <w:color w:val="000000"/>
        </w:rPr>
      </w:pPr>
      <w:r>
        <w:rPr>
          <w:color w:val="000000"/>
        </w:rPr>
        <w:t>zakres robót (przedmiot umowy) musi zostać precyzyjnie określony, w sposób pozwalający Zamawiającemu na powiązanie zakresu robót w umowie o podwykonawstwo z zakresem robót określonym umową pomiędzy Zamawiającym a Wykonawcą;</w:t>
      </w:r>
    </w:p>
    <w:p>
      <w:pPr>
        <w:numPr>
          <w:ilvl w:val="0"/>
          <w:numId w:val="13"/>
        </w:numPr>
        <w:tabs>
          <w:tab w:val="left" w:pos="675"/>
          <w:tab w:val="clear" w:pos="720"/>
        </w:tabs>
        <w:spacing w:line="276" w:lineRule="auto"/>
        <w:ind w:left="680" w:hanging="340"/>
        <w:jc w:val="both"/>
        <w:rPr>
          <w:color w:val="000000"/>
        </w:rPr>
      </w:pPr>
      <w:r>
        <w:rPr>
          <w:color w:val="000000"/>
        </w:rPr>
        <w:t>wysokość wynagrodzenia za wykonanie danego zakresu robót i sposób jego rozliczania oraz zapłaty;</w:t>
      </w:r>
    </w:p>
    <w:p>
      <w:pPr>
        <w:numPr>
          <w:ilvl w:val="0"/>
          <w:numId w:val="13"/>
        </w:numPr>
        <w:tabs>
          <w:tab w:val="left" w:pos="675"/>
          <w:tab w:val="clear" w:pos="720"/>
        </w:tabs>
        <w:spacing w:line="276" w:lineRule="auto"/>
        <w:ind w:left="680" w:hanging="340"/>
        <w:jc w:val="both"/>
        <w:rPr>
          <w:color w:val="000000"/>
        </w:rPr>
      </w:pPr>
      <w:r>
        <w:rPr>
          <w:color w:val="000000"/>
        </w:rPr>
        <w:t>termin realizacji zakresu prac nimi objętych, przy czym termin ten nie może przekraczać terminu realizacji zamówienia określonego w umowie z Zamawiającym;</w:t>
      </w:r>
    </w:p>
    <w:p>
      <w:pPr>
        <w:numPr>
          <w:ilvl w:val="0"/>
          <w:numId w:val="13"/>
        </w:numPr>
        <w:tabs>
          <w:tab w:val="left" w:pos="675"/>
          <w:tab w:val="clear" w:pos="720"/>
        </w:tabs>
        <w:spacing w:line="276" w:lineRule="auto"/>
        <w:ind w:left="680" w:hanging="340"/>
        <w:jc w:val="both"/>
        <w:rPr>
          <w:color w:val="000000"/>
        </w:rPr>
      </w:pPr>
      <w:r>
        <w:rPr>
          <w:color w:val="000000"/>
        </w:rPr>
        <w:t xml:space="preserve">zasady odbioru prac; zakres robót odebrany bez uwag przez Zamawiającego uznaje się zgodnie </w:t>
      </w:r>
      <w:r>
        <w:rPr>
          <w:color w:val="000000"/>
        </w:rPr>
        <w:br w:type="textWrapping"/>
      </w:r>
      <w:r>
        <w:rPr>
          <w:color w:val="000000"/>
        </w:rPr>
        <w:t>z umową o podwykonawstwo, za odebrany przez Wykonawcę podwykonawcy.</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Umowa o podwykonawstwo nie może zawierać postanowień: </w:t>
      </w:r>
    </w:p>
    <w:p>
      <w:pPr>
        <w:numPr>
          <w:ilvl w:val="0"/>
          <w:numId w:val="14"/>
        </w:numPr>
        <w:tabs>
          <w:tab w:val="left" w:pos="679"/>
          <w:tab w:val="left" w:pos="681"/>
          <w:tab w:val="clear" w:pos="720"/>
        </w:tabs>
        <w:spacing w:line="276" w:lineRule="auto"/>
        <w:ind w:left="680" w:hanging="340"/>
        <w:jc w:val="both"/>
        <w:rPr>
          <w:color w:val="000000"/>
        </w:rPr>
      </w:pPr>
      <w:r>
        <w:rPr>
          <w:color w:val="000000"/>
        </w:rPr>
        <w:tab/>
      </w:r>
      <w:r>
        <w:rPr>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numPr>
          <w:ilvl w:val="0"/>
          <w:numId w:val="14"/>
        </w:numPr>
        <w:tabs>
          <w:tab w:val="left" w:pos="679"/>
          <w:tab w:val="left" w:pos="681"/>
          <w:tab w:val="clear" w:pos="720"/>
        </w:tabs>
        <w:spacing w:line="276" w:lineRule="auto"/>
        <w:ind w:left="680" w:hanging="340"/>
        <w:jc w:val="both"/>
        <w:rPr>
          <w:color w:val="000000"/>
        </w:rPr>
      </w:pPr>
      <w:r>
        <w:rPr>
          <w:color w:val="000000"/>
        </w:rPr>
        <w:t>uzależniających zwrot kwot zabezpieczenia przez Wykonawcę podwykonawcy, od zwrotu zabezpieczenia należytego wykonania umowy Wykonawcy przez Zamawiającego;</w:t>
      </w:r>
    </w:p>
    <w:p>
      <w:pPr>
        <w:numPr>
          <w:ilvl w:val="0"/>
          <w:numId w:val="14"/>
        </w:numPr>
        <w:tabs>
          <w:tab w:val="left" w:pos="679"/>
          <w:tab w:val="left" w:pos="681"/>
          <w:tab w:val="clear" w:pos="720"/>
        </w:tabs>
        <w:spacing w:line="276" w:lineRule="auto"/>
        <w:ind w:left="680" w:hanging="340"/>
        <w:jc w:val="both"/>
        <w:rPr>
          <w:color w:val="000000"/>
        </w:rPr>
      </w:pPr>
      <w:r>
        <w:rPr>
          <w:color w:val="000000"/>
        </w:rPr>
        <w:t>sprzecznych z postanowieniami umowy zawartej z Wykonawcą lub sprzecznych z obowiązującymi przepisami prawa.</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razie niespełnienia w projektach umów o podwykonawstwo, której przedmiotem są roboty budowlane wymagań określonych w ust. </w:t>
      </w:r>
      <w:r>
        <w:rPr>
          <w:rFonts w:hint="default"/>
          <w:color w:val="000000"/>
          <w:lang w:val="pl-PL"/>
        </w:rPr>
        <w:t>9</w:t>
      </w:r>
      <w:r>
        <w:rPr>
          <w:color w:val="000000"/>
        </w:rPr>
        <w:t>,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podwykonawstwo, którego przedmiotem są roboty budowlane.</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przypadku przedłożenia Zamawiającemu poświadczonej za zgodność z oryginałem kopii zawartej umowy o podwykonawstwo, której przedmiotem są roboty budowlane nie spełniającej wymagań Zamawiającego określonych w ust. </w:t>
      </w:r>
      <w:r>
        <w:rPr>
          <w:rFonts w:hint="default"/>
          <w:color w:val="000000"/>
          <w:lang w:val="pl-PL"/>
        </w:rPr>
        <w:t>9</w:t>
      </w:r>
      <w:r>
        <w:rPr>
          <w:color w:val="000000"/>
        </w:rPr>
        <w:t xml:space="preserve">, Zamawiający w terminie 14 dni od jej otrzymania zgłasza </w:t>
      </w:r>
      <w:r>
        <w:rPr>
          <w:color w:val="000000"/>
        </w:rPr>
        <w:br w:type="textWrapping"/>
      </w:r>
      <w:r>
        <w:rPr>
          <w:color w:val="000000"/>
        </w:rPr>
        <w:t xml:space="preserve">w formie pisemnej, pod rygorem nieważności sprzeciw do umowy. Wykonawca ma obowiązek uwzględnić wymagania Zamawiającego poprzez ich wprowadzenie do umowy. Nie zastosowanie się przez Wykonawcę do pisemnego sprzeciwu Zamawiającego oznacza brak akceptacji Zamawiającego dla umowy o podwykonawstwo, którego przedmiotem są roboty budowlane. </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poinformuje o tym Wykonawcę i wezwie go do doprowadzenia do zmiany tej umowy pod rygorem wystąpienia o zapłatę kary umownej.</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Zamawiający nie ponosi odpowiedzialności za zawarcie przez Wykonawcę umowy o podwykonawstwo bez wymaganej zgody Zamawiającego, skutki z tego wynikające będą obciążały wyłącznie Wykonawcę.</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przypadku wprowadzania zmian do umów o podwykonawstwo przepisy ust. </w:t>
      </w:r>
      <w:r>
        <w:rPr>
          <w:rFonts w:hint="default"/>
          <w:color w:val="000000"/>
          <w:lang w:val="pl-PL"/>
        </w:rPr>
        <w:t>2</w:t>
      </w:r>
      <w:r>
        <w:rPr>
          <w:color w:val="000000"/>
        </w:rPr>
        <w:t>-1</w:t>
      </w:r>
      <w:r>
        <w:rPr>
          <w:rFonts w:hint="default"/>
          <w:color w:val="000000"/>
          <w:lang w:val="pl-PL"/>
        </w:rPr>
        <w:t>5</w:t>
      </w:r>
      <w:r>
        <w:rPr>
          <w:color w:val="000000"/>
        </w:rPr>
        <w:t xml:space="preserve"> stosuje się odpowiednio.</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Przy zawarciu przez podwykonawcę umowy z dalszym podwykonawcą przepisy ust. 2-1</w:t>
      </w:r>
      <w:r>
        <w:rPr>
          <w:rFonts w:hint="default"/>
          <w:color w:val="000000"/>
          <w:lang w:val="pl-PL"/>
        </w:rPr>
        <w:t>5</w:t>
      </w:r>
      <w:r>
        <w:rPr>
          <w:color w:val="000000"/>
        </w:rPr>
        <w:t xml:space="preserve"> stosuje się odpowiednio.</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Zasady rozliczeń:</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warunkiem zapłaty przez Zamawiającego należnego wynagrodzenia za wykonany i odebrany element robót na podstawie złożonej faktury, jest dołączenie dowodów zapłaty podwykonawcom </w:t>
      </w:r>
      <w:r>
        <w:rPr>
          <w:color w:val="000000"/>
        </w:rPr>
        <w:br w:type="textWrapping"/>
      </w:r>
      <w:r>
        <w:rPr>
          <w:color w:val="000000"/>
        </w:rPr>
        <w:t>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kopią doręczonej faktury;</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nie 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color w:val="000000"/>
        </w:rPr>
        <w:br w:type="textWrapping"/>
      </w:r>
      <w:r>
        <w:rPr>
          <w:color w:val="000000"/>
        </w:rPr>
        <w:t>o podwykonawstwo, której przedmiotem są dostawy lub usługi;</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wypłata wynagrodzenia, o którym mowa w</w:t>
      </w:r>
      <w:r>
        <w:rPr>
          <w:color w:val="000000"/>
          <w:highlight w:val="none"/>
        </w:rPr>
        <w:t xml:space="preserve"> pkt. 4, </w:t>
      </w:r>
      <w:r>
        <w:rPr>
          <w:color w:val="000000"/>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bezpośrednia zapłata obejmuje wyłącznie należne wynagrodzenie, bez odsetek, należnych podwykonawcy lub dalszemu podwykonawcy;</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 </w:t>
      </w:r>
      <w:r>
        <w:rPr>
          <w:color w:val="000000"/>
        </w:rPr>
        <w:br w:type="textWrapping"/>
      </w:r>
      <w:r>
        <w:rPr>
          <w:color w:val="000000"/>
        </w:rPr>
        <w:t>w uwagach nie można powoływać się na potrącenie roszczeń Wykonawcy względem podwykonawcy niezwiązanych z realizacją umowy o podwykonawstwo;</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zgłoszenia uwag, o których mowa w pkt. 7 w terminie wskazanym przez Zamawiającego, Zamawiający może:</w:t>
      </w:r>
    </w:p>
    <w:p>
      <w:pPr>
        <w:keepNext w:val="0"/>
        <w:keepLines w:val="0"/>
        <w:pageBreakBefore w:val="0"/>
        <w:widowControl/>
        <w:numPr>
          <w:ilvl w:val="0"/>
          <w:numId w:val="16"/>
        </w:numPr>
        <w:kinsoku/>
        <w:wordWrap/>
        <w:overflowPunct/>
        <w:topLinePunct w:val="0"/>
        <w:autoSpaceDE/>
        <w:autoSpaceDN/>
        <w:bidi w:val="0"/>
        <w:adjustRightInd/>
        <w:snapToGrid/>
        <w:spacing w:line="240" w:lineRule="auto"/>
        <w:ind w:left="1020" w:hanging="340"/>
        <w:jc w:val="both"/>
        <w:textAlignment w:val="auto"/>
        <w:rPr>
          <w:color w:val="000000"/>
        </w:rPr>
      </w:pPr>
      <w:r>
        <w:rPr>
          <w:color w:val="000000"/>
        </w:rPr>
        <w:t xml:space="preserve">nie dokonać bezpośredniej zapłaty wynagrodzenia podwykonawcy lub dalszemu podwykonawcy, jeżeli Wykonawca wykaże niezasadność takiej zapłaty, </w:t>
      </w:r>
      <w:r>
        <w:rPr>
          <w:rFonts w:hint="default"/>
          <w:color w:val="000000"/>
          <w:lang w:val="pl-PL"/>
        </w:rPr>
        <w:t>albo</w:t>
      </w:r>
    </w:p>
    <w:p>
      <w:pPr>
        <w:keepNext w:val="0"/>
        <w:keepLines w:val="0"/>
        <w:pageBreakBefore w:val="0"/>
        <w:widowControl/>
        <w:numPr>
          <w:ilvl w:val="0"/>
          <w:numId w:val="16"/>
        </w:numPr>
        <w:kinsoku/>
        <w:wordWrap/>
        <w:overflowPunct/>
        <w:topLinePunct w:val="0"/>
        <w:autoSpaceDE/>
        <w:autoSpaceDN/>
        <w:bidi w:val="0"/>
        <w:adjustRightInd/>
        <w:snapToGrid/>
        <w:spacing w:before="181" w:beforeLines="50" w:line="240" w:lineRule="auto"/>
        <w:ind w:left="1020" w:hanging="340"/>
        <w:jc w:val="both"/>
        <w:textAlignment w:val="auto"/>
        <w:rPr>
          <w:color w:val="000000"/>
        </w:rPr>
      </w:pPr>
      <w:r>
        <w:rPr>
          <w:color w:val="00000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Pr>
          <w:rFonts w:hint="default"/>
          <w:color w:val="000000"/>
          <w:lang w:val="pl-PL"/>
        </w:rPr>
        <w:t>albo</w:t>
      </w:r>
    </w:p>
    <w:p>
      <w:pPr>
        <w:keepNext w:val="0"/>
        <w:keepLines w:val="0"/>
        <w:pageBreakBefore w:val="0"/>
        <w:widowControl/>
        <w:numPr>
          <w:ilvl w:val="0"/>
          <w:numId w:val="16"/>
        </w:numPr>
        <w:kinsoku/>
        <w:wordWrap/>
        <w:overflowPunct/>
        <w:topLinePunct w:val="0"/>
        <w:autoSpaceDE/>
        <w:autoSpaceDN/>
        <w:bidi w:val="0"/>
        <w:adjustRightInd/>
        <w:snapToGrid/>
        <w:spacing w:before="181" w:beforeLines="50" w:line="240" w:lineRule="auto"/>
        <w:ind w:left="1020" w:hanging="340"/>
        <w:jc w:val="both"/>
        <w:textAlignment w:val="auto"/>
        <w:rPr>
          <w:color w:val="000000"/>
        </w:rPr>
      </w:pPr>
      <w:r>
        <w:rPr>
          <w:color w:val="000000"/>
        </w:rPr>
        <w:t>dokonać bezpośredniej zapłaty wynagrodzenia podwykonawcy lub dalszemu podwykonawcy jeżeli podwykonawca lub dalszy podwykonawca wykaże zasadność takiej zapłaty;</w:t>
      </w:r>
    </w:p>
    <w:p>
      <w:pPr>
        <w:keepNext w:val="0"/>
        <w:keepLines w:val="0"/>
        <w:pageBreakBefore w:val="0"/>
        <w:widowControl/>
        <w:numPr>
          <w:ilvl w:val="0"/>
          <w:numId w:val="17"/>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pPr>
        <w:keepNext w:val="0"/>
        <w:keepLines w:val="0"/>
        <w:pageBreakBefore w:val="0"/>
        <w:widowControl/>
        <w:numPr>
          <w:ilvl w:val="0"/>
          <w:numId w:val="17"/>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Pr>
          <w:color w:val="000000"/>
        </w:rPr>
        <w:br w:type="textWrapping"/>
      </w:r>
      <w:r>
        <w:rPr>
          <w:color w:val="000000"/>
        </w:rPr>
        <w:t>w sprawie zamówienia publicznego przez Zamawiającego;</w:t>
      </w:r>
    </w:p>
    <w:p>
      <w:pPr>
        <w:keepNext w:val="0"/>
        <w:keepLines w:val="0"/>
        <w:pageBreakBefore w:val="0"/>
        <w:widowControl/>
        <w:numPr>
          <w:ilvl w:val="0"/>
          <w:numId w:val="17"/>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przy zawarciu przez podwykonawcę umowy z dalszym podwykonawcą przepisy</w:t>
      </w:r>
      <w:r>
        <w:rPr>
          <w:rFonts w:hint="default"/>
          <w:color w:val="000000"/>
          <w:lang w:val="pl-PL"/>
        </w:rPr>
        <w:t xml:space="preserve"> ust.18 </w:t>
      </w:r>
      <w:r>
        <w:rPr>
          <w:color w:val="000000"/>
        </w:rPr>
        <w:t xml:space="preserve">pkt. </w:t>
      </w:r>
      <w:r>
        <w:rPr>
          <w:rFonts w:hint="default"/>
          <w:color w:val="000000"/>
          <w:lang w:val="pl-PL"/>
        </w:rPr>
        <w:t>1</w:t>
      </w:r>
      <w:r>
        <w:rPr>
          <w:color w:val="000000"/>
        </w:rPr>
        <w:t>-1</w:t>
      </w:r>
      <w:r>
        <w:rPr>
          <w:rFonts w:hint="default"/>
          <w:color w:val="000000"/>
          <w:lang w:val="pl-PL"/>
        </w:rPr>
        <w:t>0</w:t>
      </w:r>
      <w:r>
        <w:rPr>
          <w:color w:val="000000"/>
        </w:rPr>
        <w:t xml:space="preserve"> stosuje się odpowiednio.</w:t>
      </w:r>
    </w:p>
    <w:p>
      <w:pPr>
        <w:keepNext w:val="0"/>
        <w:keepLines w:val="0"/>
        <w:pageBreakBefore w:val="0"/>
        <w:widowControl/>
        <w:numPr>
          <w:ilvl w:val="0"/>
          <w:numId w:val="11"/>
        </w:numPr>
        <w:tabs>
          <w:tab w:val="left" w:pos="335"/>
          <w:tab w:val="left" w:pos="338"/>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pPr>
        <w:keepNext w:val="0"/>
        <w:keepLines w:val="0"/>
        <w:pageBreakBefore w:val="0"/>
        <w:widowControl/>
        <w:numPr>
          <w:ilvl w:val="0"/>
          <w:numId w:val="11"/>
        </w:numPr>
        <w:tabs>
          <w:tab w:val="left" w:pos="335"/>
          <w:tab w:val="left" w:pos="338"/>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bCs/>
          <w:color w:val="000000"/>
        </w:rPr>
      </w:pPr>
      <w:r>
        <w:rPr>
          <w:bCs/>
          <w:color w:val="000000"/>
        </w:rPr>
        <w:t>Zamawiający nie zastrzega obowiązku osobistego wykonywania zamówienia przez Wykonawcę kluczowych części zamówienia stanowiących przedmiot zamówienia.</w:t>
      </w:r>
    </w:p>
    <w:p>
      <w:pPr>
        <w:tabs>
          <w:tab w:val="left" w:pos="335"/>
        </w:tabs>
        <w:spacing w:line="276" w:lineRule="auto"/>
        <w:ind w:left="720"/>
        <w:jc w:val="both"/>
        <w:rPr>
          <w:color w:val="000000"/>
        </w:rPr>
      </w:pPr>
    </w:p>
    <w:p>
      <w:pPr>
        <w:tabs>
          <w:tab w:val="left" w:pos="335"/>
        </w:tabs>
        <w:spacing w:line="276" w:lineRule="auto"/>
        <w:ind w:left="720"/>
        <w:jc w:val="both"/>
        <w:rPr>
          <w:color w:val="000000"/>
        </w:rPr>
      </w:pPr>
    </w:p>
    <w:p>
      <w:pPr>
        <w:spacing w:line="276" w:lineRule="auto"/>
        <w:jc w:val="center"/>
        <w:rPr>
          <w:b/>
          <w:color w:val="000000"/>
        </w:rPr>
      </w:pPr>
      <w:r>
        <w:rPr>
          <w:b/>
          <w:color w:val="000000"/>
        </w:rPr>
        <w:t>§</w:t>
      </w:r>
      <w:r>
        <w:rPr>
          <w:rFonts w:hint="default"/>
          <w:b/>
          <w:color w:val="000000"/>
          <w:lang w:val="pl-PL"/>
        </w:rPr>
        <w:t>7</w:t>
      </w:r>
    </w:p>
    <w:p>
      <w:pPr>
        <w:spacing w:line="276" w:lineRule="auto"/>
        <w:jc w:val="center"/>
        <w:rPr>
          <w:color w:val="000000"/>
        </w:rPr>
      </w:pPr>
      <w:r>
        <w:rPr>
          <w:b/>
          <w:color w:val="000000"/>
        </w:rPr>
        <w:t>Wynagrodzenie</w:t>
      </w:r>
    </w:p>
    <w:p>
      <w:pPr>
        <w:keepNext w:val="0"/>
        <w:keepLines w:val="0"/>
        <w:pageBreakBefore w:val="0"/>
        <w:widowControl/>
        <w:numPr>
          <w:ilvl w:val="0"/>
          <w:numId w:val="1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Za wykonane roboty Zamawiający zapłaci Wykonawcy </w:t>
      </w:r>
      <w:r>
        <w:rPr>
          <w:color w:val="000000"/>
          <w:highlight w:val="none"/>
        </w:rPr>
        <w:t>wynagrodzenie ryczałtowe o</w:t>
      </w:r>
      <w:r>
        <w:rPr>
          <w:color w:val="000000"/>
        </w:rPr>
        <w:t>kreślone w formularzu oferty, stanowiącym załącznik nr 1 do niniejszej umowy ustalone na kwotę w wysokości</w:t>
      </w:r>
      <w:r>
        <w:rPr>
          <w:rFonts w:hint="default"/>
          <w:color w:val="000000"/>
          <w:lang w:val="pl-PL"/>
        </w:rPr>
        <w:t xml:space="preserve"> </w:t>
      </w:r>
      <w:r>
        <w:rPr>
          <w:color w:val="000000"/>
        </w:rPr>
        <w:t>..............................</w:t>
      </w:r>
      <w:r>
        <w:rPr>
          <w:rFonts w:hint="default"/>
          <w:color w:val="000000"/>
          <w:lang w:val="pl-PL"/>
        </w:rPr>
        <w:t xml:space="preserve"> z</w:t>
      </w:r>
      <w:r>
        <w:rPr>
          <w:color w:val="000000"/>
        </w:rPr>
        <w:t xml:space="preserve">ł brutto </w:t>
      </w:r>
      <w:r>
        <w:rPr>
          <w:rFonts w:hint="default"/>
          <w:color w:val="000000"/>
          <w:lang w:val="pl-PL"/>
        </w:rPr>
        <w:t>(słownie: ................................) w tym</w:t>
      </w:r>
      <w:r>
        <w:rPr>
          <w:color w:val="000000"/>
        </w:rPr>
        <w:t xml:space="preserve">  podat</w:t>
      </w:r>
      <w:r>
        <w:rPr>
          <w:rFonts w:hint="default"/>
          <w:color w:val="000000"/>
          <w:lang w:val="pl-PL"/>
        </w:rPr>
        <w:t>e</w:t>
      </w:r>
      <w:r>
        <w:rPr>
          <w:color w:val="000000"/>
        </w:rPr>
        <w:t>k</w:t>
      </w:r>
      <w:r>
        <w:rPr>
          <w:rFonts w:hint="default"/>
          <w:color w:val="000000"/>
          <w:lang w:val="pl-PL"/>
        </w:rPr>
        <w:t xml:space="preserve"> </w:t>
      </w:r>
      <w:r>
        <w:rPr>
          <w:color w:val="000000"/>
        </w:rPr>
        <w:t>VAT.</w:t>
      </w:r>
    </w:p>
    <w:p>
      <w:pPr>
        <w:keepNext w:val="0"/>
        <w:keepLines w:val="0"/>
        <w:pageBreakBefore w:val="0"/>
        <w:widowControl/>
        <w:numPr>
          <w:ilvl w:val="0"/>
          <w:numId w:val="1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Kwota wymieniona w ust. 1 zawiera wszystkie koszty związane z realizacją robót objętych dokumentacją wykonawczą.</w:t>
      </w:r>
    </w:p>
    <w:p>
      <w:pPr>
        <w:keepNext w:val="0"/>
        <w:keepLines w:val="0"/>
        <w:pageBreakBefore w:val="0"/>
        <w:widowControl/>
        <w:numPr>
          <w:ilvl w:val="0"/>
          <w:numId w:val="1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color w:val="000000"/>
        </w:rPr>
      </w:pPr>
      <w:r>
        <w:rPr>
          <w:rFonts w:hint="default"/>
          <w:color w:val="000000"/>
          <w:lang w:val="pl-PL"/>
        </w:rPr>
        <w:t>W</w:t>
      </w:r>
      <w:r>
        <w:rPr>
          <w:rFonts w:hint="default"/>
          <w:color w:val="000000"/>
        </w:rPr>
        <w:t xml:space="preserve">ykonawca oświadcza, że obliczając zaoferowaną cenę z podatkiem VAT, zwłaszcza stosownie do zastrzeżeń umownych, o których mowa w rozdziale </w:t>
      </w:r>
      <w:r>
        <w:rPr>
          <w:rFonts w:hint="default"/>
          <w:color w:val="000000"/>
          <w:lang w:val="pl-PL"/>
        </w:rPr>
        <w:t>XIII IDW</w:t>
      </w:r>
      <w:r>
        <w:rPr>
          <w:rFonts w:hint="default"/>
          <w:color w:val="000000"/>
        </w:rPr>
        <w:t>, szczegółowo zapoznał się z SWZ i sprawdził podstawę obliczenia ceny oraz uzyskał wszelkie informacje konieczne i przydatne do przygotowania oferty i wykonania Umowy, tj. wykorzystał wszystkie środki mające na celu rzetelne ustalenie ceny za wykonanie Umowy.</w:t>
      </w:r>
    </w:p>
    <w:p>
      <w:pPr>
        <w:keepNext w:val="0"/>
        <w:keepLines w:val="0"/>
        <w:pageBreakBefore w:val="0"/>
        <w:widowControl/>
        <w:numPr>
          <w:ilvl w:val="0"/>
          <w:numId w:val="1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Niedoszacowanie, pominięcie oraz brak rozpoznania zakresu przedmiotu umowy nie może być podstawą do żądania zmiany wynagrodzenia ryczałtowego określonego w ust. 1.</w:t>
      </w:r>
    </w:p>
    <w:p>
      <w:pPr>
        <w:keepNext w:val="0"/>
        <w:keepLines w:val="0"/>
        <w:pageBreakBefore w:val="0"/>
        <w:widowControl/>
        <w:numPr>
          <w:ilvl w:val="0"/>
          <w:numId w:val="1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Kosztorys ofertowy, który stanowił postawę wyliczenia ceny oferowanej wraz z podanymi cenami jednostkowymi oraz czynnikami cenotwórczymi, stanowi załącznik nr 2 do niniejszej umowy.</w:t>
      </w:r>
    </w:p>
    <w:p>
      <w:pPr>
        <w:pStyle w:val="3"/>
        <w:spacing w:line="276" w:lineRule="auto"/>
        <w:ind w:left="0"/>
        <w:rPr>
          <w:color w:val="000000"/>
        </w:rPr>
      </w:pPr>
    </w:p>
    <w:p>
      <w:pPr>
        <w:pStyle w:val="3"/>
        <w:spacing w:line="276" w:lineRule="auto"/>
        <w:ind w:left="0"/>
        <w:rPr>
          <w:color w:val="000000"/>
        </w:rPr>
      </w:pPr>
    </w:p>
    <w:p>
      <w:pPr>
        <w:spacing w:line="276" w:lineRule="auto"/>
        <w:jc w:val="center"/>
      </w:pPr>
      <w:r>
        <w:rPr>
          <w:b/>
          <w:color w:val="000000"/>
        </w:rPr>
        <w:t>§</w:t>
      </w:r>
      <w:r>
        <w:rPr>
          <w:rFonts w:hint="default"/>
          <w:b/>
          <w:color w:val="000000"/>
          <w:lang w:val="pl-PL"/>
        </w:rPr>
        <w:t>8</w:t>
      </w:r>
    </w:p>
    <w:p>
      <w:pPr>
        <w:spacing w:line="276" w:lineRule="auto"/>
        <w:jc w:val="center"/>
      </w:pPr>
      <w:r>
        <w:rPr>
          <w:b/>
          <w:color w:val="000000"/>
        </w:rPr>
        <w:t>Warunki płatności</w:t>
      </w:r>
    </w:p>
    <w:p>
      <w:pPr>
        <w:keepNext w:val="0"/>
        <w:keepLines w:val="0"/>
        <w:pageBreakBefore w:val="0"/>
        <w:widowControl/>
        <w:numPr>
          <w:ilvl w:val="0"/>
          <w:numId w:val="19"/>
        </w:numPr>
        <w:tabs>
          <w:tab w:val="left" w:pos="335"/>
          <w:tab w:val="clear" w:pos="720"/>
        </w:tabs>
        <w:kinsoku/>
        <w:wordWrap/>
        <w:topLinePunct w:val="0"/>
        <w:autoSpaceDE/>
        <w:autoSpaceDN/>
        <w:bidi w:val="0"/>
        <w:adjustRightInd/>
        <w:snapToGrid/>
        <w:spacing w:before="181" w:beforeLines="50" w:line="240" w:lineRule="auto"/>
        <w:ind w:left="340" w:hanging="340"/>
        <w:jc w:val="both"/>
        <w:textAlignment w:val="auto"/>
        <w:rPr>
          <w:color w:val="000000"/>
        </w:rPr>
      </w:pPr>
      <w:r>
        <w:rPr>
          <w:color w:val="000000"/>
        </w:rPr>
        <w:t>Strony ustalają, że rozliczenie robót odbędzie się na podstawie faktury końcowej, którą wystawi Wykonawca po zakończeniu wszystkich prac i odbiorze robót protokołem końcowym podpisanym bez zastrzeżeń przez Strony.</w:t>
      </w:r>
    </w:p>
    <w:p>
      <w:pPr>
        <w:keepNext w:val="0"/>
        <w:keepLines w:val="0"/>
        <w:pageBreakBefore w:val="0"/>
        <w:widowControl/>
        <w:numPr>
          <w:ilvl w:val="0"/>
          <w:numId w:val="19"/>
        </w:numPr>
        <w:tabs>
          <w:tab w:val="left" w:pos="335"/>
          <w:tab w:val="clear" w:pos="720"/>
        </w:tabs>
        <w:kinsoku/>
        <w:wordWrap/>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rzeczowo-finansowego realizacji przedsięwzięcia.</w:t>
      </w:r>
    </w:p>
    <w:p>
      <w:pPr>
        <w:keepNext w:val="0"/>
        <w:keepLines w:val="0"/>
        <w:pageBreakBefore w:val="0"/>
        <w:widowControl/>
        <w:numPr>
          <w:ilvl w:val="0"/>
          <w:numId w:val="19"/>
        </w:numPr>
        <w:tabs>
          <w:tab w:val="left" w:pos="335"/>
          <w:tab w:val="clear" w:pos="720"/>
        </w:tabs>
        <w:kinsoku/>
        <w:wordWrap/>
        <w:topLinePunct w:val="0"/>
        <w:autoSpaceDE/>
        <w:autoSpaceDN/>
        <w:bidi w:val="0"/>
        <w:adjustRightInd/>
        <w:snapToGrid/>
        <w:spacing w:before="181" w:beforeLines="50" w:line="240" w:lineRule="auto"/>
        <w:ind w:left="340" w:hanging="340"/>
        <w:jc w:val="both"/>
        <w:textAlignment w:val="auto"/>
        <w:rPr>
          <w:color w:val="000000"/>
        </w:rPr>
      </w:pPr>
      <w:r>
        <w:rPr>
          <w:color w:val="000000"/>
        </w:rPr>
        <w:t>Faktury częściowe wystawione będą po wykonaniu i odebraniu przez Inspektora Nadzoru                                      z przedstawicielem Zamawiającego zrealizowanych robót budowlanych na podstawie protokołu częściowego odbioru robót.</w:t>
      </w:r>
    </w:p>
    <w:p>
      <w:pPr>
        <w:keepNext w:val="0"/>
        <w:keepLines w:val="0"/>
        <w:pageBreakBefore w:val="0"/>
        <w:widowControl/>
        <w:numPr>
          <w:ilvl w:val="0"/>
          <w:numId w:val="19"/>
        </w:numPr>
        <w:tabs>
          <w:tab w:val="left" w:pos="335"/>
          <w:tab w:val="clear" w:pos="720"/>
        </w:tabs>
        <w:kinsoku/>
        <w:wordWrap/>
        <w:topLinePunct w:val="0"/>
        <w:autoSpaceDE/>
        <w:autoSpaceDN/>
        <w:bidi w:val="0"/>
        <w:adjustRightInd/>
        <w:snapToGrid/>
        <w:spacing w:before="181" w:beforeLines="50" w:line="240" w:lineRule="auto"/>
        <w:ind w:left="340" w:hanging="340"/>
        <w:jc w:val="both"/>
        <w:textAlignment w:val="auto"/>
      </w:pPr>
      <w:r>
        <w:rPr>
          <w:color w:val="000000"/>
        </w:rPr>
        <w:t>Wykonawca zobowiązuje się do wystawienia faktur w terminie do 10 dni od daty odbioru przedmiotu umowy lub jego części.</w:t>
      </w:r>
    </w:p>
    <w:p>
      <w:pPr>
        <w:keepNext w:val="0"/>
        <w:keepLines w:val="0"/>
        <w:pageBreakBefore w:val="0"/>
        <w:widowControl/>
        <w:numPr>
          <w:ilvl w:val="0"/>
          <w:numId w:val="19"/>
        </w:numPr>
        <w:tabs>
          <w:tab w:val="left" w:pos="335"/>
          <w:tab w:val="clear" w:pos="720"/>
        </w:tabs>
        <w:kinsoku/>
        <w:wordWrap/>
        <w:overflowPunct w:val="0"/>
        <w:topLinePunct w:val="0"/>
        <w:autoSpaceDE/>
        <w:autoSpaceDN/>
        <w:bidi w:val="0"/>
        <w:adjustRightInd/>
        <w:snapToGrid/>
        <w:spacing w:before="181" w:beforeLines="50" w:line="240" w:lineRule="auto"/>
        <w:ind w:left="340" w:hanging="340"/>
        <w:jc w:val="both"/>
        <w:textAlignment w:val="auto"/>
      </w:pPr>
      <w:r>
        <w:rPr>
          <w:color w:val="000000"/>
        </w:rPr>
        <w:t>Należność za wykonane prace płatna będzie przelewem na konto Wykonawcy wskazane w fakturze końcowej, w terminie do 30 dni od daty dostarczenia Zamawiającemu prawidłowo wystawionej faktury.</w:t>
      </w:r>
    </w:p>
    <w:p>
      <w:pPr>
        <w:keepNext w:val="0"/>
        <w:keepLines w:val="0"/>
        <w:pageBreakBefore w:val="0"/>
        <w:widowControl/>
        <w:numPr>
          <w:ilvl w:val="0"/>
          <w:numId w:val="19"/>
        </w:numPr>
        <w:tabs>
          <w:tab w:val="left" w:pos="335"/>
          <w:tab w:val="clear" w:pos="720"/>
        </w:tabs>
        <w:kinsoku/>
        <w:wordWrap/>
        <w:overflowPunct w:val="0"/>
        <w:topLinePunct w:val="0"/>
        <w:autoSpaceDE/>
        <w:autoSpaceDN/>
        <w:bidi w:val="0"/>
        <w:adjustRightInd/>
        <w:snapToGrid/>
        <w:spacing w:before="181" w:beforeLines="50" w:line="240" w:lineRule="auto"/>
        <w:ind w:left="340" w:hanging="340"/>
        <w:jc w:val="both"/>
        <w:textAlignment w:val="auto"/>
      </w:pPr>
      <w:r>
        <w:rPr>
          <w:color w:val="000000"/>
        </w:rPr>
        <w:t>Faktura wystawiona bezpodstawnie lub nieprawidłowo zostanie zwrócona Wykonawcy.</w:t>
      </w:r>
    </w:p>
    <w:p>
      <w:pPr>
        <w:keepNext w:val="0"/>
        <w:keepLines w:val="0"/>
        <w:pageBreakBefore w:val="0"/>
        <w:widowControl/>
        <w:numPr>
          <w:ilvl w:val="0"/>
          <w:numId w:val="19"/>
        </w:numPr>
        <w:tabs>
          <w:tab w:val="left" w:pos="335"/>
          <w:tab w:val="clear" w:pos="720"/>
        </w:tabs>
        <w:suppressAutoHyphens w:val="0"/>
        <w:kinsoku/>
        <w:wordWrap/>
        <w:overflowPunct w:val="0"/>
        <w:topLinePunct w:val="0"/>
        <w:autoSpaceDE/>
        <w:autoSpaceDN/>
        <w:bidi w:val="0"/>
        <w:adjustRightInd/>
        <w:snapToGrid/>
        <w:spacing w:before="181" w:beforeLines="50" w:line="240" w:lineRule="auto"/>
        <w:ind w:left="340" w:hanging="340"/>
        <w:jc w:val="both"/>
        <w:textAlignment w:val="auto"/>
        <w:rPr>
          <w:color w:val="000000"/>
        </w:rPr>
      </w:pPr>
      <w:r>
        <w:rPr>
          <w:color w:val="000000"/>
        </w:rPr>
        <w:t>Warunkiem zapłaty przez Zamawiającego należnego wynagrodzenia za odebrane roboty budowlane jest przedstawienie dowodów zapłaty wymagalnego wynagrodzenia podwykonawcom i dalszym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kopię doręczonej faktury.</w:t>
      </w:r>
    </w:p>
    <w:p>
      <w:pPr>
        <w:keepNext w:val="0"/>
        <w:keepLines w:val="0"/>
        <w:pageBreakBefore w:val="0"/>
        <w:widowControl/>
        <w:numPr>
          <w:ilvl w:val="0"/>
          <w:numId w:val="19"/>
        </w:numPr>
        <w:tabs>
          <w:tab w:val="left" w:pos="335"/>
          <w:tab w:val="clear" w:pos="720"/>
        </w:tabs>
        <w:suppressAutoHyphens w:val="0"/>
        <w:kinsoku/>
        <w:wordWrap/>
        <w:overflowPunct w:val="0"/>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nieprzedstawienia przez Wykonawcę wszystkich dowodów zapłaty, o których mowa w ust. 7, wstrzymuje się wypłatę należnego wynagrodzenia za odebrane roboty budowlane w części równej sumie kwot wynikających z nieprzedstawionych dowodów zapłaty.</w:t>
      </w:r>
    </w:p>
    <w:p>
      <w:pPr>
        <w:keepNext w:val="0"/>
        <w:keepLines w:val="0"/>
        <w:pageBreakBefore w:val="0"/>
        <w:widowControl/>
        <w:numPr>
          <w:ilvl w:val="0"/>
          <w:numId w:val="19"/>
        </w:numPr>
        <w:tabs>
          <w:tab w:val="left" w:pos="335"/>
          <w:tab w:val="clear" w:pos="720"/>
        </w:tabs>
        <w:suppressAutoHyphens w:val="0"/>
        <w:kinsoku/>
        <w:wordWrap/>
        <w:overflowPunct w:val="0"/>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dopuszcza możliwość wystawienia faktur w formie elektronicznej i przekazywania na adres e-mail: um@nowystaw.pl.</w:t>
      </w:r>
    </w:p>
    <w:p>
      <w:pPr>
        <w:keepNext w:val="0"/>
        <w:keepLines w:val="0"/>
        <w:pageBreakBefore w:val="0"/>
        <w:widowControl/>
        <w:numPr>
          <w:ilvl w:val="0"/>
          <w:numId w:val="19"/>
        </w:numPr>
        <w:tabs>
          <w:tab w:val="left" w:pos="335"/>
          <w:tab w:val="clear" w:pos="720"/>
        </w:tabs>
        <w:suppressAutoHyphens w:val="0"/>
        <w:kinsoku/>
        <w:wordWrap/>
        <w:overflowPunct w:val="0"/>
        <w:topLinePunct w:val="0"/>
        <w:autoSpaceDE/>
        <w:autoSpaceDN/>
        <w:bidi w:val="0"/>
        <w:adjustRightInd/>
        <w:snapToGrid/>
        <w:spacing w:before="181" w:beforeLines="50" w:line="240" w:lineRule="auto"/>
        <w:ind w:left="340" w:hanging="340"/>
        <w:jc w:val="both"/>
        <w:textAlignment w:val="auto"/>
        <w:rPr>
          <w:color w:val="000000"/>
        </w:rPr>
      </w:pPr>
      <w:r>
        <w:rPr>
          <w:color w:val="000000"/>
        </w:rPr>
        <w:t>Termin zapłaty uważa się za dotrzymany przez Zamawiającego, jeśli konto bankowe Zamawiającego                    zostanie obciążone kwotą należną Wykonawcy najpóźniej w ostatnim dniu terminu płatności.</w:t>
      </w:r>
    </w:p>
    <w:p>
      <w:pPr>
        <w:keepNext w:val="0"/>
        <w:keepLines w:val="0"/>
        <w:pageBreakBefore w:val="0"/>
        <w:widowControl/>
        <w:numPr>
          <w:ilvl w:val="0"/>
          <w:numId w:val="19"/>
        </w:numPr>
        <w:tabs>
          <w:tab w:val="left" w:pos="335"/>
          <w:tab w:val="clear" w:pos="720"/>
        </w:tabs>
        <w:suppressAutoHyphens w:val="0"/>
        <w:kinsoku/>
        <w:wordWrap/>
        <w:topLinePunct w:val="0"/>
        <w:autoSpaceDE/>
        <w:autoSpaceDN/>
        <w:bidi w:val="0"/>
        <w:adjustRightInd/>
        <w:snapToGrid/>
        <w:spacing w:before="181" w:beforeLines="50" w:line="240" w:lineRule="auto"/>
        <w:ind w:left="340" w:hanging="340"/>
        <w:jc w:val="both"/>
        <w:textAlignment w:val="auto"/>
        <w:rPr>
          <w:b/>
          <w:color w:val="000000"/>
        </w:rPr>
      </w:pPr>
      <w:r>
        <w:rPr>
          <w:color w:val="000000"/>
        </w:rPr>
        <w:t>Zamawiający nie przewiduje udzielania Wykonawcy zaliczki ani zadatku.</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9</w:t>
      </w:r>
    </w:p>
    <w:p>
      <w:pPr>
        <w:spacing w:line="276" w:lineRule="auto"/>
        <w:jc w:val="center"/>
        <w:rPr>
          <w:color w:val="000000"/>
        </w:rPr>
      </w:pPr>
      <w:r>
        <w:rPr>
          <w:b/>
          <w:color w:val="000000"/>
        </w:rPr>
        <w:t>Odbiory</w:t>
      </w:r>
    </w:p>
    <w:p>
      <w:pPr>
        <w:keepNext w:val="0"/>
        <w:keepLines w:val="0"/>
        <w:pageBreakBefore w:val="0"/>
        <w:widowControl/>
        <w:numPr>
          <w:ilvl w:val="0"/>
          <w:numId w:val="2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będzie dokonywał następujących odbiorów robót:</w:t>
      </w:r>
    </w:p>
    <w:p>
      <w:pPr>
        <w:keepNext w:val="0"/>
        <w:keepLines w:val="0"/>
        <w:pageBreakBefore w:val="0"/>
        <w:widowControl/>
        <w:numPr>
          <w:ilvl w:val="0"/>
          <w:numId w:val="21"/>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odbiory robót zanikających i ulegających zakryciu,</w:t>
      </w:r>
    </w:p>
    <w:p>
      <w:pPr>
        <w:keepNext w:val="0"/>
        <w:keepLines w:val="0"/>
        <w:pageBreakBefore w:val="0"/>
        <w:widowControl/>
        <w:numPr>
          <w:ilvl w:val="0"/>
          <w:numId w:val="21"/>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odbiory częściowe,</w:t>
      </w:r>
    </w:p>
    <w:p>
      <w:pPr>
        <w:keepNext w:val="0"/>
        <w:keepLines w:val="0"/>
        <w:pageBreakBefore w:val="0"/>
        <w:widowControl/>
        <w:numPr>
          <w:ilvl w:val="0"/>
          <w:numId w:val="21"/>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odbiór końcowy robót,</w:t>
      </w:r>
    </w:p>
    <w:p>
      <w:pPr>
        <w:keepNext w:val="0"/>
        <w:keepLines w:val="0"/>
        <w:pageBreakBefore w:val="0"/>
        <w:widowControl/>
        <w:numPr>
          <w:ilvl w:val="0"/>
          <w:numId w:val="21"/>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odbiór końcowy,</w:t>
      </w:r>
    </w:p>
    <w:p>
      <w:pPr>
        <w:keepNext w:val="0"/>
        <w:keepLines w:val="0"/>
        <w:pageBreakBefore w:val="0"/>
        <w:widowControl/>
        <w:numPr>
          <w:ilvl w:val="0"/>
          <w:numId w:val="21"/>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odbiór pogwarancyjny.</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dziennika budowy i jednoczesnym powiadomieniem Inspektora Nadzoru, z odpowiednim wyprzedzeniem (najpóźniej w terminie 2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częściowy polega na ocenie ilości i jakości wykonywanych części robót. Odbioru częściowego dokonuje Inspektor Nadzoru wraz z przedstawicielem Zamawiającego. Wykonawca winien zgłaszać gotowość do odbiorów, o których mowa wyżej, wpisem do dziennika budowy i jednoczesnym powiadomieniem Inspektora Nadzoru z odpowiednim wyprzedzeniem umożliwiającym podjęcie odpowiednich działań. Odbiór nastąpi w terminie do 3 dni roboczych od daty zgłoszenia gotowości do odbioru przez Wykonawcę.</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Odbiór końcowy robót polega na finalnej ocenie rzeczywistego wykonania robót w odniesieniu do ich ilości, jakości i wartości. Całkowite zakończenie robót oraz gotowość do odbioru końcowego robót, Wykonawca zgłosi Zamawiającemu pisemnie, bezpośrednio w siedzibie Zamawiającego </w:t>
      </w:r>
      <w:r>
        <w:rPr>
          <w:color w:val="000000"/>
          <w:lang w:eastAsia="ar-SA"/>
        </w:rPr>
        <w:t xml:space="preserve">przed złożeniem wniosku o wydanie </w:t>
      </w:r>
      <w:r>
        <w:rPr>
          <w:color w:val="000000"/>
          <w:spacing w:val="-4"/>
          <w:lang w:eastAsia="ar-SA"/>
        </w:rPr>
        <w:t>decyzji o pozwoleniu na użytkowanie</w:t>
      </w:r>
      <w:r>
        <w:rPr>
          <w:color w:val="000000"/>
        </w:rPr>
        <w:t>.</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Podstawą zgłoszenia przez Wykonawcę gotowości do odbioru końcowego robót, będzie faktyczne wykonanie robót, potwierdzone w dzienniku budowy wpisem dokonanym przez Kierownika Budowy potwierdzonym przez Inspektora Nadzoru.</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Odbioru końcowego robót dokona Komisja wyznaczona przez Zamawiającego w obecności Inspektora Nadzoru i Wykonawcy. Zamawiający rozpocznie czynności odbiorowe w terminie do 7 dni roboczych od daty zawiadomienia przez Wykonawcę o osiągnięciu gotowości do odbioru końcowego robót.</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Komisja odbierająca roboty dokona ich oceny jakościowej na podstawie przedłożonych dokumentów, wyników badań i pomiarów, oceny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Jeżeli w toku czynności odbioru końcowego robót zostaną stwierdzone wady przedmiotu umowy, to Komisja przerwie swoje czynności i ustali nowy termin odbioru końcowego robót. W terminie wyznaczonym przez Komisję, nie później niż 14 dni Wykonawca zobowiązany jest do usunięcia usterek stwierdzonych przez Komisję. Dalsze przedłużenie terminu możliwe jest za zgodą Zamawiającego.</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Wykonawca zobowiązany jest do zawiadomienia Zamawiającego o usunięciu wad oraz do zgłoszenia </w:t>
      </w:r>
      <w:r>
        <w:rPr>
          <w:color w:val="000000"/>
        </w:rPr>
        <w:br w:type="textWrapping"/>
      </w:r>
      <w:r>
        <w:rPr>
          <w:color w:val="000000"/>
        </w:rPr>
        <w:t>u Zamawiającego żądania wyznaczenia terminu na odbiór robót ocenionych uprzednio jako wadliwe.</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Strony postanawiają, że z czynności odbioru będzie spisany protokół odbioru końcowego robót zawierający wszelkie ustalenia dokonane w toku odbioru, jak też terminy wyznaczone na usunięcie stwierdzonych w tej dacie wad.</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Ustala się, że dniem wykonania robót będzie data zgłoszenia przez Wykonawcę gotowości do odbioru robót potwierdzona przez Zamawiającego.</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lang w:eastAsia="ar-SA"/>
        </w:rPr>
        <w:t>Odbiór końcowy przedmiotu umowy przez Zamawiającego nastąpi na podstawie protokołu odbioru końcowego robót po uzyskaniu prawomocnej decyzji na użytkowanie.</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pogwarancyjny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10</w:t>
      </w:r>
    </w:p>
    <w:p>
      <w:pPr>
        <w:spacing w:line="276" w:lineRule="auto"/>
        <w:jc w:val="center"/>
        <w:rPr>
          <w:b/>
          <w:color w:val="000000"/>
        </w:rPr>
      </w:pPr>
      <w:r>
        <w:rPr>
          <w:b/>
          <w:color w:val="000000"/>
        </w:rPr>
        <w:t>Zabezpieczenie należytego wykonania umowy</w:t>
      </w:r>
    </w:p>
    <w:p>
      <w:pPr>
        <w:keepNext w:val="0"/>
        <w:keepLines w:val="0"/>
        <w:pageBreakBefore w:val="0"/>
        <w:widowControl/>
        <w:numPr>
          <w:ilvl w:val="0"/>
          <w:numId w:val="23"/>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Wykonawca wnosi zabezpieczenie należytego wykonania umowy w wysokości </w:t>
      </w:r>
      <w:r>
        <w:rPr>
          <w:b/>
          <w:bCs/>
          <w:color w:val="000000"/>
        </w:rPr>
        <w:t xml:space="preserve">3% </w:t>
      </w:r>
      <w:r>
        <w:rPr>
          <w:color w:val="000000"/>
        </w:rPr>
        <w:t>wynagrodzenia umownego brutto, co stanowi kwotę ......................................... zł (słownie: ..............................).</w:t>
      </w:r>
    </w:p>
    <w:p>
      <w:pPr>
        <w:keepNext w:val="0"/>
        <w:keepLines w:val="0"/>
        <w:pageBreakBefore w:val="0"/>
        <w:widowControl/>
        <w:numPr>
          <w:ilvl w:val="0"/>
          <w:numId w:val="23"/>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Zabezpieczenie zostaje wniesione w formie wskazanej w rozdzia</w:t>
      </w:r>
      <w:r>
        <w:rPr>
          <w:rFonts w:hint="default"/>
          <w:color w:val="000000"/>
          <w:lang w:val="pl-PL"/>
        </w:rPr>
        <w:t>le</w:t>
      </w:r>
      <w:r>
        <w:rPr>
          <w:color w:val="000000"/>
        </w:rPr>
        <w:t xml:space="preserve"> XVII pkt </w:t>
      </w:r>
      <w:r>
        <w:rPr>
          <w:rFonts w:hint="default"/>
          <w:color w:val="000000"/>
          <w:lang w:val="pl-PL"/>
        </w:rPr>
        <w:t>4 IDW</w:t>
      </w:r>
      <w:r>
        <w:rPr>
          <w:color w:val="000000"/>
        </w:rPr>
        <w:t>, na czas realizacji umowy powiększony o 30 dni.</w:t>
      </w:r>
    </w:p>
    <w:p>
      <w:pPr>
        <w:keepNext w:val="0"/>
        <w:keepLines w:val="0"/>
        <w:pageBreakBefore w:val="0"/>
        <w:widowControl/>
        <w:numPr>
          <w:ilvl w:val="0"/>
          <w:numId w:val="23"/>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nie wyraża zgody na tworzenie zabezpieczenia przez potrącenia z należności za częściowo wykonane roboty budowlane.</w:t>
      </w:r>
    </w:p>
    <w:p>
      <w:pPr>
        <w:keepNext w:val="0"/>
        <w:keepLines w:val="0"/>
        <w:pageBreakBefore w:val="0"/>
        <w:widowControl/>
        <w:numPr>
          <w:ilvl w:val="0"/>
          <w:numId w:val="23"/>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Zabezpieczenie służy pokryciu roszczeń z tytułu niewykonania lub nienależytego wykonania umowy.</w:t>
      </w:r>
    </w:p>
    <w:p>
      <w:pPr>
        <w:keepNext w:val="0"/>
        <w:keepLines w:val="0"/>
        <w:pageBreakBefore w:val="0"/>
        <w:widowControl/>
        <w:numPr>
          <w:ilvl w:val="0"/>
          <w:numId w:val="23"/>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pozostawione na zabezpieczenie roszczeń z tytułu rękojmi za wady zostanie zwrócona nie później niż w 15 dniu po upływie okresu rękojmi za wady. Zabezpieczenie to zostanie pomniejszone o kwotę ewentualnych należności, które Zamawiający pobrał </w:t>
      </w:r>
      <w:r>
        <w:rPr>
          <w:color w:val="000000"/>
        </w:rPr>
        <w:br w:type="textWrapping"/>
      </w:r>
      <w:r>
        <w:rPr>
          <w:color w:val="000000"/>
        </w:rPr>
        <w:t>z tytułu złej realizacji zobowiązań Wykonawcy.</w:t>
      </w:r>
    </w:p>
    <w:p>
      <w:pPr>
        <w:keepNext w:val="0"/>
        <w:keepLines w:val="0"/>
        <w:pageBreakBefore w:val="0"/>
        <w:widowControl/>
        <w:numPr>
          <w:ilvl w:val="0"/>
          <w:numId w:val="23"/>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Zabezpieczenie należytego wykonania umowy wniesione w pieniądzu, Zamawiający zwraca wraz </w:t>
      </w:r>
      <w:r>
        <w:rPr>
          <w:color w:val="000000"/>
        </w:rPr>
        <w:br w:type="textWrapping"/>
      </w:r>
      <w:r>
        <w:rPr>
          <w:color w:val="000000"/>
        </w:rPr>
        <w:t>z odsetkami wynikającymi z umowy rachunku bankowego, na którym było ono przechowywane, pomniejszonymi o koszty prowadzenia tego rachunku oraz prowizji bankowej za przelew pieniędzy na rachunek Wykonawcy.</w:t>
      </w:r>
    </w:p>
    <w:p>
      <w:pPr>
        <w:keepNext w:val="0"/>
        <w:keepLines w:val="0"/>
        <w:pageBreakBefore w:val="0"/>
        <w:widowControl/>
        <w:numPr>
          <w:ilvl w:val="0"/>
          <w:numId w:val="23"/>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Po uprzednim uzgodnieniu z Zamawiającym Wykonawca może dokonać zmiany formy zabezpieczenia na jedną lub kilka form, o których mowa w art. 450 ust. 1 ustawy Prawo zamówień publicznych. Zmiana formy zabezpieczenia jest dokonywana z zachowaniem ciągłości zabezpieczenia i bez zmniejszenia jego wysokości.</w:t>
      </w:r>
    </w:p>
    <w:p>
      <w:pPr>
        <w:keepNext w:val="0"/>
        <w:keepLines w:val="0"/>
        <w:pageBreakBefore w:val="0"/>
        <w:widowControl/>
        <w:numPr>
          <w:ilvl w:val="0"/>
          <w:numId w:val="23"/>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rPr>
          <w:color w:val="000000"/>
        </w:rPr>
        <w:t xml:space="preserve">W przypadku nienależytego wykonania zamówienia zabezpieczenie przechodzi na rzecz Zamawiającego </w:t>
      </w:r>
      <w:r>
        <w:rPr>
          <w:color w:val="000000"/>
        </w:rPr>
        <w:br w:type="textWrapping"/>
      </w:r>
      <w:r>
        <w:rPr>
          <w:color w:val="000000"/>
        </w:rPr>
        <w:t>i będzie wykorzystywane do zgodnego z umową wykonania robót i do pokrycia roszczeń z tytułu rękojmi za wykonane roboty.</w:t>
      </w:r>
    </w:p>
    <w:p>
      <w:pPr>
        <w:keepNext w:val="0"/>
        <w:keepLines w:val="0"/>
        <w:pageBreakBefore w:val="0"/>
        <w:widowControl/>
        <w:numPr>
          <w:ilvl w:val="0"/>
          <w:numId w:val="0"/>
        </w:numPr>
        <w:tabs>
          <w:tab w:val="left" w:pos="342"/>
        </w:tabs>
        <w:kinsoku/>
        <w:wordWrap/>
        <w:overflowPunct/>
        <w:topLinePunct w:val="0"/>
        <w:autoSpaceDE/>
        <w:autoSpaceDN/>
        <w:bidi w:val="0"/>
        <w:adjustRightInd/>
        <w:snapToGrid/>
        <w:spacing w:before="181" w:beforeLines="50" w:line="240" w:lineRule="auto"/>
        <w:ind w:leftChars="0"/>
        <w:jc w:val="both"/>
        <w:textAlignment w:val="auto"/>
        <w:rPr>
          <w:b/>
          <w:color w:val="000000"/>
        </w:rPr>
      </w:pPr>
    </w:p>
    <w:p>
      <w:pPr>
        <w:spacing w:line="276" w:lineRule="auto"/>
        <w:jc w:val="center"/>
        <w:rPr>
          <w:b/>
          <w:color w:val="000000"/>
        </w:rPr>
      </w:pPr>
    </w:p>
    <w:p>
      <w:pPr>
        <w:spacing w:line="276" w:lineRule="auto"/>
        <w:jc w:val="center"/>
        <w:rPr>
          <w:b/>
          <w:color w:val="000000"/>
        </w:rPr>
      </w:pPr>
      <w:r>
        <w:rPr>
          <w:b/>
          <w:color w:val="000000"/>
        </w:rPr>
        <w:t>§1</w:t>
      </w:r>
      <w:r>
        <w:rPr>
          <w:rFonts w:hint="default"/>
          <w:b/>
          <w:color w:val="000000"/>
          <w:lang w:val="pl-PL"/>
        </w:rPr>
        <w:t>1</w:t>
      </w:r>
    </w:p>
    <w:p>
      <w:pPr>
        <w:spacing w:line="276" w:lineRule="auto"/>
        <w:jc w:val="center"/>
        <w:rPr>
          <w:color w:val="000000"/>
        </w:rPr>
      </w:pPr>
      <w:r>
        <w:rPr>
          <w:b/>
          <w:color w:val="000000"/>
        </w:rPr>
        <w:t>Gwarancja jakości i rękojmia</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Wykonawca udziela  Zamawiającemu gwarancji jakości wykonania przedmiotu umowy oraz rękojmi za wady na </w:t>
      </w:r>
      <w:r>
        <w:rPr>
          <w:b/>
          <w:bCs/>
          <w:color w:val="000000"/>
        </w:rPr>
        <w:t>okres …………</w:t>
      </w:r>
      <w:r>
        <w:rPr>
          <w:color w:val="000000"/>
        </w:rPr>
        <w:t xml:space="preserve"> miesięcy od dnia odbioru końcowego przedmiotu umowy przez Zamawiającego, zobowiązując się do bezpłatnego usuwania wad fizycznych przedmiotu umowy, jeżeli wady te ujawnią się we wskazanym wyżej okresie. Okres rękojmi wynosi 5 lat licząc od dnia odbioru. </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 wykryciu wady przedmiotu umowy w okresie gwarancji Zamawiający zobowiązany jest zawiadomić Wykonawcę na piśmie. Wiążące Wykonawcę są również zawiadomienia dokonane przez Zamawiającego za pośrednictwem telefonu</w:t>
      </w:r>
      <w:r>
        <w:rPr>
          <w:rFonts w:hint="default"/>
          <w:color w:val="000000"/>
          <w:lang w:val="pl-PL"/>
        </w:rPr>
        <w:t xml:space="preserve"> </w:t>
      </w:r>
      <w:r>
        <w:rPr>
          <w:color w:val="000000"/>
        </w:rPr>
        <w:t>lub poczty elektronicznej – potwierdzone następnie na piśmie.</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Żądając usunięcia stwierdzonych wad, Zamawiający wyznaczy Wykonawcy termin technicznie </w:t>
      </w:r>
      <w:r>
        <w:rPr>
          <w:color w:val="000000"/>
        </w:rPr>
        <w:br w:type="textWrapping"/>
      </w:r>
      <w:r>
        <w:rPr>
          <w:color w:val="000000"/>
        </w:rPr>
        <w:t>i ekonomicznie uzasadniony na ich usunięcie. Wykonawca nie może odmówić usunięcia wad bez względu na wysokość związanych z tym kosztów.</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Istnienie wady Strony potwierdzą protokolarnie, po przeprowadzeniu oględzin. O dacie i miejscu oględzin Zamawiający informuje Wykonawcę na 3 dni robocze przed terminem oględzin.</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zobowiązany jest do zawiadomienia Zamawiającego o usunięciu wad oraz do zgłoszenia do Zamawiającego wyznaczenia terminu na odbiór wykonanych w tym zakresie robót.</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Usunięcie wad musi być stwierdzone protokolarnie. W przypadku nie usunięcia wad w wyznaczonym terminie, Zamawiający usunie wady we własnym zakresie i obciąży Wykonawcę kosztami ich usunięcia.</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Nie później niż na </w:t>
      </w:r>
      <w:r>
        <w:rPr>
          <w:b/>
          <w:bCs/>
          <w:color w:val="000000"/>
        </w:rPr>
        <w:t>14 dni</w:t>
      </w:r>
      <w:r>
        <w:rPr>
          <w:color w:val="000000"/>
        </w:rPr>
        <w:t xml:space="preserve"> przed upływem okresu gwarancji i rękojmi, Strony przystąpią do ostatecznego przeglądu gwarancyjnego, a stwierdzone w jego ramach wady i usterki zostaną przez Wykonawcę usunięte zgodnie z postanowieniami niniejszej Umowy.</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może dochodzić roszczeń z tytułu rękojmi za wady także po upływie terminu rękojmi, jeżeli zgłosi wadę przed upływem tego terminu.</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okresie gwarancji i rękojmi Wykonawca zobowiązany jest do pisemnego zawiadomienia Zamawiającego w terminie 14 dni o:</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zmianie siedziby lub firmy Wykonawcy,</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zmianie osób reprezentujących Wykonawcę,</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ogłoszeniu upadłości Wykonawcy,</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wszczęciu postępowania układowego, w którym uczestniczy Wykonawca,</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ogłoszeniu likwidacji Wykonawcy,</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zawieszeniu działalności Wykonawcy.</w:t>
      </w:r>
    </w:p>
    <w:p>
      <w:pPr>
        <w:tabs>
          <w:tab w:val="left" w:pos="969"/>
        </w:tabs>
        <w:spacing w:line="276" w:lineRule="auto"/>
        <w:ind w:left="1344"/>
        <w:jc w:val="both"/>
        <w:rPr>
          <w:color w:val="000000"/>
        </w:rPr>
      </w:pPr>
    </w:p>
    <w:p>
      <w:pPr>
        <w:tabs>
          <w:tab w:val="left" w:pos="969"/>
        </w:tabs>
        <w:spacing w:line="276" w:lineRule="auto"/>
        <w:ind w:left="1344"/>
        <w:jc w:val="both"/>
        <w:rPr>
          <w:color w:val="000000"/>
        </w:rPr>
      </w:pPr>
    </w:p>
    <w:p>
      <w:pPr>
        <w:spacing w:line="276" w:lineRule="auto"/>
        <w:jc w:val="center"/>
        <w:rPr>
          <w:b/>
          <w:color w:val="000000"/>
        </w:rPr>
      </w:pPr>
      <w:r>
        <w:rPr>
          <w:b/>
          <w:color w:val="000000"/>
        </w:rPr>
        <w:t>§1</w:t>
      </w:r>
      <w:r>
        <w:rPr>
          <w:rFonts w:hint="default"/>
          <w:b/>
          <w:color w:val="000000"/>
          <w:lang w:val="pl-PL"/>
        </w:rPr>
        <w:t>2</w:t>
      </w:r>
    </w:p>
    <w:p>
      <w:pPr>
        <w:spacing w:line="276" w:lineRule="auto"/>
        <w:jc w:val="center"/>
        <w:rPr>
          <w:color w:val="000000"/>
        </w:rPr>
      </w:pPr>
      <w:r>
        <w:rPr>
          <w:b/>
          <w:color w:val="000000"/>
        </w:rPr>
        <w:t>Kary umowne</w:t>
      </w:r>
    </w:p>
    <w:p>
      <w:pPr>
        <w:keepNext w:val="0"/>
        <w:keepLines w:val="0"/>
        <w:pageBreakBefore w:val="0"/>
        <w:widowControl/>
        <w:numPr>
          <w:ilvl w:val="0"/>
          <w:numId w:val="2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razie nie wykonania lub nienależytego wykonania przedmiotu umowy w ustalonym terminie, obowiązującą formą odszkodowania uzgodnioną między Stronami będą kary umowne.</w:t>
      </w:r>
    </w:p>
    <w:p>
      <w:pPr>
        <w:keepNext w:val="0"/>
        <w:keepLines w:val="0"/>
        <w:pageBreakBefore w:val="0"/>
        <w:widowControl/>
        <w:numPr>
          <w:ilvl w:val="0"/>
          <w:numId w:val="2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zapłaci Zamawiającemu kary umowne w następujących przypadkach :</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za zwłokę w wykonaniu przedmiotu zamówienia, w wysokości 0,1% łącznego wynagrodzenia umownego brutto (zgodnie z §</w:t>
      </w:r>
      <w:r>
        <w:rPr>
          <w:rFonts w:hint="default"/>
          <w:color w:val="000000"/>
          <w:lang w:val="pl-PL"/>
        </w:rPr>
        <w:t>7</w:t>
      </w:r>
      <w:r>
        <w:rPr>
          <w:color w:val="000000"/>
        </w:rPr>
        <w:t xml:space="preserve"> ust. 1), za każdy dzień zwłoki;</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zwłokę w usunięciu wad lub usterek stwierdzonych w okresie gwarancji i rękojmi za wady przedmiotu umowy w wysokości 0,1% łącznego wynagrodzenia umownego brutto (zgodnie z §</w:t>
      </w:r>
      <w:r>
        <w:rPr>
          <w:rFonts w:hint="default"/>
          <w:color w:val="000000"/>
          <w:lang w:val="pl-PL"/>
        </w:rPr>
        <w:t>7</w:t>
      </w:r>
      <w:r>
        <w:rPr>
          <w:color w:val="000000"/>
        </w:rPr>
        <w:t xml:space="preserve"> ust. 1), za każdy dzień zwłoki, licząc od następnego dnia po upływie terminu wyznaczonego na usunięcie wad lub usterek;</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powstanie przerwy w realizacji robót z przyczyn zależnych od Wykonawcy – w wysokości 0,1% łącznego wynagrodzenia umownego brutto (zgodnie z §</w:t>
      </w:r>
      <w:r>
        <w:rPr>
          <w:rFonts w:hint="default"/>
          <w:color w:val="000000"/>
          <w:lang w:val="pl-PL"/>
        </w:rPr>
        <w:t>7</w:t>
      </w:r>
      <w:r>
        <w:rPr>
          <w:color w:val="000000"/>
        </w:rPr>
        <w:t xml:space="preserve"> ust. 1), za każdy dzień przerwy, potwierdzony przez Inspektora Nadzoru;</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odstąpienie od umowy z przyczyn, za które odpowiada Wykonawca w wysokości 20% łącznego wynagrodzenia umownego brutto (zgodnie z §</w:t>
      </w:r>
      <w:r>
        <w:rPr>
          <w:rFonts w:hint="default"/>
          <w:color w:val="000000"/>
          <w:lang w:val="pl-PL"/>
        </w:rPr>
        <w:t>7</w:t>
      </w:r>
      <w:r>
        <w:rPr>
          <w:color w:val="000000"/>
        </w:rPr>
        <w:t xml:space="preserve"> ust. 1);</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w innych przypadkach niewykonania lub nienależytego wykonania przez Wykonawcę obowiązków wynikających z umowy, tj. określo</w:t>
      </w:r>
      <w:r>
        <w:rPr>
          <w:color w:val="000000"/>
          <w:highlight w:val="none"/>
        </w:rPr>
        <w:t xml:space="preserve">nych w §4 ust. </w:t>
      </w:r>
      <w:r>
        <w:rPr>
          <w:rFonts w:hint="default"/>
          <w:color w:val="000000"/>
          <w:highlight w:val="none"/>
          <w:lang w:val="pl-PL"/>
        </w:rPr>
        <w:t>2</w:t>
      </w:r>
      <w:r>
        <w:rPr>
          <w:color w:val="000000"/>
          <w:highlight w:val="none"/>
        </w:rPr>
        <w:t xml:space="preserve"> pkt 3), pkt 7), pkt 15) i pkt. 2</w:t>
      </w:r>
      <w:r>
        <w:rPr>
          <w:rFonts w:hint="default"/>
          <w:color w:val="000000"/>
          <w:highlight w:val="none"/>
          <w:lang w:val="pl-PL"/>
        </w:rPr>
        <w:t>0</w:t>
      </w:r>
      <w:r>
        <w:rPr>
          <w:color w:val="000000"/>
          <w:highlight w:val="none"/>
        </w:rPr>
        <w:t>) –</w:t>
      </w:r>
      <w:r>
        <w:rPr>
          <w:color w:val="000000"/>
        </w:rPr>
        <w:t xml:space="preserve"> w wysokości </w:t>
      </w:r>
      <w:r>
        <w:rPr>
          <w:rFonts w:hint="default"/>
          <w:color w:val="000000"/>
          <w:lang w:val="pl-PL"/>
        </w:rPr>
        <w:t>5</w:t>
      </w:r>
      <w:r>
        <w:rPr>
          <w:color w:val="000000"/>
        </w:rPr>
        <w:t>% łącznego wynagrodzenia umownego brutto (zgodnie z §</w:t>
      </w:r>
      <w:r>
        <w:rPr>
          <w:rFonts w:hint="default"/>
          <w:color w:val="000000"/>
          <w:lang w:val="pl-PL"/>
        </w:rPr>
        <w:t>7</w:t>
      </w:r>
      <w:r>
        <w:rPr>
          <w:color w:val="000000"/>
        </w:rPr>
        <w:t xml:space="preserve"> ust. 1);</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za brak zapłaty lub nieterminową zapłatę wynagrodzenia należnego podwykonawcom lub dalszym podwykonawcom, w wysokości 0,1% łącznego wynagrodzenia umownego brutto (zgodnie z §</w:t>
      </w:r>
      <w:r>
        <w:rPr>
          <w:rFonts w:hint="default"/>
          <w:color w:val="000000"/>
          <w:lang w:val="pl-PL"/>
        </w:rPr>
        <w:t>7</w:t>
      </w:r>
      <w:r>
        <w:rPr>
          <w:color w:val="000000"/>
        </w:rPr>
        <w:t xml:space="preserve"> ust. 1), za każdy rozpoczęty dzień zwłoki;                                                </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nieprzedłożenie do zaakceptowania projektu umowy o podwykonawstwo, której przedmiotem są roboty budowlane, lub projektu jej zmiany, w wysokości 0,1% łącznego wynagrodzenia umownego brutto (zgodnie z §</w:t>
      </w:r>
      <w:r>
        <w:rPr>
          <w:rFonts w:hint="default"/>
          <w:color w:val="000000"/>
          <w:lang w:val="pl-PL"/>
        </w:rPr>
        <w:t>7</w:t>
      </w:r>
      <w:r>
        <w:rPr>
          <w:color w:val="000000"/>
        </w:rPr>
        <w:t xml:space="preserve"> ust. 1), za każdy taki przypadek;</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nieprzedłożenie poświadczonej za zgodność z oryginałem kopii umowy o podwykonawstwo lub jej zmiany, w wysokości 0,1% łącznego wynagrodzenia umownego brutto (zgodnie z §</w:t>
      </w:r>
      <w:r>
        <w:rPr>
          <w:rFonts w:hint="default"/>
          <w:color w:val="000000"/>
          <w:lang w:val="pl-PL"/>
        </w:rPr>
        <w:t>7</w:t>
      </w:r>
      <w:r>
        <w:rPr>
          <w:color w:val="000000"/>
        </w:rPr>
        <w:t xml:space="preserve"> ust. 1), za każdy taki przypadek;</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brak zmiany umowy o podwykonawstwo w zakresie terminu zapłaty w wysokości 0,1% łącznego wynagrodzenia umownego brutto (zgodnie z §</w:t>
      </w:r>
      <w:r>
        <w:rPr>
          <w:rFonts w:hint="default"/>
          <w:color w:val="000000"/>
          <w:lang w:val="pl-PL"/>
        </w:rPr>
        <w:t>7</w:t>
      </w:r>
      <w:r>
        <w:rPr>
          <w:color w:val="000000"/>
        </w:rPr>
        <w:t xml:space="preserve"> ust. 1), za każdy taki przypadek.</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Zamawiający zapłaci Wykonawcy karę umowną za odstąpienie od umowy przez Wykonawcę z przyczyn, za które ponosi odpowiedzialność Zamawiający, w wysokości 20% łącznego wynagrodzenia umownego brutto (zgodnie z §</w:t>
      </w:r>
      <w:r>
        <w:rPr>
          <w:rFonts w:hint="default"/>
          <w:color w:val="000000"/>
          <w:lang w:val="pl-PL"/>
        </w:rPr>
        <w:t>7</w:t>
      </w:r>
      <w:r>
        <w:rPr>
          <w:color w:val="000000"/>
        </w:rPr>
        <w:t xml:space="preserve"> ust. 1), za wyjątkiem wystąpienia sytuacji przedstawionych w art. 456 ustawy Prawo zamówień publicznych.</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rFonts w:hint="default"/>
          <w:color w:val="000000"/>
        </w:rPr>
        <w:t xml:space="preserve">Wykonawca zapłaci Zamawiającemu kary umowne </w:t>
      </w:r>
      <w:r>
        <w:rPr>
          <w:rFonts w:hint="default"/>
          <w:color w:val="000000"/>
          <w:lang w:val="pl-PL"/>
        </w:rPr>
        <w:t>z</w:t>
      </w:r>
      <w:r>
        <w:rPr>
          <w:rFonts w:hint="default"/>
          <w:color w:val="000000"/>
        </w:rPr>
        <w:t xml:space="preserve">a niedopełnienie wymogu zatrudniania Pracowników świadczących przedmiot umowy na podstawie umowy o pracę w rozumieniu przepisów Kodeksu Pracy, w wysokości kwoty minimalnego wynagrodzenia za pracę </w:t>
      </w:r>
      <w:r>
        <w:rPr>
          <w:rFonts w:hint="default"/>
          <w:color w:val="000000"/>
          <w:lang w:val="pl-PL"/>
        </w:rPr>
        <w:t xml:space="preserve">brutto </w:t>
      </w:r>
      <w:r>
        <w:rPr>
          <w:rFonts w:hint="default"/>
          <w:color w:val="000000"/>
        </w:rPr>
        <w:t>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 o którym mowa w</w:t>
      </w:r>
      <w:r>
        <w:rPr>
          <w:rFonts w:hint="default"/>
          <w:color w:val="000000"/>
          <w:highlight w:val="none"/>
        </w:rPr>
        <w:t xml:space="preserve"> §1</w:t>
      </w:r>
      <w:r>
        <w:rPr>
          <w:rFonts w:hint="default"/>
          <w:color w:val="000000"/>
          <w:highlight w:val="none"/>
          <w:lang w:val="pl-PL"/>
        </w:rPr>
        <w:t>7</w:t>
      </w:r>
      <w:r>
        <w:rPr>
          <w:rFonts w:hint="default"/>
          <w:color w:val="000000"/>
          <w:highlight w:val="none"/>
        </w:rPr>
        <w:t xml:space="preserve"> ust 3.</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Każda z kar umownych wymienionych w ust. 2 jest niezależna od siebie, a Zamawiający ma prawo dochodzić każdej z nich niezależnie od dochodzenia pozostałych.</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Zapłacenie lub potrącenie kary za niedotrzymanie terminu nie zwalnia Wykonawcy z obowiązku wykonania przedmiotu umowy w pełnym zakresie.</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Łączna maksymalna wysokość kar umownych jakich mogą dochodzić Strony nie może przekroczyć </w:t>
      </w:r>
      <w:r>
        <w:rPr>
          <w:rFonts w:hint="default"/>
          <w:color w:val="000000"/>
          <w:lang w:val="pl-PL"/>
        </w:rPr>
        <w:t>2</w:t>
      </w:r>
      <w:r>
        <w:rPr>
          <w:color w:val="000000"/>
        </w:rPr>
        <w:t>0% łącznego wynagrodzenia umownego brutto (zgodnie z §</w:t>
      </w:r>
      <w:r>
        <w:rPr>
          <w:rFonts w:hint="default"/>
          <w:color w:val="000000"/>
          <w:lang w:val="pl-PL"/>
        </w:rPr>
        <w:t>7</w:t>
      </w:r>
      <w:r>
        <w:rPr>
          <w:color w:val="000000"/>
        </w:rPr>
        <w:t xml:space="preserve"> ust. 1).</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zastrzega sobie prawo potrącenia kary umownej z wynagrodzenia przysługującego Wykonawcy za wykonanie przedmiotu umowy.</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Niezależnie od wymienionych kar umownych Stronom umowy przysługuje prawo dochodzenia odszkodowania uzupełniającego na zasadach ogólnych, do wysokości rzeczywiście poniesionej szkody.</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rPr>
          <w:rFonts w:hint="default"/>
          <w:color w:val="000000"/>
        </w:rPr>
        <w:t>Na poczet kary umownej lub za odstąpienie od Umowy albo przewyższającego je odszkodowania, Zamawiający jest uprawniony do zatrzymania zabezpieczenia należytego wykonania Umowy.</w:t>
      </w:r>
    </w:p>
    <w:p>
      <w:pPr>
        <w:tabs>
          <w:tab w:val="left" w:pos="335"/>
        </w:tabs>
        <w:spacing w:line="276" w:lineRule="auto"/>
        <w:jc w:val="center"/>
        <w:rPr>
          <w:b/>
          <w:color w:val="000000"/>
        </w:rPr>
      </w:pPr>
    </w:p>
    <w:p>
      <w:pPr>
        <w:tabs>
          <w:tab w:val="left" w:pos="335"/>
        </w:tabs>
        <w:spacing w:line="276" w:lineRule="auto"/>
        <w:jc w:val="center"/>
        <w:rPr>
          <w:b/>
          <w:color w:val="000000"/>
        </w:rPr>
      </w:pPr>
    </w:p>
    <w:p>
      <w:pPr>
        <w:tabs>
          <w:tab w:val="left" w:pos="335"/>
        </w:tabs>
        <w:spacing w:line="276" w:lineRule="auto"/>
        <w:jc w:val="center"/>
        <w:rPr>
          <w:b/>
          <w:color w:val="000000"/>
        </w:rPr>
      </w:pPr>
      <w:r>
        <w:rPr>
          <w:b/>
          <w:color w:val="000000"/>
        </w:rPr>
        <w:t>§</w:t>
      </w:r>
      <w:r>
        <w:rPr>
          <w:rFonts w:hint="default"/>
          <w:b/>
          <w:color w:val="000000"/>
          <w:lang w:val="pl-PL"/>
        </w:rPr>
        <w:t>13</w:t>
      </w:r>
    </w:p>
    <w:p>
      <w:pPr>
        <w:spacing w:line="276" w:lineRule="auto"/>
        <w:jc w:val="center"/>
        <w:rPr>
          <w:color w:val="000000"/>
        </w:rPr>
      </w:pPr>
      <w:r>
        <w:rPr>
          <w:b/>
          <w:color w:val="000000"/>
        </w:rPr>
        <w:t>Odstąpienie od umowy</w:t>
      </w:r>
    </w:p>
    <w:p>
      <w:pPr>
        <w:numPr>
          <w:ilvl w:val="0"/>
          <w:numId w:val="29"/>
        </w:numPr>
        <w:tabs>
          <w:tab w:val="left" w:pos="335"/>
          <w:tab w:val="clear" w:pos="720"/>
        </w:tabs>
        <w:spacing w:before="120" w:beforeLines="50" w:line="276" w:lineRule="auto"/>
        <w:ind w:left="340" w:hanging="340"/>
        <w:jc w:val="both"/>
      </w:pPr>
      <w:r>
        <w:rPr>
          <w:color w:val="000000"/>
        </w:rPr>
        <w:t>Oprócz przypadków wymienionych w przepisach Kodeksu Cywilnego, Zamawiającemu przysługuje prawo odstąpienia od umowy w następujących sytuacjach:</w:t>
      </w:r>
    </w:p>
    <w:p>
      <w:pPr>
        <w:numPr>
          <w:ilvl w:val="0"/>
          <w:numId w:val="30"/>
        </w:numPr>
        <w:tabs>
          <w:tab w:val="left" w:pos="682"/>
          <w:tab w:val="clear" w:pos="720"/>
        </w:tabs>
        <w:spacing w:line="276" w:lineRule="auto"/>
        <w:ind w:left="680" w:hanging="340"/>
        <w:jc w:val="both"/>
      </w:pPr>
      <w:r>
        <w:rPr>
          <w:color w:val="000000"/>
          <w:lang w:eastAsia="ar-SA"/>
        </w:rPr>
        <w:t>na zasadach określonych w art. 456 ustawy Prawo zamówień publicznych</w:t>
      </w:r>
      <w:r>
        <w:rPr>
          <w:color w:val="000000"/>
        </w:rPr>
        <w:t>;</w:t>
      </w:r>
    </w:p>
    <w:p>
      <w:pPr>
        <w:numPr>
          <w:ilvl w:val="0"/>
          <w:numId w:val="30"/>
        </w:numPr>
        <w:tabs>
          <w:tab w:val="left" w:pos="682"/>
          <w:tab w:val="clear" w:pos="720"/>
        </w:tabs>
        <w:spacing w:line="276" w:lineRule="auto"/>
        <w:ind w:left="680" w:hanging="340"/>
        <w:jc w:val="both"/>
      </w:pPr>
      <w:r>
        <w:rPr>
          <w:color w:val="000000"/>
        </w:rPr>
        <w:t>w przypadku, gdy Wykonawca nie rozpoczął robót w terminie 14 dni roboczych od dnia protokolarnego przekazania terenu budowy bez uzasadnionych przyczyn;</w:t>
      </w:r>
    </w:p>
    <w:p>
      <w:pPr>
        <w:numPr>
          <w:ilvl w:val="0"/>
          <w:numId w:val="30"/>
        </w:numPr>
        <w:tabs>
          <w:tab w:val="left" w:pos="682"/>
          <w:tab w:val="clear" w:pos="720"/>
        </w:tabs>
        <w:spacing w:line="276" w:lineRule="auto"/>
        <w:ind w:left="680" w:hanging="340"/>
        <w:jc w:val="both"/>
      </w:pPr>
      <w:r>
        <w:rPr>
          <w:color w:val="000000"/>
        </w:rPr>
        <w:t>gdy zwłoka Wykonawcy w zakresie zakończenia realizacji przedmiotu umowy przekracza 30 dni;</w:t>
      </w:r>
    </w:p>
    <w:p>
      <w:pPr>
        <w:numPr>
          <w:ilvl w:val="0"/>
          <w:numId w:val="30"/>
        </w:numPr>
        <w:tabs>
          <w:tab w:val="left" w:pos="682"/>
          <w:tab w:val="clear" w:pos="720"/>
        </w:tabs>
        <w:spacing w:line="276" w:lineRule="auto"/>
        <w:ind w:left="680" w:hanging="340"/>
        <w:jc w:val="both"/>
        <w:rPr>
          <w:color w:val="000000"/>
        </w:rPr>
      </w:pPr>
      <w:r>
        <w:rPr>
          <w:color w:val="000000"/>
        </w:rPr>
        <w:t>Wykonawca przerwał ze swojej winy realizację przedmiotu umowy, a nieusprawiedliwiona przerwa trwa dłużej niż 30 dni;</w:t>
      </w:r>
    </w:p>
    <w:p>
      <w:pPr>
        <w:numPr>
          <w:ilvl w:val="0"/>
          <w:numId w:val="30"/>
        </w:numPr>
        <w:tabs>
          <w:tab w:val="left" w:pos="682"/>
          <w:tab w:val="clear" w:pos="720"/>
        </w:tabs>
        <w:spacing w:line="276" w:lineRule="auto"/>
        <w:ind w:left="680" w:hanging="340"/>
        <w:jc w:val="both"/>
        <w:rPr>
          <w:color w:val="000000"/>
        </w:rPr>
      </w:pPr>
      <w:r>
        <w:rPr>
          <w:color w:val="000000"/>
        </w:rPr>
        <w:t>Wykonawca realizuje roboty przewidziane niniejszą umową w sposób niezgodny z dokumentacją projektową, specyfikacją techniczną lub wskazaniami Zamawiającego;</w:t>
      </w:r>
    </w:p>
    <w:p>
      <w:pPr>
        <w:numPr>
          <w:ilvl w:val="0"/>
          <w:numId w:val="30"/>
        </w:numPr>
        <w:tabs>
          <w:tab w:val="left" w:pos="682"/>
          <w:tab w:val="clear" w:pos="720"/>
        </w:tabs>
        <w:spacing w:line="276" w:lineRule="auto"/>
        <w:ind w:left="680" w:hanging="340"/>
        <w:jc w:val="both"/>
        <w:rPr>
          <w:color w:val="000000"/>
        </w:rPr>
      </w:pPr>
      <w:r>
        <w:rPr>
          <w:color w:val="000000"/>
        </w:rPr>
        <w:t>w przypadku likwidacji przedsiębiorstwa Wykonawcy bądź zajęcia majątku Wykonawcy;</w:t>
      </w:r>
    </w:p>
    <w:p>
      <w:pPr>
        <w:numPr>
          <w:ilvl w:val="0"/>
          <w:numId w:val="30"/>
        </w:numPr>
        <w:tabs>
          <w:tab w:val="left" w:pos="682"/>
          <w:tab w:val="clear" w:pos="720"/>
        </w:tabs>
        <w:spacing w:line="276" w:lineRule="auto"/>
        <w:ind w:left="680" w:hanging="340"/>
        <w:jc w:val="both"/>
        <w:rPr>
          <w:color w:val="000000"/>
        </w:rPr>
      </w:pPr>
      <w:r>
        <w:rPr>
          <w:color w:val="000000"/>
        </w:rPr>
        <w:t>w przypadku konieczności wielokrotnego dokonywania bezpośredniej zapłaty podwykonawcy lub dalszemu podwykonawcy lub konieczności dokonania bezpośrednich zapłat na sumę większą niż 5% wartości umowy.</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Odstąpienie od umowy może nastąpić w terminie 30 dni od daty powzięcia przez Zamawiającego wiadomości o okolicznościach, o których mowa w ust. 1.</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Wykonawcy przysługuje prawo do odstąpienia od umowy w następujących przypadkach:</w:t>
      </w:r>
    </w:p>
    <w:p>
      <w:pPr>
        <w:numPr>
          <w:ilvl w:val="0"/>
          <w:numId w:val="32"/>
        </w:numPr>
        <w:tabs>
          <w:tab w:val="left" w:pos="682"/>
          <w:tab w:val="clear" w:pos="720"/>
        </w:tabs>
        <w:spacing w:line="276" w:lineRule="auto"/>
        <w:ind w:left="680" w:hanging="340"/>
        <w:jc w:val="both"/>
        <w:rPr>
          <w:color w:val="000000"/>
        </w:rPr>
      </w:pPr>
      <w:r>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pPr>
        <w:numPr>
          <w:ilvl w:val="0"/>
          <w:numId w:val="32"/>
        </w:numPr>
        <w:tabs>
          <w:tab w:val="left" w:pos="682"/>
          <w:tab w:val="clear" w:pos="720"/>
        </w:tabs>
        <w:spacing w:line="276" w:lineRule="auto"/>
        <w:ind w:left="680" w:hanging="340"/>
        <w:jc w:val="both"/>
        <w:rPr>
          <w:color w:val="000000"/>
        </w:rPr>
      </w:pPr>
      <w:r>
        <w:rPr>
          <w:color w:val="000000"/>
        </w:rPr>
        <w:t xml:space="preserve">gdy Zamawiający zawiadomi Wykonawcę, że nie będzie w stanie wywiązać się z obowiązków wynikających z umowy w zakresie płatności, w terminie 30 dni od daty powzięcia wiadomości </w:t>
      </w:r>
      <w:r>
        <w:rPr>
          <w:color w:val="000000"/>
        </w:rPr>
        <w:br w:type="textWrapping"/>
      </w:r>
      <w:r>
        <w:rPr>
          <w:color w:val="000000"/>
        </w:rPr>
        <w:t>o niniejszych okolicznościach.</w:t>
      </w:r>
    </w:p>
    <w:p>
      <w:pPr>
        <w:keepNext w:val="0"/>
        <w:keepLines w:val="0"/>
        <w:pageBreakBefore w:val="0"/>
        <w:widowControl/>
        <w:numPr>
          <w:ilvl w:val="0"/>
          <w:numId w:val="3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Odstąpienie od umowy powinno nastąpić w formie pisemnej pod rygorem nieważności takiego oświadczenia i powinno zawierać uzasadnienie.</w:t>
      </w:r>
    </w:p>
    <w:p>
      <w:pPr>
        <w:keepNext w:val="0"/>
        <w:keepLines w:val="0"/>
        <w:pageBreakBefore w:val="0"/>
        <w:widowControl/>
        <w:numPr>
          <w:ilvl w:val="0"/>
          <w:numId w:val="3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pPr>
        <w:numPr>
          <w:ilvl w:val="0"/>
          <w:numId w:val="34"/>
        </w:numPr>
        <w:tabs>
          <w:tab w:val="left" w:pos="682"/>
          <w:tab w:val="clear" w:pos="720"/>
        </w:tabs>
        <w:spacing w:line="276" w:lineRule="auto"/>
        <w:ind w:left="680" w:hanging="340"/>
        <w:jc w:val="both"/>
        <w:rPr>
          <w:color w:val="000000"/>
        </w:rPr>
      </w:pPr>
      <w:r>
        <w:rPr>
          <w:color w:val="000000"/>
        </w:rPr>
        <w:t>zabezpieczy przerwane roboty w zakresie wzajemnie uzgodnionym na koszt Strony, z winy której nastąpiło odstąpienie od umowy;</w:t>
      </w:r>
    </w:p>
    <w:p>
      <w:pPr>
        <w:numPr>
          <w:ilvl w:val="0"/>
          <w:numId w:val="34"/>
        </w:numPr>
        <w:tabs>
          <w:tab w:val="left" w:pos="682"/>
          <w:tab w:val="clear" w:pos="720"/>
        </w:tabs>
        <w:spacing w:line="276" w:lineRule="auto"/>
        <w:ind w:left="680" w:hanging="340"/>
        <w:jc w:val="both"/>
        <w:rPr>
          <w:color w:val="000000"/>
        </w:rPr>
      </w:pPr>
      <w:r>
        <w:rPr>
          <w:color w:val="000000"/>
        </w:rPr>
        <w:t>sporządzi wykaz materiałów, urządzeń i konstrukcji, które nie mogą być wykorzystane przez Wykonawcę, jeżeli odstąpienie od umowy nastąpiło z winy Zamawiającego;</w:t>
      </w:r>
    </w:p>
    <w:p>
      <w:pPr>
        <w:numPr>
          <w:ilvl w:val="0"/>
          <w:numId w:val="34"/>
        </w:numPr>
        <w:tabs>
          <w:tab w:val="left" w:pos="682"/>
          <w:tab w:val="clear" w:pos="720"/>
        </w:tabs>
        <w:spacing w:line="276" w:lineRule="auto"/>
        <w:ind w:left="680" w:hanging="340"/>
        <w:jc w:val="both"/>
        <w:rPr>
          <w:color w:val="000000"/>
        </w:rPr>
      </w:pPr>
      <w:r>
        <w:rPr>
          <w:color w:val="000000"/>
        </w:rPr>
        <w:t>Zamawiający dokona odbioru wykonanych robót w toku i robót zabezpieczających oraz zapłaty wynagrodzenia za te roboty, materiały, konstrukcje i urządzenia, które mogą być wykorzystane przez Zamawiającego.</w:t>
      </w:r>
    </w:p>
    <w:p>
      <w:pPr>
        <w:numPr>
          <w:ilvl w:val="0"/>
          <w:numId w:val="35"/>
        </w:numPr>
        <w:tabs>
          <w:tab w:val="left" w:pos="335"/>
          <w:tab w:val="clear" w:pos="720"/>
        </w:tabs>
        <w:spacing w:line="276" w:lineRule="auto"/>
        <w:ind w:left="340" w:hanging="340"/>
        <w:jc w:val="both"/>
        <w:rPr>
          <w:color w:val="000000"/>
        </w:rPr>
      </w:pPr>
      <w:r>
        <w:rPr>
          <w:color w:val="000000"/>
        </w:rPr>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pPr>
        <w:numPr>
          <w:ilvl w:val="0"/>
          <w:numId w:val="35"/>
        </w:numPr>
        <w:tabs>
          <w:tab w:val="left" w:pos="335"/>
          <w:tab w:val="clear" w:pos="720"/>
        </w:tabs>
        <w:spacing w:line="276" w:lineRule="auto"/>
        <w:ind w:left="340" w:hanging="340"/>
        <w:jc w:val="both"/>
        <w:rPr>
          <w:color w:val="000000"/>
        </w:rPr>
      </w:pPr>
      <w:r>
        <w:rPr>
          <w:color w:val="000000"/>
        </w:rPr>
        <w:t>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4</w:t>
      </w:r>
    </w:p>
    <w:p>
      <w:pPr>
        <w:spacing w:line="276" w:lineRule="auto"/>
        <w:jc w:val="center"/>
        <w:rPr>
          <w:b/>
          <w:color w:val="000000"/>
        </w:rPr>
      </w:pPr>
      <w:r>
        <w:rPr>
          <w:b/>
          <w:color w:val="000000"/>
        </w:rPr>
        <w:t>Zmiany umowy</w:t>
      </w:r>
    </w:p>
    <w:p>
      <w:pPr>
        <w:numPr>
          <w:ilvl w:val="0"/>
          <w:numId w:val="36"/>
        </w:numPr>
        <w:tabs>
          <w:tab w:val="left" w:pos="335"/>
          <w:tab w:val="clear" w:pos="720"/>
        </w:tabs>
        <w:spacing w:before="120" w:beforeLines="50" w:line="276" w:lineRule="auto"/>
        <w:ind w:left="340" w:hanging="340"/>
        <w:jc w:val="both"/>
      </w:pPr>
      <w:r>
        <w:rPr>
          <w:color w:val="000000"/>
        </w:rPr>
        <w:t>Do zawartej umowy będą miały zastosowanie przepisy</w:t>
      </w:r>
      <w:r>
        <w:rPr>
          <w:color w:val="000000"/>
          <w:lang w:eastAsia="ar-SA"/>
        </w:rPr>
        <w:t xml:space="preserve"> art. </w:t>
      </w:r>
      <w:r>
        <w:rPr>
          <w:color w:val="000000"/>
          <w:kern w:val="2"/>
          <w:lang w:eastAsia="zh-CN" w:bidi="hi-IN"/>
        </w:rPr>
        <w:t>454 i art. 455</w:t>
      </w:r>
      <w:r>
        <w:rPr>
          <w:color w:val="000000"/>
        </w:rPr>
        <w:t xml:space="preserve"> ustawy Prawo zamówień publicznych.</w:t>
      </w:r>
    </w:p>
    <w:p>
      <w:pPr>
        <w:numPr>
          <w:ilvl w:val="0"/>
          <w:numId w:val="36"/>
        </w:numPr>
        <w:tabs>
          <w:tab w:val="left" w:pos="335"/>
          <w:tab w:val="clear" w:pos="720"/>
        </w:tabs>
        <w:spacing w:line="276" w:lineRule="auto"/>
        <w:ind w:left="340" w:hanging="340"/>
        <w:jc w:val="both"/>
        <w:rPr>
          <w:color w:val="000000"/>
        </w:rPr>
      </w:pPr>
      <w:r>
        <w:rPr>
          <w:color w:val="000000"/>
        </w:rPr>
        <w:t>Zamawiający przewiduje możliwość dokonania istotnych zmian umowy w zakresie, o charakterze oraz warunkach ich wprowadzenia opisanych poniżej:</w:t>
      </w:r>
    </w:p>
    <w:p>
      <w:pPr>
        <w:widowControl w:val="0"/>
        <w:numPr>
          <w:ilvl w:val="0"/>
          <w:numId w:val="37"/>
        </w:numPr>
        <w:tabs>
          <w:tab w:val="left" w:pos="682"/>
          <w:tab w:val="clear" w:pos="720"/>
        </w:tabs>
        <w:spacing w:line="276" w:lineRule="auto"/>
        <w:ind w:left="680" w:hanging="340"/>
        <w:jc w:val="both"/>
        <w:rPr>
          <w:color w:val="000000"/>
        </w:rPr>
      </w:pPr>
      <w:r>
        <w:rPr>
          <w:color w:val="000000"/>
        </w:rPr>
        <w:t>w stosunku do terminu realizacji umowy:</w:t>
      </w:r>
    </w:p>
    <w:p>
      <w:pPr>
        <w:numPr>
          <w:ilvl w:val="0"/>
          <w:numId w:val="38"/>
        </w:numPr>
        <w:suppressAutoHyphens w:val="0"/>
        <w:spacing w:line="276" w:lineRule="auto"/>
        <w:ind w:left="1020" w:hanging="340"/>
        <w:jc w:val="both"/>
      </w:pPr>
      <w:r>
        <w:rPr>
          <w:color w:val="000000"/>
          <w:kern w:val="2"/>
          <w:lang w:bidi="ar-SA"/>
        </w:rPr>
        <w:t xml:space="preserve">z powodu działania siły wyższej uniemożliwiającej zachowanie terminu wykonania prac, </w:t>
      </w:r>
      <w:r>
        <w:rPr>
          <w:color w:val="000000"/>
        </w:rPr>
        <w:t xml:space="preserve">przy czym termin „siła wyższa” oznacza wydarzenia nieprzewidywalne i poza kontrolą Stron umowy, powodujące niemożliwość wywiązania się z umowy w jej obecnym brzmieniu; </w:t>
      </w:r>
    </w:p>
    <w:p>
      <w:pPr>
        <w:numPr>
          <w:ilvl w:val="0"/>
          <w:numId w:val="38"/>
        </w:numPr>
        <w:suppressAutoHyphens w:val="0"/>
        <w:spacing w:line="276" w:lineRule="auto"/>
        <w:ind w:left="1020" w:hanging="340"/>
        <w:jc w:val="both"/>
        <w:rPr>
          <w:color w:val="000000"/>
          <w:kern w:val="2"/>
          <w:lang w:bidi="ar-SA"/>
        </w:rPr>
      </w:pPr>
      <w:r>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pPr>
        <w:numPr>
          <w:ilvl w:val="0"/>
          <w:numId w:val="38"/>
        </w:numPr>
        <w:suppressAutoHyphens w:val="0"/>
        <w:spacing w:line="276" w:lineRule="auto"/>
        <w:ind w:left="1020" w:hanging="340"/>
        <w:jc w:val="both"/>
        <w:rPr>
          <w:color w:val="000000"/>
          <w:kern w:val="2"/>
          <w:lang w:bidi="ar-SA"/>
        </w:rPr>
      </w:pPr>
      <w:r>
        <w:rPr>
          <w:color w:val="000000"/>
          <w:kern w:val="2"/>
          <w:lang w:bidi="ar-SA"/>
        </w:rPr>
        <w:t xml:space="preserve">nastąpi zmiana powszechnie obowiązujących przepisów prawa w zakresie mającym wpływ na termin realizacji przedmiotu umowy; </w:t>
      </w:r>
    </w:p>
    <w:p>
      <w:pPr>
        <w:numPr>
          <w:ilvl w:val="0"/>
          <w:numId w:val="38"/>
        </w:numPr>
        <w:suppressAutoHyphens w:val="0"/>
        <w:spacing w:line="276" w:lineRule="auto"/>
        <w:ind w:left="1020" w:hanging="340"/>
        <w:jc w:val="both"/>
      </w:pPr>
      <w:r>
        <w:rPr>
          <w:color w:val="000000"/>
          <w:kern w:val="2"/>
          <w:lang w:bidi="ar-SA"/>
        </w:rPr>
        <w:t xml:space="preserve">w sytuacji </w:t>
      </w:r>
      <w:r>
        <w:rPr>
          <w:color w:val="000000"/>
        </w:rPr>
        <w:t xml:space="preserve">wystąpienia robót nieobjętych niniejszą umową (robót dodatkowych, zamiennych, podobnych lub innych),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t>
      </w:r>
      <w:r>
        <w:rPr>
          <w:color w:val="000000"/>
          <w:kern w:val="2"/>
          <w:lang w:bidi="ar-SA"/>
        </w:rPr>
        <w:t>które jednocześnie wstrzymują lub opóźniają realizację przedmiotu umowy;</w:t>
      </w:r>
    </w:p>
    <w:p>
      <w:pPr>
        <w:numPr>
          <w:ilvl w:val="0"/>
          <w:numId w:val="38"/>
        </w:numPr>
        <w:suppressAutoHyphens w:val="0"/>
        <w:spacing w:line="276" w:lineRule="auto"/>
        <w:ind w:left="1020" w:hanging="340"/>
        <w:jc w:val="both"/>
        <w:rPr>
          <w:color w:val="000000"/>
          <w:kern w:val="2"/>
          <w:lang w:bidi="ar-SA"/>
        </w:rPr>
      </w:pPr>
      <w:r>
        <w:rPr>
          <w:color w:val="000000"/>
          <w:kern w:val="2"/>
          <w:lang w:bidi="ar-SA"/>
        </w:rPr>
        <w:t>konieczność wprowadzenia zmian w dokumentacji projektowej, w tym również aktualizacji rozwiązań projektowych, w szczególności z uwagi na postęp technologiczny;</w:t>
      </w:r>
    </w:p>
    <w:p>
      <w:pPr>
        <w:numPr>
          <w:ilvl w:val="0"/>
          <w:numId w:val="38"/>
        </w:numPr>
        <w:suppressAutoHyphens w:val="0"/>
        <w:spacing w:line="276" w:lineRule="auto"/>
        <w:ind w:left="1020" w:hanging="340"/>
        <w:jc w:val="both"/>
        <w:rPr>
          <w:color w:val="000000"/>
          <w:kern w:val="2"/>
          <w:lang w:bidi="ar-SA"/>
        </w:rPr>
      </w:pPr>
      <w:r>
        <w:rPr>
          <w:color w:val="000000"/>
          <w:kern w:val="2"/>
          <w:lang w:bidi="ar-SA"/>
        </w:rPr>
        <w:t>konieczność poprawy warunków wykonywania robót zagrażających bezpieczeństwu życia, zdrowia i mienia;</w:t>
      </w:r>
    </w:p>
    <w:p>
      <w:pPr>
        <w:numPr>
          <w:ilvl w:val="0"/>
          <w:numId w:val="38"/>
        </w:numPr>
        <w:suppressAutoHyphens w:val="0"/>
        <w:spacing w:line="276" w:lineRule="auto"/>
        <w:ind w:left="1020" w:hanging="340"/>
        <w:jc w:val="both"/>
        <w:rPr>
          <w:color w:val="000000"/>
          <w:kern w:val="2"/>
          <w:lang w:bidi="ar-SA"/>
        </w:rPr>
      </w:pPr>
      <w:r>
        <w:rPr>
          <w:color w:val="000000"/>
          <w:kern w:val="2"/>
          <w:lang w:bidi="ar-SA"/>
        </w:rPr>
        <w:t>zmiany obowiązujących przepisów prawa, uniemożliwiających wykonanie przedmiotu umowy w założonym terminie, w sytuacji gdy zmiany te były niemożliwe do przewidzenia w chwili zawarcia umowy;</w:t>
      </w:r>
    </w:p>
    <w:p>
      <w:pPr>
        <w:numPr>
          <w:ilvl w:val="0"/>
          <w:numId w:val="38"/>
        </w:numPr>
        <w:suppressAutoHyphens w:val="0"/>
        <w:spacing w:line="276" w:lineRule="auto"/>
        <w:ind w:left="1020" w:hanging="340"/>
        <w:jc w:val="both"/>
        <w:rPr>
          <w:color w:val="000000"/>
          <w:kern w:val="2"/>
          <w:lang w:bidi="ar-SA"/>
        </w:rPr>
      </w:pPr>
      <w:r>
        <w:rPr>
          <w:color w:val="000000"/>
          <w:kern w:val="2"/>
          <w:lang w:bidi="ar-SA"/>
        </w:rPr>
        <w:t>brakiem możliwości prowadzenia robót na skutek nieprzewidzianych warunków geologicznych, geotechnicznych lub hydrologicznych odbiegających w sposób istotny od przyjętych w dokumentacji projektowej, rozpoznania terenu w zakresie znalezisk archeologicznych, wykopalisk lub koniecznych badań archeologicznych występowania niewybuchów lub niewypałów, wyjątkowo niekorzystnych warunków pogodowych a także innych przeszkód lub skażeń, które mogą skutkować w świetle dotychczasowych założeń niewykonaniem lub nienależytym wykonaniem przedmiotu umowy;</w:t>
      </w:r>
    </w:p>
    <w:p>
      <w:pPr>
        <w:numPr>
          <w:ilvl w:val="0"/>
          <w:numId w:val="38"/>
        </w:numPr>
        <w:suppressAutoHyphens w:val="0"/>
        <w:spacing w:line="276" w:lineRule="auto"/>
        <w:ind w:left="1020" w:hanging="340"/>
        <w:jc w:val="both"/>
        <w:rPr>
          <w:color w:val="000000"/>
          <w:kern w:val="2"/>
          <w:lang w:bidi="ar-SA"/>
        </w:rPr>
      </w:pPr>
      <w:r>
        <w:rPr>
          <w:color w:val="000000"/>
          <w:kern w:val="2"/>
          <w:lang w:bidi="ar-SA"/>
        </w:rPr>
        <w:t>w przypadku wystąpienia niebezpieczeństwa kolizji z planowanymi lub równolegle prowadzonymi przez inne podmioty inwestycjami w zakresie niezbędnym do uniknięcia lub usunięcia tych kolizji;</w:t>
      </w:r>
    </w:p>
    <w:p>
      <w:pPr>
        <w:numPr>
          <w:ilvl w:val="0"/>
          <w:numId w:val="38"/>
        </w:numPr>
        <w:suppressAutoHyphens w:val="0"/>
        <w:spacing w:line="276" w:lineRule="auto"/>
        <w:ind w:left="1020" w:hanging="340"/>
        <w:jc w:val="both"/>
        <w:rPr>
          <w:color w:val="000000"/>
          <w:kern w:val="2"/>
          <w:lang w:bidi="ar-SA"/>
        </w:rPr>
      </w:pPr>
      <w:r>
        <w:rPr>
          <w:color w:val="000000"/>
          <w:kern w:val="2"/>
          <w:lang w:bidi="ar-SA"/>
        </w:rPr>
        <w:t>z powodu działania podmiotów/osób trzecich uniemożliwiających wykonanie prac, które to działania nie są spowodowane z winy którejkolwiek ze Stron;</w:t>
      </w:r>
    </w:p>
    <w:p>
      <w:pPr>
        <w:numPr>
          <w:ilvl w:val="0"/>
          <w:numId w:val="38"/>
        </w:numPr>
        <w:suppressAutoHyphens w:val="0"/>
        <w:spacing w:line="276" w:lineRule="auto"/>
        <w:ind w:left="1020" w:hanging="340"/>
        <w:jc w:val="both"/>
        <w:rPr>
          <w:color w:val="000000"/>
          <w:kern w:val="2"/>
          <w:lang w:bidi="ar-SA"/>
        </w:rPr>
      </w:pPr>
      <w:r>
        <w:rPr>
          <w:color w:val="000000"/>
          <w:kern w:val="2"/>
          <w:lang w:bidi="ar-SA"/>
        </w:rPr>
        <w:t>zmiany będące następstwem okoliczności leżących po stronie Zamawiającego, w szczególności:</w:t>
      </w:r>
    </w:p>
    <w:p>
      <w:pPr>
        <w:numPr>
          <w:ilvl w:val="0"/>
          <w:numId w:val="39"/>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nieterminowe przekazanie terenu budowy przez Zamawiającego;</w:t>
      </w:r>
    </w:p>
    <w:p>
      <w:pPr>
        <w:numPr>
          <w:ilvl w:val="0"/>
          <w:numId w:val="39"/>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wstrzymanie robót przez Zamawiającego;</w:t>
      </w:r>
    </w:p>
    <w:p>
      <w:pPr>
        <w:numPr>
          <w:ilvl w:val="0"/>
          <w:numId w:val="39"/>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konieczność usunięcia błędów lub wprowadzenia zmian w dokumentacji projektowej;</w:t>
      </w:r>
    </w:p>
    <w:p>
      <w:pPr>
        <w:numPr>
          <w:ilvl w:val="0"/>
          <w:numId w:val="40"/>
        </w:numPr>
        <w:suppressAutoHyphens w:val="0"/>
        <w:spacing w:line="276" w:lineRule="auto"/>
        <w:ind w:left="1020" w:hanging="340"/>
        <w:jc w:val="both"/>
      </w:pPr>
      <w:r>
        <w:rPr>
          <w:color w:val="000000"/>
          <w:kern w:val="2"/>
          <w:lang w:bidi="ar-SA"/>
        </w:rPr>
        <w:t xml:space="preserve">w przypadku opóźnienia związanym z uzyskaniem niezbędnych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0"/>
        </w:numPr>
        <w:suppressAutoHyphens w:val="0"/>
        <w:spacing w:line="276" w:lineRule="auto"/>
        <w:ind w:left="1020" w:hanging="340"/>
        <w:jc w:val="both"/>
      </w:pPr>
      <w:r>
        <w:rPr>
          <w:color w:val="000000"/>
          <w:kern w:val="2"/>
          <w:lang w:bidi="ar-SA"/>
        </w:rPr>
        <w:t xml:space="preserve">w przypadku opóźnienia związanym z uzyskaniem zmian wydanych wcześniej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0"/>
        </w:numPr>
        <w:suppressAutoHyphens w:val="0"/>
        <w:spacing w:line="276" w:lineRule="auto"/>
        <w:ind w:left="1020" w:hanging="340"/>
        <w:jc w:val="both"/>
        <w:rPr>
          <w:color w:val="000000"/>
          <w:kern w:val="2"/>
          <w:lang w:bidi="ar-SA"/>
        </w:rPr>
      </w:pPr>
      <w:r>
        <w:rPr>
          <w:color w:val="000000"/>
          <w:kern w:val="2"/>
          <w:lang w:bidi="ar-SA"/>
        </w:rPr>
        <w:t>w przypadku odmowy wydania przez organy administracji publicznej lub inne podmioty właściwe, wymaganych decyzji administracyjnych, zezwoleń lub uzgodnień na skutek błędów w dokumentacji projektowej;</w:t>
      </w:r>
    </w:p>
    <w:p>
      <w:pPr>
        <w:numPr>
          <w:ilvl w:val="0"/>
          <w:numId w:val="40"/>
        </w:numPr>
        <w:suppressAutoHyphens w:val="0"/>
        <w:spacing w:line="276" w:lineRule="auto"/>
        <w:ind w:left="1020" w:hanging="340"/>
        <w:jc w:val="both"/>
      </w:pPr>
      <w:r>
        <w:rPr>
          <w:color w:val="000000"/>
          <w:kern w:val="2"/>
          <w:lang w:bidi="ar-SA"/>
        </w:rPr>
        <w:t xml:space="preserve">wystąpią opóźnienia w dokonaniu określonych czynności lub ich zaniechanie przez właściwe organy administracji państwowej, które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0"/>
        </w:numPr>
        <w:suppressAutoHyphens w:val="0"/>
        <w:spacing w:line="276" w:lineRule="auto"/>
        <w:ind w:left="1020" w:hanging="340"/>
        <w:jc w:val="both"/>
      </w:pPr>
      <w:r>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Pr>
          <w:bCs/>
          <w:color w:val="000000"/>
          <w:kern w:val="2"/>
          <w:lang w:bidi="ar-SA"/>
        </w:rPr>
        <w:t>Wykonawcy;</w:t>
      </w:r>
    </w:p>
    <w:p>
      <w:pPr>
        <w:numPr>
          <w:ilvl w:val="0"/>
          <w:numId w:val="40"/>
        </w:numPr>
        <w:suppressAutoHyphens w:val="0"/>
        <w:spacing w:line="276" w:lineRule="auto"/>
        <w:ind w:left="1020" w:hanging="340"/>
        <w:jc w:val="both"/>
        <w:rPr>
          <w:color w:val="000000"/>
          <w:kern w:val="2"/>
          <w:lang w:bidi="ar-SA"/>
        </w:rPr>
      </w:pPr>
      <w:r>
        <w:rPr>
          <w:color w:val="000000"/>
          <w:kern w:val="2"/>
          <w:lang w:bidi="ar-SA"/>
        </w:rPr>
        <w:t>w przypadku zmiany technologii wykonania robót na wniosek Wykonawcy lub Zamawiającego, pod warunkiem, że zmiana ta będzie korzystna dla Zamawiającego;</w:t>
      </w:r>
    </w:p>
    <w:p>
      <w:pPr>
        <w:numPr>
          <w:ilvl w:val="0"/>
          <w:numId w:val="40"/>
        </w:numPr>
        <w:suppressAutoHyphens w:val="0"/>
        <w:spacing w:line="276" w:lineRule="auto"/>
        <w:ind w:left="1020" w:hanging="340"/>
        <w:jc w:val="both"/>
        <w:rPr>
          <w:color w:val="000000"/>
          <w:kern w:val="2"/>
          <w:lang w:bidi="ar-SA"/>
        </w:rPr>
      </w:pPr>
      <w:r>
        <w:rPr>
          <w:color w:val="000000"/>
          <w:kern w:val="2"/>
          <w:lang w:bidi="ar-SA"/>
        </w:rPr>
        <w:t>inne przyczyny zewnętrzne niezależne od Zamawiającego oraz Wykonawcy skutkujące niemożliwością prowadzenia prac w szczególności:</w:t>
      </w:r>
    </w:p>
    <w:p>
      <w:pPr>
        <w:numPr>
          <w:ilvl w:val="0"/>
          <w:numId w:val="41"/>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 xml:space="preserve">brak możliwości dojazdu oraz transportu materiałów na teren budowy spowodowany awariami, remontami lub przebudowami dróg dojazdowych; </w:t>
      </w:r>
    </w:p>
    <w:p>
      <w:pPr>
        <w:numPr>
          <w:ilvl w:val="0"/>
          <w:numId w:val="41"/>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protesty mieszkańców;</w:t>
      </w:r>
    </w:p>
    <w:p>
      <w:pPr>
        <w:numPr>
          <w:ilvl w:val="0"/>
          <w:numId w:val="41"/>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przerwa w dostawie energii elektrycznej, wody, gazu;</w:t>
      </w:r>
    </w:p>
    <w:p>
      <w:pPr>
        <w:numPr>
          <w:ilvl w:val="0"/>
          <w:numId w:val="41"/>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przerwy (urlopy) w produkcji materiałów opisanych w dokumentacji projektowej;</w:t>
      </w:r>
    </w:p>
    <w:p>
      <w:pPr>
        <w:numPr>
          <w:ilvl w:val="0"/>
          <w:numId w:val="42"/>
        </w:numPr>
        <w:tabs>
          <w:tab w:val="left" w:pos="680"/>
          <w:tab w:val="clear" w:pos="720"/>
        </w:tabs>
        <w:suppressAutoHyphens w:val="0"/>
        <w:spacing w:line="276" w:lineRule="auto"/>
        <w:ind w:left="680" w:hanging="340"/>
        <w:jc w:val="both"/>
        <w:rPr>
          <w:color w:val="000000"/>
          <w:kern w:val="2"/>
          <w:lang w:bidi="ar-SA"/>
        </w:rPr>
      </w:pPr>
      <w:r>
        <w:rPr>
          <w:color w:val="000000"/>
          <w:kern w:val="2"/>
          <w:lang w:bidi="ar-SA"/>
        </w:rPr>
        <w:t>zmiana sposobu spełnienia świadczenia:</w:t>
      </w:r>
    </w:p>
    <w:p>
      <w:pPr>
        <w:numPr>
          <w:ilvl w:val="0"/>
          <w:numId w:val="43"/>
        </w:numPr>
        <w:suppressAutoHyphens w:val="0"/>
        <w:spacing w:line="276" w:lineRule="auto"/>
        <w:ind w:left="1020" w:hanging="340"/>
        <w:jc w:val="both"/>
        <w:rPr>
          <w:color w:val="000000"/>
          <w:kern w:val="2"/>
          <w:lang w:bidi="ar-SA"/>
        </w:rPr>
      </w:pPr>
      <w:r>
        <w:rPr>
          <w:rFonts w:hint="default"/>
          <w:color w:val="000000"/>
          <w:kern w:val="2"/>
          <w:lang w:val="pl-PL" w:bidi="ar-SA"/>
        </w:rPr>
        <w:t>dopuszczalna jest zmiana zakresu robót budowlanych poprzez ich ograniczenie w sytuacji, gdy wykonanie niektórych robót okazało się zbędne, zmieniły się okoliczności związane z wykonaniem Umowy lub wykonanie poszczególnych robót nie leży w interesie pubicznym lub Zamawiającego, z zastrzeżeniem, że zakres robót nie może ulec zmianie o więcej niż 20% zakresu rzeczowego lub finansowego przedmiotu zamówienia,</w:t>
      </w:r>
    </w:p>
    <w:p>
      <w:pPr>
        <w:numPr>
          <w:ilvl w:val="0"/>
          <w:numId w:val="43"/>
        </w:numPr>
        <w:suppressAutoHyphens w:val="0"/>
        <w:spacing w:line="276" w:lineRule="auto"/>
        <w:ind w:left="1020" w:hanging="340"/>
        <w:jc w:val="both"/>
        <w:rPr>
          <w:color w:val="000000"/>
          <w:kern w:val="2"/>
          <w:lang w:bidi="ar-SA"/>
        </w:rPr>
      </w:pPr>
      <w:r>
        <w:rPr>
          <w:color w:val="000000"/>
          <w:kern w:val="2"/>
          <w:lang w:bidi="ar-SA"/>
        </w:rPr>
        <w:t>konieczność realizacji robót wynikających z wprowadzenia w dokumentacji projektowej zmian uznanych za nieistotne odstępstwo od projektu budowlanego, wynikających z art. 36a Prawo  budowlane;</w:t>
      </w:r>
    </w:p>
    <w:p>
      <w:pPr>
        <w:numPr>
          <w:ilvl w:val="0"/>
          <w:numId w:val="43"/>
        </w:numPr>
        <w:suppressAutoHyphens w:val="0"/>
        <w:spacing w:line="276" w:lineRule="auto"/>
        <w:ind w:left="1020" w:hanging="340"/>
        <w:jc w:val="both"/>
        <w:rPr>
          <w:color w:val="000000"/>
          <w:kern w:val="2"/>
          <w:lang w:bidi="ar-SA"/>
        </w:rPr>
      </w:pPr>
      <w:r>
        <w:rPr>
          <w:color w:val="000000"/>
          <w:kern w:val="2"/>
          <w:lang w:bidi="ar-SA"/>
        </w:rPr>
        <w:t>w wyniku wystąpienia warunków na terenie budowy odbiegających w sposób istotny od przyjętych w dokumentacji projektowej, w szczególności napotkania niezinwentaryzowanych lub błędnie zinwentaryzowanych sieci, instalacji lub innych obiektów budowlanych;</w:t>
      </w:r>
    </w:p>
    <w:p>
      <w:pPr>
        <w:numPr>
          <w:ilvl w:val="0"/>
          <w:numId w:val="43"/>
        </w:numPr>
        <w:suppressAutoHyphens w:val="0"/>
        <w:spacing w:line="276" w:lineRule="auto"/>
        <w:ind w:left="1020" w:hanging="340"/>
        <w:jc w:val="both"/>
        <w:rPr>
          <w:color w:val="000000"/>
          <w:kern w:val="2"/>
          <w:lang w:bidi="ar-SA"/>
        </w:rPr>
      </w:pPr>
      <w:r>
        <w:rPr>
          <w:color w:val="000000"/>
          <w:kern w:val="2"/>
          <w:lang w:bidi="ar-SA"/>
        </w:rPr>
        <w:t>niedostępność na rynku materiałów lub urządzeń wskazanych w dokumentacji projektowej spowodowanej zaprzestaniem produkcji lub wycofaniem z rynku tych materiałów lub urządzeń;</w:t>
      </w:r>
    </w:p>
    <w:p>
      <w:pPr>
        <w:numPr>
          <w:ilvl w:val="0"/>
          <w:numId w:val="43"/>
        </w:numPr>
        <w:suppressAutoHyphens w:val="0"/>
        <w:spacing w:line="276" w:lineRule="auto"/>
        <w:ind w:left="1020" w:hanging="340"/>
        <w:jc w:val="both"/>
        <w:rPr>
          <w:color w:val="000000"/>
          <w:kern w:val="2"/>
          <w:lang w:bidi="ar-SA"/>
        </w:rPr>
      </w:pPr>
      <w:r>
        <w:rPr>
          <w:color w:val="000000"/>
          <w:kern w:val="2"/>
          <w:lang w:bidi="ar-SA"/>
        </w:rPr>
        <w:t>konieczność zrealizowania projektu przy zastosowaniu innych rozwiązań technicznych/ technologicznych lub materiałowych (rozwiązań zamiennych) innych niż wskazane w dokumentacji projektowej, w sytuacji, gdyby zastosowanie przewidzianych rozwiązań groziło niewykonaniem lub wadliwym wykonaniem projektu lub ze względu na zmiany obowiązującego prawa;</w:t>
      </w:r>
    </w:p>
    <w:p>
      <w:pPr>
        <w:numPr>
          <w:ilvl w:val="0"/>
          <w:numId w:val="43"/>
        </w:numPr>
        <w:suppressAutoHyphens w:val="0"/>
        <w:spacing w:line="276" w:lineRule="auto"/>
        <w:ind w:left="1020" w:hanging="340"/>
        <w:jc w:val="both"/>
        <w:rPr>
          <w:color w:val="000000"/>
          <w:lang w:bidi="ar-SA"/>
        </w:rPr>
      </w:pPr>
      <w:r>
        <w:rPr>
          <w:color w:val="000000"/>
          <w:kern w:val="2"/>
          <w:highlight w:val="white"/>
          <w:lang w:bidi="ar-SA"/>
        </w:rPr>
        <w:t>w przypadku wystąpienia niebezpieczeństwa kolizji z planowanymi lub równolegle prowadzonymi przez in</w:t>
      </w:r>
      <w:r>
        <w:rPr>
          <w:color w:val="000000"/>
          <w:kern w:val="2"/>
          <w:lang w:bidi="ar-SA"/>
        </w:rPr>
        <w:t>ne podmioty inwestycjami w zakresie niezbędnym do uniknięcia lub usunięcia tych kolizji;</w:t>
      </w:r>
    </w:p>
    <w:p>
      <w:pPr>
        <w:numPr>
          <w:ilvl w:val="0"/>
          <w:numId w:val="42"/>
        </w:numPr>
        <w:suppressAutoHyphens w:val="0"/>
        <w:spacing w:line="276" w:lineRule="auto"/>
        <w:ind w:left="680" w:hanging="340"/>
        <w:jc w:val="both"/>
        <w:rPr>
          <w:color w:val="000000"/>
          <w:lang w:bidi="ar-SA"/>
        </w:rPr>
      </w:pPr>
      <w:r>
        <w:rPr>
          <w:color w:val="000000"/>
          <w:lang w:bidi="ar-SA"/>
        </w:rPr>
        <w:t xml:space="preserve">w przypadku wystąpienia robót nieobjętych niniejszą umową (robót dodatkowych), w szczególności </w:t>
      </w:r>
      <w:r>
        <w:rPr>
          <w:color w:val="000000"/>
          <w:lang w:val="en-US" w:bidi="ar-SA"/>
        </w:rPr>
        <w:tab/>
      </w:r>
      <w:r>
        <w:rPr>
          <w:color w:val="000000"/>
          <w:lang w:bidi="ar-SA"/>
        </w:rPr>
        <w:t>nie ujętych w dokumentacji projektowej, które nie były możliwe do przewidzenia w chwili</w:t>
      </w:r>
      <w:r>
        <w:rPr>
          <w:color w:val="000000"/>
          <w:lang w:val="en-US" w:bidi="ar-SA"/>
        </w:rPr>
        <w:tab/>
      </w:r>
      <w:r>
        <w:rPr>
          <w:color w:val="000000"/>
          <w:lang w:bidi="ar-SA"/>
        </w:rPr>
        <w:t>wszczęcia postępowania o udzielenie zamówienia publicznego, w wyniku którego doszło do</w:t>
      </w:r>
      <w:r>
        <w:rPr>
          <w:color w:val="000000"/>
          <w:lang w:val="en-US" w:bidi="ar-SA"/>
        </w:rPr>
        <w:tab/>
      </w:r>
      <w:r>
        <w:rPr>
          <w:color w:val="000000"/>
          <w:lang w:bidi="ar-SA"/>
        </w:rPr>
        <w:t xml:space="preserve">zawarcia umowy, a które są konieczne do realizacji przedmiotu umowy, gdy z przyczyn </w:t>
      </w:r>
      <w:r>
        <w:rPr>
          <w:color w:val="000000"/>
          <w:lang w:val="en-US" w:bidi="ar-SA"/>
        </w:rPr>
        <w:tab/>
      </w:r>
      <w:r>
        <w:rPr>
          <w:color w:val="000000"/>
          <w:lang w:bidi="ar-SA"/>
        </w:rPr>
        <w:t>technicznych lub gospodarczych oddzielne wykonanie tych robót wymagałoby poniesienia</w:t>
      </w:r>
      <w:r>
        <w:rPr>
          <w:color w:val="000000"/>
          <w:lang w:val="en-US" w:bidi="ar-SA"/>
        </w:rPr>
        <w:tab/>
      </w:r>
      <w:r>
        <w:rPr>
          <w:color w:val="000000"/>
          <w:lang w:bidi="ar-SA"/>
        </w:rPr>
        <w:t xml:space="preserve">niewspółmiernie wysokich kosztów lub wykonanie umowy jest uzależnione od wykonania tych </w:t>
      </w:r>
      <w:r>
        <w:rPr>
          <w:color w:val="000000"/>
          <w:lang w:val="en-US" w:bidi="ar-SA"/>
        </w:rPr>
        <w:tab/>
      </w:r>
      <w:r>
        <w:rPr>
          <w:color w:val="000000"/>
          <w:lang w:bidi="ar-SA"/>
        </w:rPr>
        <w:t xml:space="preserve">robót; Wykonawca sporządzi szczegółową kalkulację cen jednostkowych tych robót </w:t>
      </w:r>
      <w:r>
        <w:rPr>
          <w:color w:val="000000"/>
          <w:lang w:bidi="ar-SA"/>
        </w:rPr>
        <w:br w:type="textWrapping"/>
      </w:r>
      <w:r>
        <w:rPr>
          <w:color w:val="000000"/>
          <w:lang w:bidi="ar-SA"/>
        </w:rPr>
        <w:t>z uwzględnieniem cen czynników produkcji nie wyższych od średnich cen publikowanych w wydawnictw</w:t>
      </w:r>
      <w:r>
        <w:rPr>
          <w:rFonts w:hint="default"/>
          <w:color w:val="000000"/>
          <w:lang w:val="pl-PL" w:bidi="ar-SA"/>
        </w:rPr>
        <w:t>ie</w:t>
      </w:r>
      <w:r>
        <w:rPr>
          <w:color w:val="000000"/>
          <w:lang w:bidi="ar-SA"/>
        </w:rPr>
        <w:t xml:space="preserve"> branżowy</w:t>
      </w:r>
      <w:r>
        <w:rPr>
          <w:rFonts w:hint="default"/>
          <w:color w:val="000000"/>
          <w:lang w:val="pl-PL" w:bidi="ar-SA"/>
        </w:rPr>
        <w:t>m</w:t>
      </w:r>
      <w:r>
        <w:rPr>
          <w:color w:val="000000"/>
          <w:lang w:bidi="ar-SA"/>
        </w:rPr>
        <w:t xml:space="preserve"> SEKOCENBUD dla województwa, w którym roboty są wykonywane, aktualnych w miesiącu poprzedzającym miesiąc, w którym kalkulacja jest sporządzana;</w:t>
      </w:r>
    </w:p>
    <w:p>
      <w:pPr>
        <w:keepNext w:val="0"/>
        <w:keepLines w:val="0"/>
        <w:pageBreakBefore w:val="0"/>
        <w:widowControl/>
        <w:numPr>
          <w:ilvl w:val="0"/>
          <w:numId w:val="44"/>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color w:val="000000"/>
          <w:lang w:bidi="ar-SA"/>
        </w:rPr>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pPr>
        <w:keepNext w:val="0"/>
        <w:keepLines w:val="0"/>
        <w:pageBreakBefore w:val="0"/>
        <w:widowControl/>
        <w:numPr>
          <w:ilvl w:val="0"/>
          <w:numId w:val="44"/>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Jeżeli </w:t>
      </w:r>
      <w:r>
        <w:rPr>
          <w:bCs/>
          <w:color w:val="000000"/>
        </w:rPr>
        <w:t>Wykonawca</w:t>
      </w:r>
      <w:r>
        <w:rPr>
          <w:color w:val="000000"/>
        </w:rPr>
        <w:t xml:space="preserve"> uważa się za uprawnionego do zmiany umowy na podstawie wskazanej w niniejszej umowie, zobowiązany jest do sporządzenia i przekazania Zamawiającemu wniosku dotyczącego zmiany umowy wraz z opisem zdarzenia lub okoliczności stanowiących podstawę do żądania takiej zmiany.</w:t>
      </w:r>
    </w:p>
    <w:p>
      <w:pPr>
        <w:keepNext w:val="0"/>
        <w:keepLines w:val="0"/>
        <w:pageBreakBefore w:val="0"/>
        <w:widowControl/>
        <w:numPr>
          <w:ilvl w:val="0"/>
          <w:numId w:val="44"/>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bCs/>
          <w:color w:val="000000"/>
        </w:rPr>
        <w:t>Wykonawca</w:t>
      </w:r>
      <w:r>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p>
    <w:p>
      <w:pPr>
        <w:keepNext w:val="0"/>
        <w:keepLines w:val="0"/>
        <w:pageBreakBefore w:val="0"/>
        <w:widowControl/>
        <w:numPr>
          <w:ilvl w:val="0"/>
          <w:numId w:val="44"/>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pPr>
        <w:keepNext w:val="0"/>
        <w:keepLines w:val="0"/>
        <w:pageBreakBefore w:val="0"/>
        <w:widowControl/>
        <w:numPr>
          <w:ilvl w:val="0"/>
          <w:numId w:val="44"/>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Wszystkie powyższe postanowienia stanowią katalog zmian, na które Zamawiający może wyrazić zgodę. Nie stanowią jednocześnie zobowiązania do wyrażenia takiej zgody.</w:t>
      </w:r>
    </w:p>
    <w:p>
      <w:pPr>
        <w:keepNext w:val="0"/>
        <w:keepLines w:val="0"/>
        <w:pageBreakBefore w:val="0"/>
        <w:widowControl/>
        <w:numPr>
          <w:ilvl w:val="0"/>
          <w:numId w:val="44"/>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Wszelkie zmiany i uzupełnienia umowy wymagają formy pisemnej pod rygorem nieważności, w drodze podpisanego przez obie Strony aneksu pod rygorem nieważności.</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5</w:t>
      </w:r>
    </w:p>
    <w:p>
      <w:pPr>
        <w:spacing w:line="276" w:lineRule="auto"/>
        <w:jc w:val="center"/>
        <w:rPr>
          <w:b/>
          <w:color w:val="000000"/>
          <w:highlight w:val="none"/>
        </w:rPr>
      </w:pPr>
      <w:r>
        <w:rPr>
          <w:b/>
          <w:color w:val="000000"/>
          <w:highlight w:val="none"/>
        </w:rPr>
        <w:t>Zmiana wynagrodzenia Wykonawcy</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przewiduje możliwość dokonania zmiany wysokości wynagrodzenia należnego Wykonawcy.</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Strony mogą żądać zmiany wysokości wynagrodzenia jeżeli poziom ceny oferty zwiększył się o </w:t>
      </w:r>
      <w:r>
        <w:rPr>
          <w:rFonts w:hint="default"/>
          <w:color w:val="000000"/>
          <w:lang w:val="pl-PL"/>
        </w:rPr>
        <w:t>1</w:t>
      </w:r>
      <w:r>
        <w:rPr>
          <w:b/>
          <w:bCs/>
          <w:color w:val="000000"/>
        </w:rPr>
        <w:t>%</w:t>
      </w:r>
      <w:r>
        <w:rPr>
          <w:color w:val="000000"/>
        </w:rPr>
        <w:t xml:space="preserve"> w danym kwartale.</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Na wniosek Wykonawcy, Zamawiający zwiększy wynagrodzenie o wskaźnik zmiany ceny publikowany w wydawnictwie </w:t>
      </w:r>
      <w:r>
        <w:rPr>
          <w:color w:val="000000"/>
          <w:highlight w:val="none"/>
        </w:rPr>
        <w:t xml:space="preserve">Secocenbud - Zagregowane Wskaźniki Waloryzacyjno-Prognostyczne, tabela </w:t>
      </w:r>
      <w:r>
        <w:rPr>
          <w:rFonts w:hint="default"/>
          <w:color w:val="000000"/>
          <w:highlight w:val="none"/>
          <w:lang w:val="pl-PL"/>
        </w:rPr>
        <w:t>11</w:t>
      </w:r>
      <w:r>
        <w:rPr>
          <w:color w:val="000000"/>
          <w:highlight w:val="none"/>
        </w:rPr>
        <w:t xml:space="preserve"> poz. 1 Drogi kołowe, </w:t>
      </w:r>
      <w:r>
        <w:rPr>
          <w:color w:val="000000"/>
        </w:rPr>
        <w:t>wyliczając ją w następujący sposób: kwotę wynagrodzenia pozostającą do zapłaty do końca realizacji zadania zwiększy się o iloczyn kwoty i w/w wskaźnika z poprzedzającego kwartału.</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Waloryzacji podlegać będzie wyłącznie wynagrodzenie Wykonawcy za roboty pozostałe do wykonania w okresie podlegającym waloryzacji.</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Waloryzacji nie będzie podlegać wynagrodzenie Wykonawcy za roboty związane ze zmianą sposobu świadczenia, w szczególności roboty dodatkowe lub zamienne.</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Waloryzacji podlegać będzie wyłącznie wynagrodzenie Wykonawcy za roboty wykonane w terminie zakończenia robót, a po upływie tego terminu wynagrodzenie nie będzie ulegało dalszym zmianom.</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Pierwsza waloryzacja może nastąpić nie wcześniej niż </w:t>
      </w:r>
      <w:r>
        <w:rPr>
          <w:rFonts w:hint="default"/>
          <w:b w:val="0"/>
          <w:bCs w:val="0"/>
          <w:color w:val="000000"/>
          <w:lang w:val="pl-PL"/>
        </w:rPr>
        <w:t>po 6 miesiącach</w:t>
      </w:r>
      <w:r>
        <w:rPr>
          <w:rFonts w:hint="default"/>
          <w:color w:val="000000"/>
          <w:lang w:val="pl-PL"/>
        </w:rPr>
        <w:t xml:space="preserve"> </w:t>
      </w:r>
      <w:r>
        <w:rPr>
          <w:color w:val="000000"/>
        </w:rPr>
        <w:t xml:space="preserve">od dnia </w:t>
      </w:r>
      <w:r>
        <w:rPr>
          <w:rFonts w:hint="default"/>
          <w:color w:val="000000"/>
          <w:lang w:val="pl-PL"/>
        </w:rPr>
        <w:t xml:space="preserve">protokolarnego przekazania </w:t>
      </w:r>
      <w:r>
        <w:rPr>
          <w:color w:val="000000"/>
        </w:rPr>
        <w:t>terenu budowy</w:t>
      </w:r>
      <w:r>
        <w:rPr>
          <w:rFonts w:hint="default"/>
          <w:color w:val="000000"/>
          <w:lang w:val="pl-PL"/>
        </w:rPr>
        <w:t xml:space="preserve"> </w:t>
      </w:r>
      <w:r>
        <w:rPr>
          <w:color w:val="000000"/>
        </w:rPr>
        <w:t xml:space="preserve">w oparciu </w:t>
      </w:r>
      <w:r>
        <w:rPr>
          <w:lang w:val="pl"/>
        </w:rPr>
        <w:t xml:space="preserve">o klauzulę waloryzacyjną, o której mowa w ust. </w:t>
      </w:r>
      <w:r>
        <w:t>3</w:t>
      </w:r>
      <w:r>
        <w:rPr>
          <w:lang w:val="pl"/>
        </w:rPr>
        <w:t xml:space="preserve"> niniejszego paragrafu</w:t>
      </w:r>
      <w:r>
        <w:t>.</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Następne mogą mieć miejsce po upływie odpowiednio kolejnego kwartału kalendarzowego (o ile taki przypadek wystąpi).</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Maksymalna wartość zmiany wynagrodzenia, jaką dopuszcza Zamawiający w efekcie zastosowania ww. postanowień nie przekroczy </w:t>
      </w:r>
      <w:r>
        <w:rPr>
          <w:b/>
          <w:bCs/>
          <w:color w:val="000000"/>
        </w:rPr>
        <w:t xml:space="preserve">5% </w:t>
      </w:r>
      <w:r>
        <w:rPr>
          <w:color w:val="000000"/>
        </w:rPr>
        <w:t xml:space="preserve">wynagrodzenia umownego brutto, o którym mowa </w:t>
      </w:r>
      <w:r>
        <w:rPr>
          <w:color w:val="000000"/>
          <w:highlight w:val="none"/>
        </w:rPr>
        <w:t xml:space="preserve">w § </w:t>
      </w:r>
      <w:r>
        <w:rPr>
          <w:rFonts w:hint="default"/>
          <w:color w:val="000000"/>
          <w:highlight w:val="none"/>
          <w:lang w:val="pl-PL"/>
        </w:rPr>
        <w:t>7</w:t>
      </w:r>
      <w:r>
        <w:rPr>
          <w:color w:val="000000"/>
          <w:highlight w:val="none"/>
        </w:rPr>
        <w:t xml:space="preserve"> ust. 1.</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Zmiana wynagrodzenia w związku z zastosowaniem niniejszego paragrafu wyczerpuje roszczenia Wykonawcy związane ze zmianą ceny lub kosztów związanych z wykonaniem umowy.</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bCs/>
          <w:color w:val="000000"/>
        </w:rPr>
      </w:pPr>
      <w:r>
        <w:rPr>
          <w:color w:val="000000"/>
        </w:rPr>
        <w:t xml:space="preserve">Zarówno zwiększenie jak i zmniejszenie wynagrodzenia Wykonawcy nastąpi w formie aneksu do umowy . </w:t>
      </w:r>
      <w:r>
        <w:rPr>
          <w:lang w:val="pl"/>
        </w:rPr>
        <w:t>W takim przypadku strony powinny poinformować się nawzajem o tym fakcie z 10 dniowym wyprzedzeniem w formie pisemnej pod rygorem nieważności dokonania tej zmiany.</w:t>
      </w:r>
      <w:r>
        <w:t xml:space="preserve">  </w:t>
      </w:r>
      <w:r>
        <w:rPr>
          <w:color w:val="000000"/>
        </w:rPr>
        <w:t xml:space="preserve">Strony zobowiązane są do załączenia do wniosku wyliczenia zmiany określającego wysokość wynagrodzenia po zmianie, w tym wykazania bezpośredniego wpływu zmiany na wysokość wynagrodzenia.  </w:t>
      </w:r>
    </w:p>
    <w:p>
      <w:pPr>
        <w:numPr>
          <w:ilvl w:val="0"/>
          <w:numId w:val="45"/>
        </w:numPr>
        <w:tabs>
          <w:tab w:val="left" w:pos="343"/>
          <w:tab w:val="clear" w:pos="720"/>
        </w:tabs>
        <w:spacing w:line="276" w:lineRule="auto"/>
        <w:ind w:left="340" w:hanging="340"/>
        <w:jc w:val="both"/>
        <w:rPr>
          <w:bCs/>
          <w:color w:val="000000"/>
        </w:rPr>
      </w:pPr>
      <w:r>
        <w:rPr>
          <w:bCs/>
          <w:color w:val="000000"/>
        </w:rPr>
        <w:t>Zamawiający dopuszcza zmianę wynagrodzenia w wypadku wystąpienia którejkolwiek ze zmian przepisów wskazanych w art. 436 pkt 4 lit. b) ustawy z dnia 11 września 2019 r. Prawo zamówień publicznych, tj. zmiany:</w:t>
      </w:r>
    </w:p>
    <w:p>
      <w:pPr>
        <w:numPr>
          <w:ilvl w:val="0"/>
          <w:numId w:val="46"/>
        </w:numPr>
        <w:tabs>
          <w:tab w:val="left" w:pos="343"/>
          <w:tab w:val="clear" w:pos="425"/>
        </w:tabs>
        <w:spacing w:line="276" w:lineRule="auto"/>
        <w:jc w:val="both"/>
        <w:rPr>
          <w:bCs/>
          <w:color w:val="000000"/>
        </w:rPr>
      </w:pPr>
      <w:r>
        <w:rPr>
          <w:bCs/>
          <w:color w:val="000000"/>
        </w:rPr>
        <w:t>stawki podatku od towarów i usług oraz podatku akcyzowego,</w:t>
      </w:r>
    </w:p>
    <w:p>
      <w:pPr>
        <w:numPr>
          <w:ilvl w:val="0"/>
          <w:numId w:val="46"/>
        </w:numPr>
        <w:tabs>
          <w:tab w:val="left" w:pos="343"/>
          <w:tab w:val="clear" w:pos="425"/>
        </w:tabs>
        <w:spacing w:line="276" w:lineRule="auto"/>
        <w:jc w:val="both"/>
        <w:rPr>
          <w:bCs/>
          <w:color w:val="000000"/>
        </w:rPr>
      </w:pPr>
      <w:r>
        <w:rPr>
          <w:bCs/>
          <w:color w:val="000000"/>
        </w:rPr>
        <w:t>wysokości minimalnego wynagrodzenia za pracę albo wysokości minimalnej stawki godzinowej, ustalonych na podstawie ustawy z dnia 10 października 2002 r. o minimalnym wynagrodzeniu za pracę,</w:t>
      </w:r>
    </w:p>
    <w:p>
      <w:pPr>
        <w:numPr>
          <w:ilvl w:val="0"/>
          <w:numId w:val="46"/>
        </w:numPr>
        <w:tabs>
          <w:tab w:val="left" w:pos="343"/>
          <w:tab w:val="clear" w:pos="425"/>
        </w:tabs>
        <w:spacing w:line="276" w:lineRule="auto"/>
        <w:jc w:val="both"/>
        <w:rPr>
          <w:bCs/>
          <w:color w:val="000000"/>
        </w:rPr>
      </w:pPr>
      <w:r>
        <w:rPr>
          <w:bCs/>
          <w:color w:val="000000"/>
        </w:rPr>
        <w:t>zasad podlegania ubezpieczeniom społecznym lub ubezpieczeniu zdrowotnemu lub wysokości stawki składki na ubezpieczenia społeczne lub ubezpieczenie zdrowotne,</w:t>
      </w:r>
    </w:p>
    <w:p>
      <w:pPr>
        <w:numPr>
          <w:ilvl w:val="0"/>
          <w:numId w:val="46"/>
        </w:numPr>
        <w:tabs>
          <w:tab w:val="left" w:pos="343"/>
          <w:tab w:val="clear" w:pos="425"/>
        </w:tabs>
        <w:spacing w:line="276" w:lineRule="auto"/>
        <w:jc w:val="both"/>
        <w:rPr>
          <w:bCs/>
          <w:color w:val="000000"/>
        </w:rPr>
      </w:pPr>
      <w:r>
        <w:rPr>
          <w:bCs/>
          <w:color w:val="000000"/>
        </w:rPr>
        <w:t>zasad gromadzenia i wysokości wpłat do pracowniczych planów kapitałowych, o których mowa w ustawie z dnia 4 października 2018 r. o pracowniczych planach kapitałowych,</w:t>
      </w:r>
    </w:p>
    <w:p>
      <w:pPr>
        <w:tabs>
          <w:tab w:val="left" w:pos="343"/>
        </w:tabs>
        <w:spacing w:line="276" w:lineRule="auto"/>
        <w:jc w:val="both"/>
        <w:rPr>
          <w:bCs/>
          <w:color w:val="000000"/>
        </w:rPr>
      </w:pPr>
      <w:r>
        <w:rPr>
          <w:bCs/>
          <w:color w:val="000000"/>
        </w:rPr>
        <w:tab/>
      </w:r>
      <w:r>
        <w:rPr>
          <w:bCs/>
          <w:color w:val="000000"/>
        </w:rPr>
        <w:tab/>
      </w:r>
      <w:r>
        <w:rPr>
          <w:bCs/>
          <w:color w:val="000000"/>
        </w:rPr>
        <w:t>‒ jeżeli zmiany te będą miały wpływ na koszty wykonania zamówienia przez wykonawcę.</w:t>
      </w:r>
    </w:p>
    <w:p>
      <w:pPr>
        <w:keepNext w:val="0"/>
        <w:keepLines w:val="0"/>
        <w:pageBreakBefore w:val="0"/>
        <w:widowControl/>
        <w:numPr>
          <w:ilvl w:val="0"/>
          <w:numId w:val="47"/>
        </w:numPr>
        <w:tabs>
          <w:tab w:val="left" w:pos="343"/>
        </w:tabs>
        <w:kinsoku/>
        <w:wordWrap/>
        <w:overflowPunct/>
        <w:topLinePunct w:val="0"/>
        <w:autoSpaceDE/>
        <w:autoSpaceDN/>
        <w:bidi w:val="0"/>
        <w:adjustRightInd/>
        <w:snapToGrid/>
        <w:spacing w:before="181" w:beforeLines="50" w:line="240" w:lineRule="auto"/>
        <w:ind w:left="425" w:hanging="425"/>
        <w:jc w:val="both"/>
        <w:textAlignment w:val="auto"/>
        <w:rPr>
          <w:bCs/>
          <w:color w:val="000000"/>
          <w:highlight w:val="none"/>
        </w:rPr>
      </w:pPr>
      <w:r>
        <w:rPr>
          <w:bCs/>
          <w:color w:val="000000"/>
          <w:highlight w:val="none"/>
        </w:rPr>
        <w:t>Zmiana wysokości wynagrodzenia obowiązywać będzie od dnia wejścia w życie zmian o których mowa w ust. 12.</w:t>
      </w:r>
    </w:p>
    <w:p>
      <w:pPr>
        <w:keepNext w:val="0"/>
        <w:keepLines w:val="0"/>
        <w:pageBreakBefore w:val="0"/>
        <w:widowControl/>
        <w:numPr>
          <w:ilvl w:val="0"/>
          <w:numId w:val="47"/>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 xml:space="preserve">W wypadku zmiany, o której mowa w ust. 12 ppkt a) wartość netto wynagrodzenia Wykonawcy nie zmieni się, a </w:t>
      </w:r>
      <w:r>
        <w:rPr>
          <w:rFonts w:hint="default"/>
          <w:bCs/>
          <w:color w:val="000000"/>
          <w:lang w:val="pl-PL"/>
        </w:rPr>
        <w:t>s</w:t>
      </w:r>
      <w:r>
        <w:rPr>
          <w:rFonts w:hint="default"/>
          <w:bCs/>
          <w:color w:val="000000"/>
        </w:rPr>
        <w:t>trony w drodze pisemnego aneksu wprowadzą do umowy zmienioną stawkę podatku od towarów i usług i nową wartość brutto umowy.</w:t>
      </w:r>
    </w:p>
    <w:p>
      <w:pPr>
        <w:keepNext w:val="0"/>
        <w:keepLines w:val="0"/>
        <w:pageBreakBefore w:val="0"/>
        <w:widowControl/>
        <w:numPr>
          <w:ilvl w:val="0"/>
          <w:numId w:val="47"/>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której mowa w ust. 12  ppkt b)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pPr>
        <w:keepNext w:val="0"/>
        <w:keepLines w:val="0"/>
        <w:pageBreakBefore w:val="0"/>
        <w:widowControl/>
        <w:numPr>
          <w:ilvl w:val="0"/>
          <w:numId w:val="47"/>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którym mowa w ust. 12  ppkt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keepNext w:val="0"/>
        <w:keepLines w:val="0"/>
        <w:pageBreakBefore w:val="0"/>
        <w:widowControl/>
        <w:numPr>
          <w:ilvl w:val="0"/>
          <w:numId w:val="47"/>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którym mowa w ust. 12 ppkt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keepNext w:val="0"/>
        <w:keepLines w:val="0"/>
        <w:pageBreakBefore w:val="0"/>
        <w:widowControl/>
        <w:numPr>
          <w:ilvl w:val="0"/>
          <w:numId w:val="47"/>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Za wyjątkiem sytuacji o której mowa w ust. 12 ppkt a), wprowadzenie zmian wysokości wynagrodzenia wymaga uprzedniego złożenia przez Wykonawcę oświadczenia o wysokości dodatkowych koszów wynikających z wprowadzenia zmian, o których mowa w ust. 12 ppkt b, c, oraz d, oraz dokumentów potwierdzających stan sprzed i po zmianie. Zmiany mogą nastąpić nie wcześniej, niż po upływie 6 miesięcy od dnia udzielenia zamówienia.</w:t>
      </w:r>
    </w:p>
    <w:p>
      <w:pPr>
        <w:tabs>
          <w:tab w:val="left" w:pos="343"/>
        </w:tabs>
        <w:spacing w:line="276" w:lineRule="auto"/>
        <w:jc w:val="both"/>
        <w:rPr>
          <w:b/>
          <w:color w:val="000000"/>
        </w:rPr>
      </w:pPr>
    </w:p>
    <w:p>
      <w:pPr>
        <w:tabs>
          <w:tab w:val="left" w:pos="343"/>
        </w:tabs>
        <w:spacing w:line="276" w:lineRule="auto"/>
        <w:jc w:val="both"/>
        <w:rPr>
          <w:b/>
          <w:color w:val="000000"/>
        </w:rPr>
      </w:pPr>
    </w:p>
    <w:p>
      <w:pPr>
        <w:spacing w:line="276" w:lineRule="auto"/>
        <w:jc w:val="center"/>
        <w:rPr>
          <w:b/>
          <w:color w:val="000000"/>
        </w:rPr>
      </w:pPr>
      <w:r>
        <w:rPr>
          <w:b/>
          <w:color w:val="000000"/>
        </w:rPr>
        <w:t>§ 1</w:t>
      </w:r>
      <w:r>
        <w:rPr>
          <w:rFonts w:hint="default"/>
          <w:b/>
          <w:color w:val="000000"/>
          <w:lang w:val="pl-PL"/>
        </w:rPr>
        <w:t>6</w:t>
      </w:r>
    </w:p>
    <w:p>
      <w:pPr>
        <w:spacing w:line="276" w:lineRule="auto"/>
        <w:jc w:val="center"/>
        <w:rPr>
          <w:b/>
          <w:color w:val="000000"/>
        </w:rPr>
      </w:pPr>
      <w:r>
        <w:rPr>
          <w:b/>
          <w:color w:val="000000"/>
        </w:rPr>
        <w:t>Mediacje</w:t>
      </w:r>
    </w:p>
    <w:p>
      <w:pPr>
        <w:keepNext w:val="0"/>
        <w:keepLines w:val="0"/>
        <w:pageBreakBefore w:val="0"/>
        <w:widowControl/>
        <w:numPr>
          <w:ilvl w:val="0"/>
          <w:numId w:val="4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Spory wynikłe w toku realizacji umowy o roszczenia cywilnoprawne, w pierwszej kolejności będą prowadzić do mediacji z wybranym mediatorem albo osobą prowadzącą polubowne rozwiązanie sporu lub do innego polubownego rozwiązania sporu przed Sądem Polubownym przy Prokuratorii Generalnej Rzeczypospolitej Polskiej, tym samym zawarcie ugody jest dopuszczalne.</w:t>
      </w:r>
    </w:p>
    <w:p>
      <w:pPr>
        <w:keepNext w:val="0"/>
        <w:keepLines w:val="0"/>
        <w:pageBreakBefore w:val="0"/>
        <w:widowControl/>
        <w:numPr>
          <w:ilvl w:val="0"/>
          <w:numId w:val="4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pPr>
        <w:keepNext w:val="0"/>
        <w:keepLines w:val="0"/>
        <w:pageBreakBefore w:val="0"/>
        <w:widowControl/>
        <w:numPr>
          <w:ilvl w:val="0"/>
          <w:numId w:val="4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Jeżeli spór nie zostanie rozwiązany w terminie uzgodnionym pisemnie przez strony, każda ze stron może poddać spór pod rozstrzygnięcie sądu arbitrażowego, o którym mowa w ust. 4.</w:t>
      </w:r>
    </w:p>
    <w:p>
      <w:pPr>
        <w:keepNext w:val="0"/>
        <w:keepLines w:val="0"/>
        <w:pageBreakBefore w:val="0"/>
        <w:widowControl/>
        <w:numPr>
          <w:ilvl w:val="0"/>
          <w:numId w:val="4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pPr>
        <w:keepNext w:val="0"/>
        <w:keepLines w:val="0"/>
        <w:pageBreakBefore w:val="0"/>
        <w:widowControl/>
        <w:numPr>
          <w:ilvl w:val="0"/>
          <w:numId w:val="4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t>Skład oraz zasady działania sądu polubownego wymagają oddzielnej umowy Stron, a w braku możliwości osiągnięcia porozumienia Stron w zakresie koniecznym do jej zawarcia, zastosowanie znajdą przepisy Kodeksu postępowania cywilnego.</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7</w:t>
      </w:r>
    </w:p>
    <w:p>
      <w:pPr>
        <w:spacing w:line="276" w:lineRule="auto"/>
        <w:jc w:val="center"/>
        <w:rPr>
          <w:color w:val="000000"/>
        </w:rPr>
      </w:pPr>
      <w:r>
        <w:rPr>
          <w:b/>
          <w:color w:val="000000"/>
        </w:rPr>
        <w:t>Wymagania dotyczące zatrudniania na podstawie umowy o pracę</w:t>
      </w:r>
    </w:p>
    <w:p>
      <w:pPr>
        <w:numPr>
          <w:ilvl w:val="0"/>
          <w:numId w:val="49"/>
        </w:numPr>
        <w:tabs>
          <w:tab w:val="left" w:pos="335"/>
          <w:tab w:val="clear" w:pos="720"/>
        </w:tabs>
        <w:spacing w:before="120" w:beforeLines="50" w:line="276" w:lineRule="auto"/>
        <w:ind w:left="340" w:hanging="340"/>
        <w:jc w:val="both"/>
      </w:pPr>
      <w:r>
        <w:rPr>
          <w:color w:val="000000"/>
        </w:rPr>
        <w:t xml:space="preserve">Zamawiający stosownie do art. 95 ust. 1 ustawy Pzp wymaga, aby Wykonawca lub Podwykonawca przy realizacji przedmiotu zamówienia zatrudniał pracowników zatrudnionych na podstawie stosunku pracy w rozumieniu przepisów Kodeksu Pracy </w:t>
      </w:r>
      <w:r>
        <w:rPr>
          <w:color w:val="000000"/>
          <w:highlight w:val="white"/>
        </w:rPr>
        <w:t xml:space="preserve">(art. 22 §1 ustawy z dnia 26 czerwca 1974 r. – Kodeks pracy), </w:t>
      </w:r>
      <w:r>
        <w:rPr>
          <w:color w:val="000000"/>
        </w:rPr>
        <w:t xml:space="preserve">tj.: </w:t>
      </w:r>
    </w:p>
    <w:p>
      <w:pPr>
        <w:pStyle w:val="20"/>
        <w:widowControl w:val="0"/>
        <w:tabs>
          <w:tab w:val="left" w:pos="60"/>
          <w:tab w:val="left" w:pos="735"/>
        </w:tabs>
        <w:suppressAutoHyphens/>
        <w:bidi w:val="0"/>
        <w:ind w:left="1440" w:right="0"/>
        <w:jc w:val="left"/>
        <w:rPr>
          <w:rFonts w:ascii="Times New Roman" w:hAnsi="Times New Roman" w:eastAsia="Times New Roman" w:cs="Times New Roman"/>
          <w:vanish w:val="0"/>
          <w:color w:val="000000"/>
          <w:sz w:val="22"/>
          <w:szCs w:val="22"/>
          <w:shd w:val="clear" w:color="auto" w:fill="auto"/>
          <w:lang w:val="pl-PL"/>
        </w:rPr>
      </w:pPr>
      <w:r>
        <w:rPr>
          <w:rFonts w:ascii="Times New Roman" w:hAnsi="Times New Roman" w:eastAsia="Times New Roman" w:cs="Times New Roman"/>
          <w:color w:val="000000"/>
          <w:sz w:val="22"/>
          <w:szCs w:val="22"/>
          <w:shd w:val="clear" w:color="auto" w:fill="auto"/>
          <w:lang w:val="pl-PL"/>
        </w:rPr>
        <w:t xml:space="preserve">1) prace </w:t>
      </w:r>
      <w:r>
        <w:rPr>
          <w:rFonts w:ascii="Times New Roman" w:hAnsi="Times New Roman" w:eastAsia="Times New Roman" w:cs="Times New Roman"/>
          <w:vanish w:val="0"/>
          <w:color w:val="000000"/>
          <w:sz w:val="22"/>
          <w:szCs w:val="22"/>
          <w:shd w:val="clear" w:color="auto" w:fill="auto"/>
          <w:lang w:val="pl-PL"/>
        </w:rPr>
        <w:t>rozbiórkowe, demontażowe</w:t>
      </w:r>
    </w:p>
    <w:p>
      <w:pPr>
        <w:pStyle w:val="20"/>
        <w:widowControl w:val="0"/>
        <w:tabs>
          <w:tab w:val="left" w:pos="60"/>
          <w:tab w:val="left" w:pos="735"/>
        </w:tabs>
        <w:suppressAutoHyphens/>
        <w:bidi w:val="0"/>
        <w:ind w:left="1440" w:right="0"/>
        <w:jc w:val="left"/>
        <w:rPr>
          <w:rFonts w:ascii="Times New Roman" w:hAnsi="Times New Roman" w:cs="Times New Roman"/>
          <w:color w:val="000000"/>
          <w:sz w:val="22"/>
          <w:szCs w:val="22"/>
          <w:lang w:val="pl-PL"/>
        </w:rPr>
      </w:pPr>
      <w:r>
        <w:rPr>
          <w:rFonts w:ascii="Times New Roman" w:hAnsi="Times New Roman" w:eastAsia="Times New Roman" w:cs="Times New Roman"/>
          <w:vanish w:val="0"/>
          <w:color w:val="000000"/>
          <w:sz w:val="22"/>
          <w:szCs w:val="22"/>
          <w:shd w:val="clear" w:color="auto" w:fill="auto"/>
          <w:lang w:val="pl-PL"/>
        </w:rPr>
        <w:t>2) roboty ziemne</w:t>
      </w:r>
    </w:p>
    <w:p>
      <w:pPr>
        <w:pStyle w:val="20"/>
        <w:bidi w:val="0"/>
        <w:ind w:left="1440" w:right="0"/>
        <w:jc w:val="left"/>
        <w:rPr>
          <w:rFonts w:hint="default"/>
          <w:lang w:val="pl-PL"/>
        </w:rPr>
      </w:pPr>
      <w:r>
        <w:rPr>
          <w:rFonts w:ascii="Times New Roman" w:hAnsi="Times New Roman" w:cs="Times New Roman"/>
          <w:color w:val="000000"/>
          <w:sz w:val="22"/>
          <w:szCs w:val="22"/>
          <w:lang w:val="pl-PL"/>
        </w:rPr>
        <w:t>3) prace przy układaniu asfaltu</w:t>
      </w:r>
      <w:r>
        <w:rPr>
          <w:rFonts w:ascii="Times New Roman" w:hAnsi="Times New Roman" w:eastAsia="Times New Roman" w:cs="Times New Roman"/>
          <w:color w:val="000000"/>
          <w:sz w:val="22"/>
          <w:szCs w:val="22"/>
          <w:lang w:val="pl-PL"/>
        </w:rPr>
        <w:t xml:space="preserve"> </w:t>
      </w:r>
      <w:r>
        <w:rPr>
          <w:rFonts w:ascii="Times New Roman" w:hAnsi="Times New Roman" w:eastAsia="Times New Roman" w:cs="Times New Roman"/>
          <w:vanish w:val="0"/>
          <w:color w:val="000000"/>
          <w:sz w:val="22"/>
          <w:szCs w:val="22"/>
          <w:lang w:val="pl-PL"/>
        </w:rPr>
        <w:t>i płyt drogowych betonowych</w:t>
      </w:r>
      <w:r>
        <w:rPr>
          <w:rFonts w:hint="default" w:ascii="Times New Roman" w:hAnsi="Times New Roman" w:cs="Times New Roman"/>
          <w:vanish w:val="0"/>
          <w:color w:val="000000"/>
          <w:sz w:val="22"/>
          <w:szCs w:val="22"/>
          <w:lang w:val="pl-PL"/>
        </w:rPr>
        <w:t>.</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white"/>
        </w:rPr>
      </w:pPr>
      <w:r>
        <w:rPr>
          <w:color w:val="000000"/>
          <w:highlight w:val="white"/>
        </w:rPr>
        <w:t>Wykonawca lub Podwykonawca zatrudni osoby, o których mowa w ust. 1, na okres realizacji zamówienia.    W przypadku rozwiązania stosunku pracy przed zakończeniem tego okresu, zobowiązuje się do niezwłocznego zatrudnienia na to miejsce innej osoby.</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Najpóźniej w dniu przejęcia terenu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Roboty budowlane objęte przedmiotem umowy będą świadczone przez osoby zatrudnione na podstawie stosunku pracy w rozumieniu przepisów Kodeksu pracy - zwane Pracownikami.</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Wykonawca zobowiązuje się, że Pracownicy wykonujący przedmiot umowy wskazani w Wykazie Pracowników będą w okresie realizacji umowy zatrudnieni na podstawie stosunku pracy w rozumieniu przepisów ustawy z dnia 26 czerwca 1974 r- Kodeks pracy </w:t>
      </w:r>
      <w:r>
        <w:rPr>
          <w:color w:val="000000"/>
          <w:highlight w:val="none"/>
        </w:rPr>
        <w:t>(t. j. Dz. U. z 202</w:t>
      </w:r>
      <w:r>
        <w:rPr>
          <w:rFonts w:hint="default"/>
          <w:color w:val="000000"/>
          <w:highlight w:val="none"/>
          <w:lang w:val="pl-PL"/>
        </w:rPr>
        <w:t>3</w:t>
      </w:r>
      <w:r>
        <w:rPr>
          <w:color w:val="000000"/>
          <w:highlight w:val="none"/>
        </w:rPr>
        <w:t>r., poz. 1</w:t>
      </w:r>
      <w:r>
        <w:rPr>
          <w:rFonts w:hint="default"/>
          <w:color w:val="000000"/>
          <w:highlight w:val="none"/>
          <w:lang w:val="pl-PL"/>
        </w:rPr>
        <w:t>465</w:t>
      </w:r>
      <w:r>
        <w:rPr>
          <w:color w:val="000000"/>
          <w:highlight w:val="none"/>
        </w:rPr>
        <w:t>)</w:t>
      </w:r>
      <w:r>
        <w:rPr>
          <w:color w:val="000000"/>
        </w:rPr>
        <w:t xml:space="preserve"> oraz otrzymywać wynagrodzenie za pracę równe lub przekraczające równowartość wysokości wynagrodzenia minimalnego, o którym mowa w ustawie z dnia 10 października 2002r o minimalnym wynagrodzeniu za pracę (t.j. Dz. U. z 2020r, poz. 2207</w:t>
      </w:r>
      <w:r>
        <w:rPr>
          <w:rFonts w:hint="default"/>
          <w:color w:val="000000"/>
          <w:lang w:val="pl-PL"/>
        </w:rPr>
        <w:t xml:space="preserve"> z późn.zm</w:t>
      </w:r>
      <w:bookmarkStart w:id="0" w:name="_GoBack"/>
      <w:bookmarkEnd w:id="0"/>
      <w:r>
        <w:rPr>
          <w:color w:val="000000"/>
        </w:rPr>
        <w:t>).</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 celu weryfikacji czy osoby wskazane w Wykazie Pracowników są zatrudnione na podstawie stosunku pracy Zamawiający przewiduje możliwość zwrócenia się z wnioskiem o przeprowadzenie kontroli przez Państwową Inspekcję Pracy.</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celu kontroli przestrzegania postanowień umowy przez Wykonawcę przedstawiciel Zamawiającego uprawniony jest w każdym czasie do weryfikacji Personelu Wykonawcy uczestniczącego w realizacji przedmiotu umowy.</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planowanej zmianie osób, przy pomocy których Wykonawca wykonuje Przedmiot Umowy, Wykonawca zobowiązany jest niezwłocznie powiadomić Zamawiającego na piśmie przed dopuszczeniem tych osób do wykonywania prac.</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na każde wezwanie Zamawiającego zobowiązuje się przedstawić bieżące dokumenty/ oświadczenia potwierdzające, że Przedmiot Umowy jest wykonywany przez osoby będące Pracownikami.</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81" w:beforeLines="50" w:line="240" w:lineRule="auto"/>
        <w:ind w:leftChars="0"/>
        <w:jc w:val="both"/>
        <w:textAlignment w:val="auto"/>
        <w:rPr>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8</w:t>
      </w:r>
    </w:p>
    <w:p>
      <w:pPr>
        <w:spacing w:line="276" w:lineRule="auto"/>
        <w:jc w:val="center"/>
        <w:rPr>
          <w:b/>
          <w:color w:val="000000"/>
          <w:lang w:eastAsia="zh-CN" w:bidi="ar-SA"/>
        </w:rPr>
      </w:pPr>
      <w:r>
        <w:rPr>
          <w:b/>
          <w:color w:val="000000"/>
          <w:lang w:eastAsia="zh-CN" w:bidi="ar-SA"/>
        </w:rPr>
        <w:t>Informacja RODO</w:t>
      </w:r>
    </w:p>
    <w:p>
      <w:pPr>
        <w:pStyle w:val="21"/>
        <w:keepNext w:val="0"/>
        <w:keepLines w:val="0"/>
        <w:pageBreakBefore w:val="0"/>
        <w:widowControl/>
        <w:numPr>
          <w:ilvl w:val="0"/>
          <w:numId w:val="50"/>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rPr>
      </w:pPr>
      <w:r>
        <w:rPr>
          <w:rStyle w:val="18"/>
          <w:color w:val="auto"/>
          <w:szCs w:val="22"/>
          <w:lang w:bidi="hi-IN"/>
        </w:rPr>
        <w:t xml:space="preserve">Administratorem danych jest </w:t>
      </w:r>
      <w:r>
        <w:rPr>
          <w:rStyle w:val="18"/>
          <w:b/>
          <w:color w:val="auto"/>
          <w:szCs w:val="22"/>
          <w:lang w:eastAsia="pl-PL" w:bidi="hi-IN"/>
        </w:rPr>
        <w:t xml:space="preserve">Urząd Miejski w Nowym Stawie reprezentowany przez Burmistrza Nowego Stawu, ul. Gen. Józefa Bema 1, 82-230 Nowy Staw. </w:t>
      </w:r>
      <w:r>
        <w:rPr>
          <w:rStyle w:val="18"/>
          <w:bCs/>
          <w:color w:val="auto"/>
          <w:szCs w:val="22"/>
          <w:lang w:eastAsia="pl-PL" w:bidi="hi-IN"/>
        </w:rPr>
        <w:t>Kontakt z administratorem możliwy jest osobiście lub korespondencyjnie na wskazany adres, telefonicznie pod numerami tel. 55 271</w:t>
      </w:r>
      <w:r>
        <w:rPr>
          <w:rStyle w:val="18"/>
          <w:bCs/>
          <w:color w:val="auto"/>
          <w:szCs w:val="22"/>
          <w:lang w:val="en-US" w:eastAsia="pl-PL" w:bidi="hi-IN"/>
        </w:rPr>
        <w:t xml:space="preserve"> </w:t>
      </w:r>
      <w:r>
        <w:rPr>
          <w:rStyle w:val="18"/>
          <w:bCs/>
          <w:color w:val="auto"/>
          <w:szCs w:val="22"/>
          <w:lang w:eastAsia="pl-PL" w:bidi="hi-IN"/>
        </w:rPr>
        <w:t xml:space="preserve">51 00, 55 271 51 10, 55 271 51 20 lub za pośrednictwem poczty elektronicznej: </w:t>
      </w:r>
      <w:r>
        <w:fldChar w:fldCharType="begin"/>
      </w:r>
      <w:r>
        <w:instrText xml:space="preserve"> HYPERLINK "mailto:um@nowystaw.pl" \h </w:instrText>
      </w:r>
      <w:r>
        <w:fldChar w:fldCharType="separate"/>
      </w:r>
      <w:r>
        <w:rPr>
          <w:rStyle w:val="9"/>
          <w:bCs/>
          <w:color w:val="0563C1"/>
          <w:szCs w:val="22"/>
          <w:lang w:val="zh-CN" w:eastAsia="pl-PL" w:bidi="zh-CN"/>
        </w:rPr>
        <w:t>um@nowystaw.pl</w:t>
      </w:r>
      <w:r>
        <w:rPr>
          <w:rStyle w:val="9"/>
          <w:bCs/>
          <w:color w:val="0563C1"/>
          <w:szCs w:val="22"/>
          <w:lang w:val="zh-CN" w:eastAsia="pl-PL" w:bidi="zh-CN"/>
        </w:rPr>
        <w:fldChar w:fldCharType="end"/>
      </w:r>
      <w:r>
        <w:rPr>
          <w:rStyle w:val="9"/>
          <w:bCs/>
          <w:color w:val="auto"/>
          <w:szCs w:val="22"/>
          <w:lang w:eastAsia="pl-PL"/>
        </w:rPr>
        <w:t>.</w:t>
      </w:r>
    </w:p>
    <w:p>
      <w:pPr>
        <w:pStyle w:val="21"/>
        <w:keepNext w:val="0"/>
        <w:keepLines w:val="0"/>
        <w:pageBreakBefore w:val="0"/>
        <w:widowControl/>
        <w:numPr>
          <w:ilvl w:val="0"/>
          <w:numId w:val="50"/>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rPr>
      </w:pPr>
      <w:r>
        <w:rPr>
          <w:rStyle w:val="18"/>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r>
        <w:fldChar w:fldCharType="begin"/>
      </w:r>
      <w:r>
        <w:instrText xml:space="preserve"> HYPERLINK "mailto:iod@nowystaw.pl" \h </w:instrText>
      </w:r>
      <w:r>
        <w:fldChar w:fldCharType="separate"/>
      </w:r>
      <w:r>
        <w:rPr>
          <w:rStyle w:val="9"/>
          <w:color w:val="0563C1"/>
          <w:szCs w:val="22"/>
          <w:lang w:val="zh-CN" w:bidi="zh-CN"/>
        </w:rPr>
        <w:t>iod@nowystaw.pl</w:t>
      </w:r>
      <w:r>
        <w:rPr>
          <w:rStyle w:val="9"/>
          <w:color w:val="0563C1"/>
          <w:szCs w:val="22"/>
          <w:lang w:val="zh-CN" w:bidi="zh-CN"/>
        </w:rPr>
        <w:fldChar w:fldCharType="end"/>
      </w:r>
      <w:r>
        <w:rPr>
          <w:rStyle w:val="9"/>
          <w:color w:val="auto"/>
          <w:szCs w:val="22"/>
        </w:rPr>
        <w:t xml:space="preserve"> </w:t>
      </w:r>
    </w:p>
    <w:p>
      <w:pPr>
        <w:pStyle w:val="21"/>
        <w:keepNext w:val="0"/>
        <w:keepLines w:val="0"/>
        <w:pageBreakBefore w:val="0"/>
        <w:widowControl/>
        <w:numPr>
          <w:ilvl w:val="0"/>
          <w:numId w:val="50"/>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lang w:eastAsia="pl-PL"/>
        </w:rPr>
      </w:pPr>
      <w:r>
        <w:rPr>
          <w:szCs w:val="22"/>
          <w:lang w:eastAsia="pl-PL"/>
        </w:rPr>
        <w:t>Dane osobowe przetwarzane będą na podstawie:</w:t>
      </w:r>
    </w:p>
    <w:p>
      <w:pPr>
        <w:pStyle w:val="19"/>
        <w:keepNext w:val="0"/>
        <w:keepLines w:val="0"/>
        <w:pageBreakBefore w:val="0"/>
        <w:widowControl/>
        <w:numPr>
          <w:ilvl w:val="0"/>
          <w:numId w:val="51"/>
        </w:numPr>
        <w:kinsoku/>
        <w:wordWrap/>
        <w:overflowPunct/>
        <w:topLinePunct w:val="0"/>
        <w:autoSpaceDE/>
        <w:autoSpaceDN/>
        <w:bidi w:val="0"/>
        <w:adjustRightInd/>
        <w:snapToGrid/>
        <w:spacing w:line="240" w:lineRule="auto"/>
        <w:ind w:left="680" w:hanging="340"/>
        <w:textAlignment w:val="auto"/>
      </w:pPr>
      <w:r>
        <w:t xml:space="preserve">art. 6 ust. 1 lit. b RODO tj. przetwarzanie jest niezbędne do wykonania umowy, której stroną jest osoba, której dane dotyczą, lub do podjęcia działań na żądanie osoby, której dane dotyczą, przed zawarciem umowy. </w:t>
      </w:r>
    </w:p>
    <w:p>
      <w:pPr>
        <w:pStyle w:val="19"/>
        <w:keepNext w:val="0"/>
        <w:keepLines w:val="0"/>
        <w:pageBreakBefore w:val="0"/>
        <w:widowControl/>
        <w:numPr>
          <w:ilvl w:val="0"/>
          <w:numId w:val="51"/>
        </w:numPr>
        <w:kinsoku/>
        <w:wordWrap/>
        <w:overflowPunct/>
        <w:topLinePunct w:val="0"/>
        <w:autoSpaceDE/>
        <w:autoSpaceDN/>
        <w:bidi w:val="0"/>
        <w:adjustRightInd/>
        <w:snapToGrid/>
        <w:spacing w:line="240" w:lineRule="auto"/>
        <w:ind w:left="680" w:hanging="340"/>
        <w:textAlignment w:val="auto"/>
      </w:pPr>
      <w:r>
        <w:t>art. 6 ust. 1 lit. c RODO tj. przetwarzanie jest niezbędne do wypełnienia obowiązku prawnego ciążącego na administratorze.</w:t>
      </w:r>
    </w:p>
    <w:p>
      <w:pPr>
        <w:pStyle w:val="21"/>
        <w:keepNext w:val="0"/>
        <w:keepLines w:val="0"/>
        <w:pageBreakBefore w:val="0"/>
        <w:widowControl/>
        <w:numPr>
          <w:ilvl w:val="0"/>
          <w:numId w:val="50"/>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auto"/>
          <w:kern w:val="0"/>
          <w:szCs w:val="22"/>
          <w:lang w:eastAsia="pl-PL"/>
        </w:rPr>
      </w:pPr>
      <w:r>
        <w:rPr>
          <w:color w:val="auto"/>
          <w:kern w:val="0"/>
          <w:szCs w:val="22"/>
          <w:lang w:eastAsia="pl-PL"/>
        </w:rPr>
        <w:t>Podstawą prawną ich przetwarzania są w szczególności przepisy:</w:t>
      </w:r>
    </w:p>
    <w:p>
      <w:pPr>
        <w:pStyle w:val="21"/>
        <w:widowControl/>
        <w:numPr>
          <w:ilvl w:val="0"/>
          <w:numId w:val="52"/>
        </w:numPr>
        <w:suppressAutoHyphens w:val="0"/>
        <w:spacing w:line="276" w:lineRule="auto"/>
        <w:ind w:left="680" w:hanging="340"/>
        <w:jc w:val="both"/>
        <w:rPr>
          <w:color w:val="auto"/>
          <w:kern w:val="0"/>
          <w:szCs w:val="22"/>
          <w:lang w:eastAsia="pl-PL"/>
        </w:rPr>
      </w:pPr>
      <w:r>
        <w:rPr>
          <w:color w:val="auto"/>
          <w:kern w:val="0"/>
          <w:szCs w:val="22"/>
          <w:lang w:eastAsia="pl-PL"/>
        </w:rPr>
        <w:t>Ustawy z dnia 11 września 2019 r. Prawo zamówień publicznych,</w:t>
      </w:r>
    </w:p>
    <w:p>
      <w:pPr>
        <w:pStyle w:val="21"/>
        <w:widowControl/>
        <w:numPr>
          <w:ilvl w:val="0"/>
          <w:numId w:val="52"/>
        </w:numPr>
        <w:suppressAutoHyphens w:val="0"/>
        <w:spacing w:line="276" w:lineRule="auto"/>
        <w:ind w:left="680" w:hanging="340"/>
        <w:jc w:val="both"/>
        <w:rPr>
          <w:szCs w:val="22"/>
        </w:rPr>
      </w:pPr>
      <w:r>
        <w:rPr>
          <w:szCs w:val="22"/>
        </w:rPr>
        <w:t>Ustawy z dnia 27 sierpnia 2009r. o finansach publicznych</w:t>
      </w:r>
    </w:p>
    <w:p>
      <w:pPr>
        <w:pStyle w:val="21"/>
        <w:widowControl/>
        <w:numPr>
          <w:ilvl w:val="0"/>
          <w:numId w:val="52"/>
        </w:numPr>
        <w:suppressAutoHyphens w:val="0"/>
        <w:spacing w:line="276" w:lineRule="auto"/>
        <w:ind w:left="680" w:hanging="340"/>
        <w:jc w:val="both"/>
        <w:rPr>
          <w:szCs w:val="22"/>
        </w:rPr>
      </w:pPr>
      <w:r>
        <w:rPr>
          <w:szCs w:val="22"/>
        </w:rPr>
        <w:t xml:space="preserve">Ustawy z dnia 29 września 1994 r. o rachunkowości </w:t>
      </w:r>
    </w:p>
    <w:p>
      <w:pPr>
        <w:pStyle w:val="21"/>
        <w:widowControl/>
        <w:suppressAutoHyphens w:val="0"/>
        <w:spacing w:line="276" w:lineRule="auto"/>
        <w:ind w:left="680" w:hanging="340"/>
        <w:jc w:val="both"/>
        <w:rPr>
          <w:szCs w:val="22"/>
        </w:rPr>
      </w:pPr>
      <w:r>
        <w:rPr>
          <w:szCs w:val="22"/>
        </w:rPr>
        <w:t>oraz przepisów podatkowych.</w:t>
      </w:r>
    </w:p>
    <w:p>
      <w:pPr>
        <w:pStyle w:val="19"/>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rPr>
          <w:rStyle w:val="18"/>
          <w:rFonts w:eastAsia="Calibri"/>
          <w:lang w:eastAsia="hi-IN"/>
        </w:rPr>
        <w:t xml:space="preserve">Odbiorcami Pani/Pana danych osobowych będą </w:t>
      </w:r>
      <w:r>
        <w:rPr>
          <w:rStyle w:val="18"/>
          <w:rFonts w:eastAsia="Calibri"/>
          <w:lang w:eastAsia="en-US"/>
        </w:rPr>
        <w:t xml:space="preserve">osoby lub podmioty, którym udostępniona zostanie dokumentacja postępowania w oparciu o art. 18 oraz art. 74 ustawy Pzp oraz </w:t>
      </w:r>
      <w:r>
        <w:rPr>
          <w:rStyle w:val="18"/>
          <w:rFonts w:eastAsia="Calibri"/>
          <w:lang w:eastAsia="hi-IN"/>
        </w:rPr>
        <w:t>zgodnie z zasadami określonymi w umowie o dofinansowanie,</w:t>
      </w:r>
      <w:r>
        <w:rPr>
          <w:rStyle w:val="18"/>
          <w:rFonts w:eastAsia="Calibri"/>
          <w:lang w:eastAsia="en-US"/>
        </w:rPr>
        <w:t xml:space="preserve"> </w:t>
      </w:r>
      <w:r>
        <w:t>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pPr>
        <w:pStyle w:val="19"/>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rPr>
          <w:bCs/>
        </w:rPr>
        <w:t>Podanie</w:t>
      </w:r>
      <w:r>
        <w:t xml:space="preserve"> danych stanowi wymóg zawarcia i realizacji umowy.</w:t>
      </w:r>
    </w:p>
    <w:p>
      <w:pPr>
        <w:pStyle w:val="19"/>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t xml:space="preserve">Dane przechowywane będą przez czas trwania umowy </w:t>
      </w:r>
      <w:r>
        <w:rPr>
          <w:rFonts w:eastAsia="Arial"/>
        </w:rPr>
        <w:t>oraz nie krócej niż przez okres przewidziany w instrukcji kancelaryjnej, stanowiącej załącznik nr 1 do rozporządzenia Prezesa Rady Ministrów z dnia 18 stycznia 2011r w sprawie instrukcji kancelaryjnej, jednolitych rzeczowych wykazów akt, instrukcji w sprawie organizacji i zakresu działania archiwów zakładowych oraz umów o dofinansowanie.</w:t>
      </w:r>
    </w:p>
    <w:p>
      <w:pPr>
        <w:pStyle w:val="19"/>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t>W związku z przetwarzaniem udostępnionych przez Panią/Pana danych osobowych, w sytuacjach przewidzianych w Rozporządzeniu RODO przysługuje Pani/Panu prawo do: dostępu do swoich danych (art. 15 Rozporządzenia RODO), sprostowania (art. 16 Rozporządzenia RODO), usunięcia (wyłącznie w przypadkach określonych w art. 17 Rozporządzenia RODO), ograniczenia przetwarzania (art. 18 Rozporządzenia RODO).</w:t>
      </w:r>
    </w:p>
    <w:p>
      <w:pPr>
        <w:pStyle w:val="19"/>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rPr>
          <w:b/>
          <w:color w:val="000000"/>
        </w:rPr>
      </w:pPr>
      <w:r>
        <w:rPr>
          <w:color w:val="000000"/>
          <w:kern w:val="2"/>
        </w:rPr>
        <w:t>W przypadku uznania, że przetwarzanie przez w/w administratora Pani/Pana danych osobowych narusza przepisy Rozporządzenia RODO, przysługuje Pani/Panu prawo do wniesienia skargi do organu nadzorczego tj. Urzędu Ochrony Danych Osobowych, ul. Stawki 2, 00-193 Warszawa.</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9</w:t>
      </w:r>
    </w:p>
    <w:p>
      <w:pPr>
        <w:spacing w:line="276" w:lineRule="auto"/>
        <w:jc w:val="center"/>
        <w:rPr>
          <w:color w:val="000000"/>
        </w:rPr>
      </w:pPr>
      <w:r>
        <w:rPr>
          <w:b/>
          <w:color w:val="000000"/>
        </w:rPr>
        <w:t>Postanowienia końcowe</w:t>
      </w:r>
    </w:p>
    <w:p>
      <w:pPr>
        <w:keepNext w:val="0"/>
        <w:keepLines w:val="0"/>
        <w:pageBreakBefore w:val="0"/>
        <w:widowControl/>
        <w:numPr>
          <w:ilvl w:val="0"/>
          <w:numId w:val="5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pPr>
        <w:keepNext w:val="0"/>
        <w:keepLines w:val="0"/>
        <w:pageBreakBefore w:val="0"/>
        <w:widowControl/>
        <w:numPr>
          <w:ilvl w:val="0"/>
          <w:numId w:val="5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dopuszcza możliwość zmiany ustaleń zawartej umowy, na uzasadniony wniosek Wykonawcy/ Zamawiającego w przypadkach określonych w SWZ i niniejszej umowie.</w:t>
      </w:r>
    </w:p>
    <w:p>
      <w:pPr>
        <w:keepNext w:val="0"/>
        <w:keepLines w:val="0"/>
        <w:pageBreakBefore w:val="0"/>
        <w:widowControl/>
        <w:numPr>
          <w:ilvl w:val="0"/>
          <w:numId w:val="5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Niedopuszczalna jest - pod rygorem nieważności - zmiana postanowień zawartej umowy w stosunku do treści oferty, na podstawie której dokonano wyboru Wykonawcy z wyjątkiem postanowień zawartych w SWZ i niniejszej umowie.</w:t>
      </w:r>
    </w:p>
    <w:p>
      <w:pPr>
        <w:keepNext w:val="0"/>
        <w:keepLines w:val="0"/>
        <w:pageBreakBefore w:val="0"/>
        <w:widowControl/>
        <w:numPr>
          <w:ilvl w:val="0"/>
          <w:numId w:val="5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Wszelkie zmiany niniejszej umowy wymagają formy pisemnej w postaci aneksu pod rygorem nieważności.</w:t>
      </w:r>
    </w:p>
    <w:p>
      <w:pPr>
        <w:keepNext w:val="0"/>
        <w:keepLines w:val="0"/>
        <w:pageBreakBefore w:val="0"/>
        <w:widowControl/>
        <w:numPr>
          <w:ilvl w:val="0"/>
          <w:numId w:val="5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Wierzytelność z tytułu wynagrodzenia Wykonawcy może być przeniesiona w drodze przelewu na osobę trzecią, stosownie do art 509 §1 Kodeksu cywilnego tylko pod warunkiem pisemnej zgody Zamawiającego.</w:t>
      </w:r>
    </w:p>
    <w:p>
      <w:pPr>
        <w:keepNext w:val="0"/>
        <w:keepLines w:val="0"/>
        <w:pageBreakBefore w:val="0"/>
        <w:widowControl/>
        <w:numPr>
          <w:ilvl w:val="0"/>
          <w:numId w:val="5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sprawach nieuregulowanych niniejszą umową mają zastosowanie przepisy Kodeksu cywilnego, Prawa zamówień publicznych oraz właściwe przepisy szczególne.</w:t>
      </w:r>
    </w:p>
    <w:p>
      <w:pPr>
        <w:keepNext w:val="0"/>
        <w:keepLines w:val="0"/>
        <w:pageBreakBefore w:val="0"/>
        <w:widowControl/>
        <w:numPr>
          <w:ilvl w:val="0"/>
          <w:numId w:val="5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Umowa została sporządzona w trzech jednobrzmiących egzemplarzach, dwa dla Zamawiającego i jeden dla Wykonawcy.</w:t>
      </w:r>
    </w:p>
    <w:p>
      <w:pPr>
        <w:pStyle w:val="3"/>
        <w:keepNext w:val="0"/>
        <w:keepLines w:val="0"/>
        <w:pageBreakBefore w:val="0"/>
        <w:widowControl/>
        <w:tabs>
          <w:tab w:val="left" w:pos="7205"/>
        </w:tabs>
        <w:kinsoku/>
        <w:wordWrap/>
        <w:overflowPunct/>
        <w:topLinePunct w:val="0"/>
        <w:autoSpaceDE/>
        <w:autoSpaceDN/>
        <w:bidi w:val="0"/>
        <w:adjustRightInd/>
        <w:snapToGrid/>
        <w:spacing w:before="181" w:beforeLines="50" w:line="240" w:lineRule="auto"/>
        <w:ind w:left="0"/>
        <w:textAlignment w:val="auto"/>
        <w:rPr>
          <w:color w:val="000000"/>
        </w:rPr>
      </w:pPr>
    </w:p>
    <w:p>
      <w:pPr>
        <w:pStyle w:val="3"/>
        <w:tabs>
          <w:tab w:val="left" w:pos="7205"/>
        </w:tabs>
        <w:spacing w:line="276" w:lineRule="auto"/>
        <w:ind w:left="826"/>
        <w:rPr>
          <w:color w:val="000000"/>
        </w:rPr>
      </w:pPr>
      <w:r>
        <w:rPr>
          <w:color w:val="000000"/>
          <w:spacing w:val="-3"/>
        </w:rPr>
        <w:t>WYKONAWCA</w:t>
      </w:r>
      <w:r>
        <w:rPr>
          <w:color w:val="000000"/>
          <w:spacing w:val="-3"/>
        </w:rPr>
        <w:tab/>
      </w:r>
      <w:r>
        <w:rPr>
          <w:color w:val="000000"/>
        </w:rPr>
        <w:t>ZAMAWIAJĄCY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center"/>
        <w:rPr>
          <w:color w:val="000000"/>
        </w:rPr>
      </w:pPr>
      <w:r>
        <w:rPr>
          <w:color w:val="000000"/>
        </w:rPr>
        <w:t>KONTRASYGNATA</w:t>
      </w:r>
      <w:r>
        <w:rPr>
          <w:color w:val="000000"/>
        </w:rPr>
        <w:br w:type="textWrapping"/>
      </w:r>
      <w:r>
        <w:rPr>
          <w:color w:val="000000"/>
        </w:rPr>
        <w:t>SKARBNIKA GMINY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r>
        <w:rPr>
          <w:color w:val="000000"/>
        </w:rPr>
        <w:t>Załączniki:</w:t>
      </w:r>
    </w:p>
    <w:p>
      <w:pPr>
        <w:pStyle w:val="19"/>
        <w:tabs>
          <w:tab w:val="left" w:pos="310"/>
        </w:tabs>
        <w:spacing w:before="1" w:line="276" w:lineRule="auto"/>
        <w:ind w:left="309"/>
        <w:rPr>
          <w:color w:val="000000"/>
        </w:rPr>
      </w:pPr>
      <w:r>
        <w:rPr>
          <w:color w:val="000000"/>
        </w:rPr>
        <w:t>1) formularz oferty;</w:t>
      </w:r>
    </w:p>
    <w:p>
      <w:pPr>
        <w:pStyle w:val="19"/>
        <w:tabs>
          <w:tab w:val="left" w:pos="310"/>
        </w:tabs>
        <w:spacing w:before="1" w:line="276" w:lineRule="auto"/>
        <w:ind w:left="309"/>
      </w:pPr>
      <w:r>
        <w:rPr>
          <w:color w:val="000000"/>
        </w:rPr>
        <w:t xml:space="preserve">2) kosztorys </w:t>
      </w:r>
      <w:r>
        <w:rPr>
          <w:color w:val="000000"/>
          <w:spacing w:val="-1"/>
        </w:rPr>
        <w:t>ofertowy</w:t>
      </w:r>
      <w:r>
        <w:rPr>
          <w:rFonts w:hint="default"/>
          <w:color w:val="000000"/>
          <w:spacing w:val="-1"/>
          <w:lang w:val="pl-PL"/>
        </w:rPr>
        <w:t>.</w:t>
      </w:r>
    </w:p>
    <w:sectPr>
      <w:headerReference r:id="rId3" w:type="default"/>
      <w:footerReference r:id="rId4" w:type="default"/>
      <w:pgSz w:w="11906" w:h="16838"/>
      <w:pgMar w:top="1701" w:right="1134" w:bottom="567" w:left="1134" w:header="170" w:footer="567"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Liberation Serif;Times New Roma">
    <w:altName w:val="Times New Roman"/>
    <w:panose1 w:val="00000000000000000000"/>
    <w:charset w:val="00"/>
    <w:family w:val="auto"/>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00000001" w:csb1="00000000"/>
  </w:font>
  <w:font w:name="NSimSun">
    <w:panose1 w:val="02010609030101010101"/>
    <w:charset w:val="86"/>
    <w:family w:val="modern"/>
    <w:pitch w:val="default"/>
    <w:sig w:usb0="00000203" w:usb1="288F0000" w:usb2="00000006" w:usb3="00000000" w:csb0="00040001" w:csb1="00000000"/>
  </w:font>
  <w:font w:name="Liberation Serif">
    <w:altName w:val="Segoe Print"/>
    <w:panose1 w:val="02020603050405020304"/>
    <w:charset w:val="EE"/>
    <w:family w:val="roman"/>
    <w:pitch w:val="default"/>
    <w:sig w:usb0="00000000" w:usb1="00000000" w:usb2="00000021" w:usb3="00000000" w:csb0="600001BF" w:csb1="DFF70000"/>
  </w:font>
  <w:font w:name="MS Mincho">
    <w:altName w:val="Yu Gothic UI"/>
    <w:panose1 w:val="02020609040205080304"/>
    <w:charset w:val="80"/>
    <w:family w:val="modern"/>
    <w:pitch w:val="default"/>
    <w:sig w:usb0="00000000" w:usb1="00000000"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3165"/>
        <w:tab w:val="center" w:pos="4680"/>
        <w:tab w:val="right" w:pos="9360"/>
        <w:tab w:val="clear" w:pos="4819"/>
        <w:tab w:val="clear" w:pos="6922"/>
        <w:tab w:val="clear" w:pos="9638"/>
        <w:tab w:val="clear" w:pos="13844"/>
      </w:tabs>
      <w:jc w:val="center"/>
      <w:rPr>
        <w:rFonts w:hint="default" w:ascii="Times New Roman" w:hAnsi="Times New Roman" w:eastAsia="MS Mincho"/>
        <w:color w:val="000000"/>
        <w:sz w:val="16"/>
        <w:szCs w:val="16"/>
      </w:rPr>
    </w:pPr>
    <w:r>
      <w:rPr>
        <w:rFonts w:hint="default" w:ascii="Times New Roman" w:hAnsi="Times New Roman" w:eastAsia="MS Mincho" w:cs="Times New Roman"/>
        <w:color w:val="000000"/>
        <w:sz w:val="16"/>
        <w:szCs w:val="16"/>
      </w:rPr>
      <w:t>ZP.271.1.</w:t>
    </w:r>
    <w:r>
      <w:rPr>
        <w:rFonts w:hint="default" w:ascii="Times New Roman" w:hAnsi="Times New Roman" w:eastAsia="MS Mincho" w:cs="Times New Roman"/>
        <w:color w:val="000000"/>
        <w:sz w:val="16"/>
        <w:szCs w:val="16"/>
        <w:highlight w:val="none"/>
        <w:lang w:val="pl-PL"/>
      </w:rPr>
      <w:t>2</w:t>
    </w:r>
    <w:r>
      <w:rPr>
        <w:rFonts w:hint="default" w:eastAsia="MS Mincho" w:cs="Times New Roman"/>
        <w:color w:val="000000"/>
        <w:sz w:val="16"/>
        <w:szCs w:val="16"/>
        <w:highlight w:val="none"/>
        <w:lang w:val="pl-PL"/>
      </w:rPr>
      <w:t>0</w:t>
    </w:r>
    <w:r>
      <w:rPr>
        <w:rFonts w:hint="default" w:ascii="Times New Roman" w:hAnsi="Times New Roman" w:eastAsia="MS Mincho" w:cs="Times New Roman"/>
        <w:color w:val="000000"/>
        <w:sz w:val="16"/>
        <w:szCs w:val="16"/>
      </w:rPr>
      <w:t xml:space="preserve">.2023 </w:t>
    </w:r>
    <w:r>
      <w:rPr>
        <w:rFonts w:hint="default" w:ascii="Times New Roman" w:hAnsi="Times New Roman" w:eastAsia="MS Mincho"/>
        <w:color w:val="000000"/>
        <w:sz w:val="16"/>
        <w:szCs w:val="16"/>
      </w:rPr>
      <w:t>Remont drogi gminnej od ul.Obrońców Westerplatte w kierunku drogi powiatowej nr 2922G (Laski-Dębina)</w:t>
    </w:r>
  </w:p>
  <w:p>
    <w:pPr>
      <w:pStyle w:val="7"/>
      <w:tabs>
        <w:tab w:val="left" w:pos="3165"/>
        <w:tab w:val="center" w:pos="4680"/>
        <w:tab w:val="right" w:pos="9360"/>
        <w:tab w:val="clear" w:pos="4819"/>
        <w:tab w:val="clear" w:pos="6922"/>
        <w:tab w:val="clear" w:pos="9638"/>
        <w:tab w:val="clear" w:pos="13844"/>
      </w:tabs>
      <w:jc w:val="center"/>
      <w:rPr>
        <w:sz w:val="18"/>
        <w:szCs w:val="18"/>
      </w:rPr>
    </w:pPr>
    <w:r>
      <w:rPr>
        <w:rFonts w:hint="default" w:ascii="Times New Roman" w:hAnsi="Times New Roman" w:eastAsia="MS Mincho"/>
        <w:color w:val="000000"/>
        <w:sz w:val="16"/>
        <w:szCs w:val="16"/>
      </w:rPr>
      <w:t>w gminie Nowy</w:t>
    </w:r>
    <w:r>
      <w:rPr>
        <w:rFonts w:hint="default" w:ascii="Times New Roman" w:hAnsi="Times New Roman" w:eastAsia="MS Mincho"/>
        <w:color w:val="000000"/>
        <w:sz w:val="16"/>
        <w:szCs w:val="16"/>
        <w:lang w:val="pl-PL"/>
      </w:rPr>
      <w:t xml:space="preserve"> Staw</w:t>
    </w:r>
    <w:r>
      <mc:AlternateContent>
        <mc:Choice Requires="wps">
          <w:drawing>
            <wp:anchor distT="0" distB="0" distL="114300" distR="114300" simplePos="0" relativeHeight="251662336" behindDoc="0" locked="0" layoutInCell="1" allowOverlap="1">
              <wp:simplePos x="0" y="0"/>
              <wp:positionH relativeFrom="margin">
                <wp:posOffset>4040505</wp:posOffset>
              </wp:positionH>
              <wp:positionV relativeFrom="paragraph">
                <wp:posOffset>0</wp:posOffset>
              </wp:positionV>
              <wp:extent cx="1828800" cy="182880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tabs>
                              <w:tab w:val="left" w:pos="3165"/>
                              <w:tab w:val="center" w:pos="4680"/>
                              <w:tab w:val="right" w:pos="9360"/>
                              <w:tab w:val="clear" w:pos="4819"/>
                              <w:tab w:val="clear" w:pos="6922"/>
                              <w:tab w:val="clear" w:pos="9638"/>
                              <w:tab w:val="clear" w:pos="13844"/>
                            </w:tabs>
                          </w:pPr>
                          <w:r>
                            <w:tab/>
                          </w:r>
                        </w:p>
                        <w:p>
                          <w:pPr>
                            <w:pStyle w:val="7"/>
                            <w:tabs>
                              <w:tab w:val="left" w:pos="3165"/>
                              <w:tab w:val="center" w:pos="4680"/>
                              <w:tab w:val="right" w:pos="9360"/>
                              <w:tab w:val="clear" w:pos="4819"/>
                              <w:tab w:val="clear" w:pos="6922"/>
                              <w:tab w:val="clear" w:pos="9638"/>
                              <w:tab w:val="clear" w:pos="13844"/>
                            </w:tabs>
                          </w:pPr>
                          <w: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w:instrText>
                          </w:r>
                          <w:r>
                            <w:rPr>
                              <w:rFonts w:ascii="Times New Roman" w:hAnsi="Times New Roman" w:cs="Times New Roman"/>
                              <w:sz w:val="22"/>
                              <w:szCs w:val="22"/>
                            </w:rPr>
                            <w:fldChar w:fldCharType="separate"/>
                          </w:r>
                          <w:r>
                            <w:rPr>
                              <w:rFonts w:ascii="Times New Roman" w:hAnsi="Times New Roman" w:cs="Times New Roman"/>
                              <w:sz w:val="22"/>
                              <w:szCs w:val="22"/>
                            </w:rPr>
                            <w:t>31</w:t>
                          </w:r>
                          <w:r>
                            <w:rPr>
                              <w:rFonts w:ascii="Times New Roman" w:hAnsi="Times New Roman" w:cs="Times New Roman"/>
                              <w:sz w:val="22"/>
                              <w:szCs w:val="2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318.15pt;margin-top:0pt;height:144pt;width:144pt;mso-position-horizontal-relative:margin;mso-wrap-style:none;z-index:251662336;mso-width-relative:page;mso-height-relative:page;" filled="f" stroked="f" coordsize="21600,21600" o:gfxdata="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nnvoNQAAAAIAQAADwAAAAAAAAABACAAAAAiAAAAZHJzL2Rvd25yZXYueG1sUEsBAhQA&#10;FAAAAAgAh07iQP1S2PC9AQAAnQMAAA4AAAAAAAAAAQAgAAAAIwEAAGRycy9lMm9Eb2MueG1sUEsF&#10;BgAAAAAGAAYAWQEAAFIFAAAAAA==&#10;">
              <v:fill on="f" focussize="0,0"/>
              <v:stroke on="f"/>
              <v:imagedata o:title=""/>
              <o:lock v:ext="edit" aspectratio="f"/>
              <v:textbox inset="0mm,0mm,0mm,0mm" style="mso-fit-shape-to-text:t;">
                <w:txbxContent>
                  <w:p>
                    <w:pPr>
                      <w:pStyle w:val="7"/>
                      <w:tabs>
                        <w:tab w:val="left" w:pos="3165"/>
                        <w:tab w:val="center" w:pos="4680"/>
                        <w:tab w:val="right" w:pos="9360"/>
                        <w:tab w:val="clear" w:pos="4819"/>
                        <w:tab w:val="clear" w:pos="6922"/>
                        <w:tab w:val="clear" w:pos="9638"/>
                        <w:tab w:val="clear" w:pos="13844"/>
                      </w:tabs>
                    </w:pPr>
                    <w:r>
                      <w:tab/>
                    </w:r>
                  </w:p>
                  <w:p>
                    <w:pPr>
                      <w:pStyle w:val="7"/>
                      <w:tabs>
                        <w:tab w:val="left" w:pos="3165"/>
                        <w:tab w:val="center" w:pos="4680"/>
                        <w:tab w:val="right" w:pos="9360"/>
                        <w:tab w:val="clear" w:pos="4819"/>
                        <w:tab w:val="clear" w:pos="6922"/>
                        <w:tab w:val="clear" w:pos="9638"/>
                        <w:tab w:val="clear" w:pos="13844"/>
                      </w:tabs>
                    </w:pPr>
                    <w: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w:instrText>
                    </w:r>
                    <w:r>
                      <w:rPr>
                        <w:rFonts w:ascii="Times New Roman" w:hAnsi="Times New Roman" w:cs="Times New Roman"/>
                        <w:sz w:val="22"/>
                        <w:szCs w:val="22"/>
                      </w:rPr>
                      <w:fldChar w:fldCharType="separate"/>
                    </w:r>
                    <w:r>
                      <w:rPr>
                        <w:rFonts w:ascii="Times New Roman" w:hAnsi="Times New Roman" w:cs="Times New Roman"/>
                        <w:sz w:val="22"/>
                        <w:szCs w:val="22"/>
                      </w:rPr>
                      <w:t>31</w:t>
                    </w:r>
                    <w:r>
                      <w:rPr>
                        <w:rFonts w:ascii="Times New Roman" w:hAnsi="Times New Roman" w:cs="Times New Roman"/>
                        <w:sz w:val="22"/>
                        <w:szCs w:val="2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SimSun" w:hAnsi="SimSun" w:eastAsia="SimSun" w:cs="SimSun"/>
        <w:szCs w:val="24"/>
      </w:rPr>
      <w:drawing>
        <wp:anchor distT="0" distB="0" distL="114300" distR="114300" simplePos="0" relativeHeight="251660288" behindDoc="0" locked="0" layoutInCell="1" allowOverlap="1">
          <wp:simplePos x="0" y="0"/>
          <wp:positionH relativeFrom="column">
            <wp:posOffset>2625725</wp:posOffset>
          </wp:positionH>
          <wp:positionV relativeFrom="paragraph">
            <wp:posOffset>-98425</wp:posOffset>
          </wp:positionV>
          <wp:extent cx="2106930" cy="1022985"/>
          <wp:effectExtent l="0" t="0" r="0" b="0"/>
          <wp:wrapSquare wrapText="bothSides"/>
          <wp:docPr id="2" name="Obraz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IMG_256"/>
                  <pic:cNvPicPr>
                    <a:picLocks noChangeAspect="1"/>
                  </pic:cNvPicPr>
                </pic:nvPicPr>
                <pic:blipFill>
                  <a:blip r:embed="rId1"/>
                  <a:stretch>
                    <a:fillRect/>
                  </a:stretch>
                </pic:blipFill>
                <pic:spPr>
                  <a:xfrm>
                    <a:off x="0" y="0"/>
                    <a:ext cx="2106930" cy="1022985"/>
                  </a:xfrm>
                  <a:prstGeom prst="rect">
                    <a:avLst/>
                  </a:prstGeom>
                  <a:noFill/>
                  <a:ln>
                    <a:noFill/>
                  </a:ln>
                </pic:spPr>
              </pic:pic>
            </a:graphicData>
          </a:graphic>
        </wp:anchor>
      </w:drawing>
    </w:r>
    <w:r>
      <w:rPr>
        <w:rFonts w:ascii="SimSun" w:hAnsi="SimSun" w:eastAsia="SimSun" w:cs="SimSun"/>
        <w:szCs w:val="24"/>
      </w:rPr>
      <w:drawing>
        <wp:anchor distT="0" distB="0" distL="114300" distR="114300" simplePos="0" relativeHeight="251659264" behindDoc="0" locked="0" layoutInCell="1" allowOverlap="1">
          <wp:simplePos x="0" y="0"/>
          <wp:positionH relativeFrom="column">
            <wp:posOffset>857885</wp:posOffset>
          </wp:positionH>
          <wp:positionV relativeFrom="paragraph">
            <wp:posOffset>-50165</wp:posOffset>
          </wp:positionV>
          <wp:extent cx="1790700" cy="768350"/>
          <wp:effectExtent l="0" t="0" r="0" b="0"/>
          <wp:wrapTopAndBottom/>
          <wp:docPr id="1" name="Obraz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MG_256"/>
                  <pic:cNvPicPr>
                    <a:picLocks noChangeAspect="1"/>
                  </pic:cNvPicPr>
                </pic:nvPicPr>
                <pic:blipFill>
                  <a:blip r:embed="rId2"/>
                  <a:stretch>
                    <a:fillRect/>
                  </a:stretch>
                </pic:blipFill>
                <pic:spPr>
                  <a:xfrm>
                    <a:off x="0" y="0"/>
                    <a:ext cx="1790700" cy="768350"/>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margin">
            <wp:posOffset>4608195</wp:posOffset>
          </wp:positionH>
          <wp:positionV relativeFrom="paragraph">
            <wp:posOffset>67310</wp:posOffset>
          </wp:positionV>
          <wp:extent cx="561975" cy="611505"/>
          <wp:effectExtent l="0" t="0" r="0" b="17145"/>
          <wp:wrapTopAndBottom/>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pic:cNvPicPr>
                </pic:nvPicPr>
                <pic:blipFill>
                  <a:blip r:embed="rId3"/>
                  <a:stretch>
                    <a:fillRect/>
                  </a:stretch>
                </pic:blipFill>
                <pic:spPr>
                  <a:xfrm>
                    <a:off x="0" y="0"/>
                    <a:ext cx="561975" cy="6115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4"/>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
    <w:nsid w:val="91B69C97"/>
    <w:multiLevelType w:val="multilevel"/>
    <w:tmpl w:val="91B69C9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
    <w:nsid w:val="9377BC45"/>
    <w:multiLevelType w:val="multilevel"/>
    <w:tmpl w:val="9377BC4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
    <w:nsid w:val="9ACF65A0"/>
    <w:multiLevelType w:val="multilevel"/>
    <w:tmpl w:val="9ACF65A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
    <w:nsid w:val="9C11E984"/>
    <w:multiLevelType w:val="multilevel"/>
    <w:tmpl w:val="9C11E984"/>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
    <w:nsid w:val="9D5D7490"/>
    <w:multiLevelType w:val="multilevel"/>
    <w:tmpl w:val="9D5D749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
    <w:nsid w:val="9F81B9F9"/>
    <w:multiLevelType w:val="multilevel"/>
    <w:tmpl w:val="9F81B9F9"/>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7">
    <w:nsid w:val="A0C93552"/>
    <w:multiLevelType w:val="multilevel"/>
    <w:tmpl w:val="A0C93552"/>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8">
    <w:nsid w:val="A9AC3AA7"/>
    <w:multiLevelType w:val="multilevel"/>
    <w:tmpl w:val="A9AC3AA7"/>
    <w:lvl w:ilvl="0" w:tentative="0">
      <w:start w:val="2"/>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9">
    <w:nsid w:val="AAF3F3FA"/>
    <w:multiLevelType w:val="multilevel"/>
    <w:tmpl w:val="AAF3F3F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0">
    <w:nsid w:val="B0ED9BEA"/>
    <w:multiLevelType w:val="multilevel"/>
    <w:tmpl w:val="B0ED9BEA"/>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11">
    <w:nsid w:val="B23A94A9"/>
    <w:multiLevelType w:val="multilevel"/>
    <w:tmpl w:val="B23A94A9"/>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2">
    <w:nsid w:val="B50550F9"/>
    <w:multiLevelType w:val="singleLevel"/>
    <w:tmpl w:val="B50550F9"/>
    <w:lvl w:ilvl="0" w:tentative="0">
      <w:start w:val="1"/>
      <w:numFmt w:val="lowerLetter"/>
      <w:lvlText w:val="%1)"/>
      <w:lvlJc w:val="left"/>
      <w:pPr>
        <w:tabs>
          <w:tab w:val="left" w:pos="425"/>
        </w:tabs>
        <w:ind w:left="865" w:hanging="425"/>
      </w:pPr>
      <w:rPr>
        <w:rFonts w:hint="default"/>
      </w:rPr>
    </w:lvl>
  </w:abstractNum>
  <w:abstractNum w:abstractNumId="13">
    <w:nsid w:val="BCECA0B4"/>
    <w:multiLevelType w:val="multilevel"/>
    <w:tmpl w:val="BCECA0B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4">
    <w:nsid w:val="BDA1395C"/>
    <w:multiLevelType w:val="multilevel"/>
    <w:tmpl w:val="BDA1395C"/>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5">
    <w:nsid w:val="BE8A4F4C"/>
    <w:multiLevelType w:val="multilevel"/>
    <w:tmpl w:val="BE8A4F4C"/>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6">
    <w:nsid w:val="BF50FE6B"/>
    <w:multiLevelType w:val="multilevel"/>
    <w:tmpl w:val="BF50FE6B"/>
    <w:lvl w:ilvl="0" w:tentative="0">
      <w:start w:val="1"/>
      <w:numFmt w:val="decimal"/>
      <w:lvlText w:val="%1."/>
      <w:lvlJc w:val="left"/>
      <w:pPr>
        <w:tabs>
          <w:tab w:val="left" w:pos="720"/>
        </w:tabs>
        <w:ind w:left="720" w:hanging="360"/>
      </w:pPr>
      <w:rPr>
        <w:rFonts w:ascii="Times New Roman" w:hAnsi="Times New Roman" w:eastAsia="Times New Roman" w:cs="Times New Roman"/>
        <w:vanish w:val="0"/>
        <w:color w:val="000000"/>
        <w:sz w:val="22"/>
        <w:szCs w:val="22"/>
        <w:highlight w:val="white"/>
        <w:lang w:val="pl-PL"/>
      </w:rPr>
    </w:lvl>
    <w:lvl w:ilvl="1" w:tentative="0">
      <w:start w:val="1"/>
      <w:numFmt w:val="decimal"/>
      <w:lvlText w:val="%2."/>
      <w:lvlJc w:val="left"/>
      <w:pPr>
        <w:tabs>
          <w:tab w:val="left" w:pos="1080"/>
        </w:tabs>
        <w:ind w:left="1080" w:hanging="360"/>
      </w:pPr>
      <w:rPr>
        <w:rFonts w:ascii="Times New Roman" w:hAnsi="Times New Roman" w:eastAsia="Times New Roman" w:cs="Times New Roman"/>
        <w:vanish w:val="0"/>
        <w:color w:val="000000"/>
        <w:sz w:val="22"/>
        <w:szCs w:val="22"/>
        <w:highlight w:val="white"/>
        <w:lang w:val="pl-PL"/>
      </w:rPr>
    </w:lvl>
    <w:lvl w:ilvl="2" w:tentative="0">
      <w:start w:val="1"/>
      <w:numFmt w:val="decimal"/>
      <w:lvlText w:val="%3."/>
      <w:lvlJc w:val="left"/>
      <w:pPr>
        <w:tabs>
          <w:tab w:val="left" w:pos="1440"/>
        </w:tabs>
        <w:ind w:left="1440" w:hanging="360"/>
      </w:pPr>
      <w:rPr>
        <w:rFonts w:ascii="Times New Roman" w:hAnsi="Times New Roman" w:eastAsia="Times New Roman" w:cs="Times New Roman"/>
        <w:vanish w:val="0"/>
        <w:color w:val="000000"/>
        <w:sz w:val="22"/>
        <w:szCs w:val="22"/>
        <w:highlight w:val="white"/>
        <w:lang w:val="pl-PL"/>
      </w:rPr>
    </w:lvl>
    <w:lvl w:ilvl="3" w:tentative="0">
      <w:start w:val="1"/>
      <w:numFmt w:val="decimal"/>
      <w:lvlText w:val="%4."/>
      <w:lvlJc w:val="left"/>
      <w:pPr>
        <w:tabs>
          <w:tab w:val="left" w:pos="1800"/>
        </w:tabs>
        <w:ind w:left="1800" w:hanging="360"/>
      </w:pPr>
      <w:rPr>
        <w:rFonts w:ascii="Times New Roman" w:hAnsi="Times New Roman" w:eastAsia="Times New Roman" w:cs="Times New Roman"/>
        <w:vanish w:val="0"/>
        <w:color w:val="000000"/>
        <w:sz w:val="22"/>
        <w:szCs w:val="22"/>
        <w:highlight w:val="white"/>
        <w:lang w:val="pl-PL"/>
      </w:rPr>
    </w:lvl>
    <w:lvl w:ilvl="4" w:tentative="0">
      <w:start w:val="1"/>
      <w:numFmt w:val="decimal"/>
      <w:lvlText w:val="%5."/>
      <w:lvlJc w:val="left"/>
      <w:pPr>
        <w:tabs>
          <w:tab w:val="left" w:pos="2160"/>
        </w:tabs>
        <w:ind w:left="2160" w:hanging="360"/>
      </w:pPr>
      <w:rPr>
        <w:rFonts w:ascii="Times New Roman" w:hAnsi="Times New Roman" w:eastAsia="Times New Roman" w:cs="Times New Roman"/>
        <w:vanish w:val="0"/>
        <w:color w:val="000000"/>
        <w:sz w:val="22"/>
        <w:szCs w:val="22"/>
        <w:highlight w:val="white"/>
        <w:lang w:val="pl-PL"/>
      </w:rPr>
    </w:lvl>
    <w:lvl w:ilvl="5" w:tentative="0">
      <w:start w:val="1"/>
      <w:numFmt w:val="decimal"/>
      <w:lvlText w:val="%6."/>
      <w:lvlJc w:val="left"/>
      <w:pPr>
        <w:tabs>
          <w:tab w:val="left" w:pos="2520"/>
        </w:tabs>
        <w:ind w:left="2520" w:hanging="360"/>
      </w:pPr>
      <w:rPr>
        <w:rFonts w:ascii="Times New Roman" w:hAnsi="Times New Roman" w:eastAsia="Times New Roman" w:cs="Times New Roman"/>
        <w:vanish w:val="0"/>
        <w:color w:val="000000"/>
        <w:sz w:val="22"/>
        <w:szCs w:val="22"/>
        <w:highlight w:val="white"/>
        <w:lang w:val="pl-PL"/>
      </w:rPr>
    </w:lvl>
    <w:lvl w:ilvl="6" w:tentative="0">
      <w:start w:val="1"/>
      <w:numFmt w:val="decimal"/>
      <w:lvlText w:val="%7."/>
      <w:lvlJc w:val="left"/>
      <w:pPr>
        <w:tabs>
          <w:tab w:val="left" w:pos="2880"/>
        </w:tabs>
        <w:ind w:left="2880" w:hanging="360"/>
      </w:pPr>
      <w:rPr>
        <w:rFonts w:ascii="Times New Roman" w:hAnsi="Times New Roman" w:eastAsia="Times New Roman" w:cs="Times New Roman"/>
        <w:vanish w:val="0"/>
        <w:color w:val="000000"/>
        <w:sz w:val="22"/>
        <w:szCs w:val="22"/>
        <w:highlight w:val="white"/>
        <w:lang w:val="pl-PL"/>
      </w:rPr>
    </w:lvl>
    <w:lvl w:ilvl="7" w:tentative="0">
      <w:start w:val="1"/>
      <w:numFmt w:val="decimal"/>
      <w:lvlText w:val="%8."/>
      <w:lvlJc w:val="left"/>
      <w:pPr>
        <w:tabs>
          <w:tab w:val="left" w:pos="3240"/>
        </w:tabs>
        <w:ind w:left="3240" w:hanging="360"/>
      </w:pPr>
      <w:rPr>
        <w:rFonts w:ascii="Times New Roman" w:hAnsi="Times New Roman" w:eastAsia="Times New Roman" w:cs="Times New Roman"/>
        <w:vanish w:val="0"/>
        <w:color w:val="000000"/>
        <w:sz w:val="22"/>
        <w:szCs w:val="22"/>
        <w:highlight w:val="white"/>
        <w:lang w:val="pl-PL"/>
      </w:rPr>
    </w:lvl>
    <w:lvl w:ilvl="8" w:tentative="0">
      <w:start w:val="1"/>
      <w:numFmt w:val="decimal"/>
      <w:lvlText w:val="%9."/>
      <w:lvlJc w:val="left"/>
      <w:pPr>
        <w:tabs>
          <w:tab w:val="left" w:pos="3600"/>
        </w:tabs>
        <w:ind w:left="3600" w:hanging="360"/>
      </w:pPr>
      <w:rPr>
        <w:rFonts w:ascii="Times New Roman" w:hAnsi="Times New Roman" w:eastAsia="Times New Roman" w:cs="Times New Roman"/>
        <w:vanish w:val="0"/>
        <w:color w:val="000000"/>
        <w:sz w:val="22"/>
        <w:szCs w:val="22"/>
        <w:highlight w:val="white"/>
        <w:lang w:val="pl-PL"/>
      </w:rPr>
    </w:lvl>
  </w:abstractNum>
  <w:abstractNum w:abstractNumId="17">
    <w:nsid w:val="C0915F4F"/>
    <w:multiLevelType w:val="multilevel"/>
    <w:tmpl w:val="C0915F4F"/>
    <w:lvl w:ilvl="0" w:tentative="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18">
    <w:nsid w:val="C0ACDF0C"/>
    <w:multiLevelType w:val="singleLevel"/>
    <w:tmpl w:val="C0ACDF0C"/>
    <w:lvl w:ilvl="0" w:tentative="0">
      <w:start w:val="13"/>
      <w:numFmt w:val="decimal"/>
      <w:lvlText w:val="%1."/>
      <w:lvlJc w:val="left"/>
      <w:pPr>
        <w:tabs>
          <w:tab w:val="left" w:pos="425"/>
        </w:tabs>
        <w:ind w:left="425" w:hanging="425"/>
      </w:pPr>
      <w:rPr>
        <w:rFonts w:hint="default"/>
      </w:rPr>
    </w:lvl>
  </w:abstractNum>
  <w:abstractNum w:abstractNumId="19">
    <w:nsid w:val="D1EB1714"/>
    <w:multiLevelType w:val="multilevel"/>
    <w:tmpl w:val="D1EB1714"/>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0">
    <w:nsid w:val="DAD3A854"/>
    <w:multiLevelType w:val="multilevel"/>
    <w:tmpl w:val="DAD3A854"/>
    <w:lvl w:ilvl="0" w:tentative="0">
      <w:start w:val="9"/>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1">
    <w:nsid w:val="E0294EC7"/>
    <w:multiLevelType w:val="multilevel"/>
    <w:tmpl w:val="E0294EC7"/>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2">
    <w:nsid w:val="E504947C"/>
    <w:multiLevelType w:val="multilevel"/>
    <w:tmpl w:val="E504947C"/>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3">
    <w:nsid w:val="F3A33954"/>
    <w:multiLevelType w:val="multilevel"/>
    <w:tmpl w:val="F3A33954"/>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24">
    <w:nsid w:val="F4A8865B"/>
    <w:multiLevelType w:val="singleLevel"/>
    <w:tmpl w:val="F4A8865B"/>
    <w:lvl w:ilvl="0" w:tentative="0">
      <w:start w:val="1"/>
      <w:numFmt w:val="decimal"/>
      <w:suff w:val="space"/>
      <w:lvlText w:val="%1)"/>
      <w:lvlJc w:val="left"/>
      <w:pPr>
        <w:ind w:left="420"/>
      </w:pPr>
    </w:lvl>
  </w:abstractNum>
  <w:abstractNum w:abstractNumId="25">
    <w:nsid w:val="F4A942FE"/>
    <w:multiLevelType w:val="multilevel"/>
    <w:tmpl w:val="F4A942FE"/>
    <w:lvl w:ilvl="0" w:tentative="0">
      <w:start w:val="1"/>
      <w:numFmt w:val="decimal"/>
      <w:lvlText w:val="%1."/>
      <w:lvlJc w:val="left"/>
      <w:pPr>
        <w:tabs>
          <w:tab w:val="left" w:pos="720"/>
        </w:tabs>
        <w:ind w:left="720" w:hanging="360"/>
      </w:pPr>
      <w:rPr>
        <w:rFonts w:ascii="Times New Roman" w:hAnsi="Times New Roman" w:eastAsia="Times New Roman" w:cs="Times New Roman"/>
        <w:b w:val="0"/>
        <w:bCs/>
        <w:color w:val="000000"/>
        <w:kern w:val="2"/>
        <w:sz w:val="22"/>
        <w:szCs w:val="22"/>
        <w:lang w:val="pl-PL" w:eastAsia="zh-CN" w:bidi="hi-IN"/>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color w:val="000000"/>
        <w:kern w:val="2"/>
        <w:sz w:val="22"/>
        <w:szCs w:val="22"/>
        <w:lang w:val="pl-PL" w:eastAsia="zh-CN" w:bidi="hi-IN"/>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color w:val="000000"/>
        <w:kern w:val="2"/>
        <w:sz w:val="22"/>
        <w:szCs w:val="22"/>
        <w:lang w:val="pl-PL" w:eastAsia="zh-CN" w:bidi="hi-IN"/>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color w:val="000000"/>
        <w:kern w:val="2"/>
        <w:sz w:val="22"/>
        <w:szCs w:val="22"/>
        <w:lang w:val="pl-PL" w:eastAsia="zh-CN" w:bidi="hi-IN"/>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color w:val="000000"/>
        <w:kern w:val="2"/>
        <w:sz w:val="22"/>
        <w:szCs w:val="22"/>
        <w:lang w:val="pl-PL" w:eastAsia="zh-CN" w:bidi="hi-IN"/>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color w:val="000000"/>
        <w:kern w:val="2"/>
        <w:sz w:val="22"/>
        <w:szCs w:val="22"/>
        <w:lang w:val="pl-PL" w:eastAsia="zh-CN" w:bidi="hi-IN"/>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color w:val="000000"/>
        <w:kern w:val="2"/>
        <w:sz w:val="22"/>
        <w:szCs w:val="22"/>
        <w:lang w:val="pl-PL" w:eastAsia="zh-CN" w:bidi="hi-IN"/>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color w:val="000000"/>
        <w:kern w:val="2"/>
        <w:sz w:val="22"/>
        <w:szCs w:val="22"/>
        <w:lang w:val="pl-PL" w:eastAsia="zh-CN" w:bidi="hi-IN"/>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color w:val="000000"/>
        <w:kern w:val="2"/>
        <w:sz w:val="22"/>
        <w:szCs w:val="22"/>
        <w:lang w:val="pl-PL" w:eastAsia="zh-CN" w:bidi="hi-IN"/>
      </w:rPr>
    </w:lvl>
  </w:abstractNum>
  <w:abstractNum w:abstractNumId="26">
    <w:nsid w:val="F585BF25"/>
    <w:multiLevelType w:val="multilevel"/>
    <w:tmpl w:val="F585BF25"/>
    <w:lvl w:ilvl="0" w:tentative="0">
      <w:start w:val="6"/>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7">
    <w:nsid w:val="F689643B"/>
    <w:multiLevelType w:val="multilevel"/>
    <w:tmpl w:val="F689643B"/>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8">
    <w:nsid w:val="01836A6D"/>
    <w:multiLevelType w:val="multilevel"/>
    <w:tmpl w:val="01836A6D"/>
    <w:lvl w:ilvl="0" w:tentative="0">
      <w:start w:val="3"/>
      <w:numFmt w:val="decimal"/>
      <w:lvlText w:val="%1."/>
      <w:lvlJc w:val="left"/>
      <w:pPr>
        <w:tabs>
          <w:tab w:val="left" w:pos="720"/>
        </w:tabs>
        <w:ind w:left="720" w:hanging="360"/>
      </w:pPr>
      <w:rPr>
        <w:rFonts w:ascii="Times New Roman" w:hAnsi="Times New Roman" w:eastAsia="Times New Roman" w:cs="Times New Roman"/>
        <w:color w:val="000000"/>
        <w:sz w:val="22"/>
        <w:szCs w:val="22"/>
        <w:highlight w:val="white"/>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sz w:val="22"/>
        <w:szCs w:val="22"/>
        <w:highlight w:val="white"/>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sz w:val="22"/>
        <w:szCs w:val="22"/>
        <w:highlight w:val="white"/>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sz w:val="22"/>
        <w:szCs w:val="22"/>
        <w:highlight w:val="white"/>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sz w:val="22"/>
        <w:szCs w:val="22"/>
        <w:highlight w:val="white"/>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sz w:val="22"/>
        <w:szCs w:val="22"/>
        <w:highlight w:val="white"/>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sz w:val="22"/>
        <w:szCs w:val="22"/>
        <w:highlight w:val="white"/>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sz w:val="22"/>
        <w:szCs w:val="22"/>
        <w:highlight w:val="white"/>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sz w:val="22"/>
        <w:szCs w:val="22"/>
        <w:highlight w:val="white"/>
        <w:lang w:val="pl-PL" w:eastAsia="pl-PL" w:bidi="ar-SA"/>
      </w:rPr>
    </w:lvl>
  </w:abstractNum>
  <w:abstractNum w:abstractNumId="29">
    <w:nsid w:val="03A63A41"/>
    <w:multiLevelType w:val="multilevel"/>
    <w:tmpl w:val="03A63A4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0">
    <w:nsid w:val="068555B6"/>
    <w:multiLevelType w:val="multilevel"/>
    <w:tmpl w:val="068555B6"/>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1">
    <w:nsid w:val="08B6502C"/>
    <w:multiLevelType w:val="multilevel"/>
    <w:tmpl w:val="08B6502C"/>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2">
    <w:nsid w:val="0E640482"/>
    <w:multiLevelType w:val="multilevel"/>
    <w:tmpl w:val="0E640482"/>
    <w:lvl w:ilvl="0" w:tentative="0">
      <w:start w:val="1"/>
      <w:numFmt w:val="decimal"/>
      <w:lvlText w:val="%1."/>
      <w:lvlJc w:val="left"/>
      <w:pPr>
        <w:tabs>
          <w:tab w:val="left" w:pos="720"/>
        </w:tabs>
        <w:ind w:left="720" w:hanging="360"/>
      </w:pPr>
      <w:rPr>
        <w:rFonts w:ascii="Times New Roman" w:hAnsi="Times New Roman" w:cs="Times New Roman"/>
        <w:b w:val="0"/>
        <w:bCs w:val="0"/>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33">
    <w:nsid w:val="0F9F9CCA"/>
    <w:multiLevelType w:val="multilevel"/>
    <w:tmpl w:val="0F9F9CCA"/>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4">
    <w:nsid w:val="10D591E5"/>
    <w:multiLevelType w:val="multilevel"/>
    <w:tmpl w:val="10D591E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5">
    <w:nsid w:val="12EADF99"/>
    <w:multiLevelType w:val="multilevel"/>
    <w:tmpl w:val="12EADF99"/>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6">
    <w:nsid w:val="1450273B"/>
    <w:multiLevelType w:val="multilevel"/>
    <w:tmpl w:val="1450273B"/>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7">
    <w:nsid w:val="18F74015"/>
    <w:multiLevelType w:val="multilevel"/>
    <w:tmpl w:val="18F7401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8">
    <w:nsid w:val="1AD50295"/>
    <w:multiLevelType w:val="multilevel"/>
    <w:tmpl w:val="1AD50295"/>
    <w:lvl w:ilvl="0" w:tentative="0">
      <w:start w:val="12"/>
      <w:numFmt w:val="lowerLetter"/>
      <w:lvlText w:val="%1)"/>
      <w:lvlJc w:val="left"/>
      <w:pPr>
        <w:tabs>
          <w:tab w:val="left" w:pos="720"/>
        </w:tabs>
        <w:ind w:left="720" w:hanging="360"/>
      </w:pPr>
      <w:rPr>
        <w:rFonts w:ascii="Times New Roman" w:hAnsi="Times New Roman" w:eastAsia="Times New Roman" w:cs="Times New Roman"/>
        <w:bCs/>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bCs/>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bCs/>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bCs/>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bCs/>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bCs/>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bCs/>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bCs/>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bCs/>
        <w:color w:val="000000"/>
        <w:kern w:val="2"/>
        <w:sz w:val="22"/>
        <w:szCs w:val="22"/>
        <w:lang w:val="pl-PL" w:eastAsia="pl-PL" w:bidi="ar-SA"/>
      </w:rPr>
    </w:lvl>
  </w:abstractNum>
  <w:abstractNum w:abstractNumId="39">
    <w:nsid w:val="1BCBBCF0"/>
    <w:multiLevelType w:val="multilevel"/>
    <w:tmpl w:val="1BCBBCF0"/>
    <w:lvl w:ilvl="0" w:tentative="0">
      <w:start w:val="3"/>
      <w:numFmt w:val="decimal"/>
      <w:lvlText w:val="%1."/>
      <w:lvlJc w:val="left"/>
      <w:pPr>
        <w:tabs>
          <w:tab w:val="left" w:pos="720"/>
        </w:tabs>
        <w:ind w:left="720" w:hanging="360"/>
      </w:pPr>
      <w:rPr>
        <w:rFonts w:hint="default"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0">
    <w:nsid w:val="2F2D79CE"/>
    <w:multiLevelType w:val="multilevel"/>
    <w:tmpl w:val="2F2D79CE"/>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1">
    <w:nsid w:val="30A0AC00"/>
    <w:multiLevelType w:val="multilevel"/>
    <w:tmpl w:val="30A0AC00"/>
    <w:lvl w:ilvl="0" w:tentative="0">
      <w:start w:val="1"/>
      <w:numFmt w:val="decimal"/>
      <w:lvlText w:val="%1)"/>
      <w:lvlJc w:val="left"/>
      <w:pPr>
        <w:tabs>
          <w:tab w:val="left" w:pos="1140"/>
        </w:tabs>
        <w:ind w:left="1140" w:hanging="360"/>
      </w:pPr>
      <w:rPr>
        <w:rFonts w:ascii="Times New Roman" w:hAnsi="Times New Roman" w:cs="Times New Roman"/>
        <w:sz w:val="22"/>
        <w:szCs w:val="22"/>
      </w:rPr>
    </w:lvl>
    <w:lvl w:ilvl="1" w:tentative="0">
      <w:start w:val="1"/>
      <w:numFmt w:val="decimal"/>
      <w:lvlText w:val="%2)"/>
      <w:lvlJc w:val="left"/>
      <w:pPr>
        <w:tabs>
          <w:tab w:val="left" w:pos="1500"/>
        </w:tabs>
        <w:ind w:left="1500" w:hanging="360"/>
      </w:pPr>
      <w:rPr>
        <w:rFonts w:ascii="Times New Roman" w:hAnsi="Times New Roman" w:cs="Times New Roman"/>
        <w:sz w:val="22"/>
        <w:szCs w:val="22"/>
      </w:rPr>
    </w:lvl>
    <w:lvl w:ilvl="2" w:tentative="0">
      <w:start w:val="1"/>
      <w:numFmt w:val="decimal"/>
      <w:lvlText w:val="%3)"/>
      <w:lvlJc w:val="left"/>
      <w:pPr>
        <w:tabs>
          <w:tab w:val="left" w:pos="1860"/>
        </w:tabs>
        <w:ind w:left="1860" w:hanging="360"/>
      </w:pPr>
      <w:rPr>
        <w:rFonts w:ascii="Times New Roman" w:hAnsi="Times New Roman" w:cs="Times New Roman"/>
        <w:sz w:val="22"/>
        <w:szCs w:val="22"/>
      </w:rPr>
    </w:lvl>
    <w:lvl w:ilvl="3" w:tentative="0">
      <w:start w:val="1"/>
      <w:numFmt w:val="decimal"/>
      <w:lvlText w:val="%4)"/>
      <w:lvlJc w:val="left"/>
      <w:pPr>
        <w:tabs>
          <w:tab w:val="left" w:pos="2220"/>
        </w:tabs>
        <w:ind w:left="2220" w:hanging="360"/>
      </w:pPr>
      <w:rPr>
        <w:rFonts w:ascii="Times New Roman" w:hAnsi="Times New Roman" w:cs="Times New Roman"/>
        <w:sz w:val="22"/>
        <w:szCs w:val="22"/>
      </w:rPr>
    </w:lvl>
    <w:lvl w:ilvl="4" w:tentative="0">
      <w:start w:val="1"/>
      <w:numFmt w:val="decimal"/>
      <w:lvlText w:val="%5)"/>
      <w:lvlJc w:val="left"/>
      <w:pPr>
        <w:tabs>
          <w:tab w:val="left" w:pos="2580"/>
        </w:tabs>
        <w:ind w:left="2580" w:hanging="360"/>
      </w:pPr>
      <w:rPr>
        <w:rFonts w:ascii="Times New Roman" w:hAnsi="Times New Roman" w:cs="Times New Roman"/>
        <w:sz w:val="22"/>
        <w:szCs w:val="22"/>
      </w:rPr>
    </w:lvl>
    <w:lvl w:ilvl="5" w:tentative="0">
      <w:start w:val="1"/>
      <w:numFmt w:val="decimal"/>
      <w:lvlText w:val="%6)"/>
      <w:lvlJc w:val="left"/>
      <w:pPr>
        <w:tabs>
          <w:tab w:val="left" w:pos="2940"/>
        </w:tabs>
        <w:ind w:left="2940" w:hanging="360"/>
      </w:pPr>
      <w:rPr>
        <w:rFonts w:ascii="Times New Roman" w:hAnsi="Times New Roman" w:cs="Times New Roman"/>
        <w:sz w:val="22"/>
        <w:szCs w:val="22"/>
      </w:rPr>
    </w:lvl>
    <w:lvl w:ilvl="6" w:tentative="0">
      <w:start w:val="1"/>
      <w:numFmt w:val="decimal"/>
      <w:lvlText w:val="%7)"/>
      <w:lvlJc w:val="left"/>
      <w:pPr>
        <w:tabs>
          <w:tab w:val="left" w:pos="3300"/>
        </w:tabs>
        <w:ind w:left="3300" w:hanging="360"/>
      </w:pPr>
      <w:rPr>
        <w:rFonts w:ascii="Times New Roman" w:hAnsi="Times New Roman" w:cs="Times New Roman"/>
        <w:sz w:val="22"/>
        <w:szCs w:val="22"/>
      </w:rPr>
    </w:lvl>
    <w:lvl w:ilvl="7" w:tentative="0">
      <w:start w:val="1"/>
      <w:numFmt w:val="decimal"/>
      <w:lvlText w:val="%8)"/>
      <w:lvlJc w:val="left"/>
      <w:pPr>
        <w:tabs>
          <w:tab w:val="left" w:pos="3660"/>
        </w:tabs>
        <w:ind w:left="3660" w:hanging="360"/>
      </w:pPr>
      <w:rPr>
        <w:rFonts w:ascii="Times New Roman" w:hAnsi="Times New Roman" w:cs="Times New Roman"/>
        <w:sz w:val="22"/>
        <w:szCs w:val="22"/>
      </w:rPr>
    </w:lvl>
    <w:lvl w:ilvl="8" w:tentative="0">
      <w:start w:val="1"/>
      <w:numFmt w:val="decimal"/>
      <w:lvlText w:val="%9)"/>
      <w:lvlJc w:val="left"/>
      <w:pPr>
        <w:tabs>
          <w:tab w:val="left" w:pos="4020"/>
        </w:tabs>
        <w:ind w:left="4020" w:hanging="360"/>
      </w:pPr>
      <w:rPr>
        <w:rFonts w:ascii="Times New Roman" w:hAnsi="Times New Roman" w:cs="Times New Roman"/>
        <w:sz w:val="22"/>
        <w:szCs w:val="22"/>
      </w:rPr>
    </w:lvl>
  </w:abstractNum>
  <w:abstractNum w:abstractNumId="42">
    <w:nsid w:val="35E83B33"/>
    <w:multiLevelType w:val="multilevel"/>
    <w:tmpl w:val="35E83B33"/>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val="0"/>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val="0"/>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val="0"/>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val="0"/>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val="0"/>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val="0"/>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val="0"/>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val="0"/>
        <w:color w:val="000000"/>
        <w:kern w:val="2"/>
        <w:sz w:val="22"/>
        <w:szCs w:val="22"/>
        <w:lang w:val="pl-PL" w:eastAsia="pl-PL" w:bidi="ar-SA"/>
      </w:rPr>
    </w:lvl>
  </w:abstractNum>
  <w:abstractNum w:abstractNumId="43">
    <w:nsid w:val="3B8127DF"/>
    <w:multiLevelType w:val="multilevel"/>
    <w:tmpl w:val="3B8127DF"/>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44">
    <w:nsid w:val="40B249F9"/>
    <w:multiLevelType w:val="multilevel"/>
    <w:tmpl w:val="40B249F9"/>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45">
    <w:nsid w:val="4A51D704"/>
    <w:multiLevelType w:val="multilevel"/>
    <w:tmpl w:val="4A51D70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6">
    <w:nsid w:val="4CD1E351"/>
    <w:multiLevelType w:val="multilevel"/>
    <w:tmpl w:val="4CD1E35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7">
    <w:nsid w:val="54701CA1"/>
    <w:multiLevelType w:val="multilevel"/>
    <w:tmpl w:val="54701CA1"/>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8">
    <w:nsid w:val="59EEFD2A"/>
    <w:multiLevelType w:val="multilevel"/>
    <w:tmpl w:val="59EEFD2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9">
    <w:nsid w:val="5FCE4367"/>
    <w:multiLevelType w:val="multilevel"/>
    <w:tmpl w:val="5FCE4367"/>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0">
    <w:nsid w:val="610EFE5C"/>
    <w:multiLevelType w:val="multilevel"/>
    <w:tmpl w:val="610EFE5C"/>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1">
    <w:nsid w:val="68B298F7"/>
    <w:multiLevelType w:val="multilevel"/>
    <w:tmpl w:val="68B298F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2">
    <w:nsid w:val="77633216"/>
    <w:multiLevelType w:val="multilevel"/>
    <w:tmpl w:val="77633216"/>
    <w:lvl w:ilvl="0" w:tentative="0">
      <w:start w:val="1"/>
      <w:numFmt w:val="lowerLetter"/>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num w:numId="1">
    <w:abstractNumId w:val="44"/>
  </w:num>
  <w:num w:numId="2">
    <w:abstractNumId w:val="33"/>
  </w:num>
  <w:num w:numId="3">
    <w:abstractNumId w:val="42"/>
  </w:num>
  <w:num w:numId="4">
    <w:abstractNumId w:val="29"/>
  </w:num>
  <w:num w:numId="5">
    <w:abstractNumId w:val="17"/>
  </w:num>
  <w:num w:numId="6">
    <w:abstractNumId w:val="35"/>
  </w:num>
  <w:num w:numId="7">
    <w:abstractNumId w:val="11"/>
  </w:num>
  <w:num w:numId="8">
    <w:abstractNumId w:val="24"/>
  </w:num>
  <w:num w:numId="9">
    <w:abstractNumId w:val="43"/>
  </w:num>
  <w:num w:numId="10">
    <w:abstractNumId w:val="31"/>
  </w:num>
  <w:num w:numId="11">
    <w:abstractNumId w:val="27"/>
  </w:num>
  <w:num w:numId="12">
    <w:abstractNumId w:val="41"/>
  </w:num>
  <w:num w:numId="13">
    <w:abstractNumId w:val="37"/>
  </w:num>
  <w:num w:numId="14">
    <w:abstractNumId w:val="22"/>
  </w:num>
  <w:num w:numId="15">
    <w:abstractNumId w:val="7"/>
  </w:num>
  <w:num w:numId="16">
    <w:abstractNumId w:val="52"/>
  </w:num>
  <w:num w:numId="17">
    <w:abstractNumId w:val="20"/>
  </w:num>
  <w:num w:numId="18">
    <w:abstractNumId w:val="40"/>
  </w:num>
  <w:num w:numId="19">
    <w:abstractNumId w:val="32"/>
  </w:num>
  <w:num w:numId="20">
    <w:abstractNumId w:val="3"/>
  </w:num>
  <w:num w:numId="21">
    <w:abstractNumId w:val="48"/>
  </w:num>
  <w:num w:numId="22">
    <w:abstractNumId w:val="14"/>
  </w:num>
  <w:num w:numId="23">
    <w:abstractNumId w:val="10"/>
  </w:num>
  <w:num w:numId="24">
    <w:abstractNumId w:val="2"/>
  </w:num>
  <w:num w:numId="25">
    <w:abstractNumId w:val="5"/>
  </w:num>
  <w:num w:numId="26">
    <w:abstractNumId w:val="9"/>
  </w:num>
  <w:num w:numId="27">
    <w:abstractNumId w:val="1"/>
  </w:num>
  <w:num w:numId="28">
    <w:abstractNumId w:val="39"/>
  </w:num>
  <w:num w:numId="29">
    <w:abstractNumId w:val="15"/>
  </w:num>
  <w:num w:numId="30">
    <w:abstractNumId w:val="36"/>
  </w:num>
  <w:num w:numId="31">
    <w:abstractNumId w:val="19"/>
  </w:num>
  <w:num w:numId="32">
    <w:abstractNumId w:val="51"/>
  </w:num>
  <w:num w:numId="33">
    <w:abstractNumId w:val="0"/>
  </w:num>
  <w:num w:numId="34">
    <w:abstractNumId w:val="13"/>
  </w:num>
  <w:num w:numId="35">
    <w:abstractNumId w:val="26"/>
  </w:num>
  <w:num w:numId="36">
    <w:abstractNumId w:val="46"/>
  </w:num>
  <w:num w:numId="37">
    <w:abstractNumId w:val="34"/>
  </w:num>
  <w:num w:numId="38">
    <w:abstractNumId w:val="4"/>
  </w:num>
  <w:num w:numId="39">
    <w:abstractNumId w:val="21"/>
  </w:num>
  <w:num w:numId="40">
    <w:abstractNumId w:val="38"/>
  </w:num>
  <w:num w:numId="41">
    <w:abstractNumId w:val="45"/>
  </w:num>
  <w:num w:numId="42">
    <w:abstractNumId w:val="8"/>
  </w:num>
  <w:num w:numId="43">
    <w:abstractNumId w:val="50"/>
  </w:num>
  <w:num w:numId="44">
    <w:abstractNumId w:val="28"/>
  </w:num>
  <w:num w:numId="45">
    <w:abstractNumId w:val="6"/>
  </w:num>
  <w:num w:numId="46">
    <w:abstractNumId w:val="12"/>
  </w:num>
  <w:num w:numId="47">
    <w:abstractNumId w:val="18"/>
  </w:num>
  <w:num w:numId="48">
    <w:abstractNumId w:val="30"/>
  </w:num>
  <w:num w:numId="49">
    <w:abstractNumId w:val="16"/>
  </w:num>
  <w:num w:numId="50">
    <w:abstractNumId w:val="25"/>
  </w:num>
  <w:num w:numId="51">
    <w:abstractNumId w:val="49"/>
  </w:num>
  <w:num w:numId="52">
    <w:abstractNumId w:val="23"/>
  </w:num>
  <w:num w:numId="53">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08"/>
    <w:rsid w:val="002009E7"/>
    <w:rsid w:val="002C4400"/>
    <w:rsid w:val="002D066A"/>
    <w:rsid w:val="002D0B2B"/>
    <w:rsid w:val="004E2423"/>
    <w:rsid w:val="00577456"/>
    <w:rsid w:val="00586D4F"/>
    <w:rsid w:val="005C06C6"/>
    <w:rsid w:val="00640B36"/>
    <w:rsid w:val="00747B0F"/>
    <w:rsid w:val="00B25108"/>
    <w:rsid w:val="00B64AC7"/>
    <w:rsid w:val="00C2468E"/>
    <w:rsid w:val="00EE6186"/>
    <w:rsid w:val="00F01208"/>
    <w:rsid w:val="023C66B8"/>
    <w:rsid w:val="02EB406C"/>
    <w:rsid w:val="03491247"/>
    <w:rsid w:val="03DA21E2"/>
    <w:rsid w:val="085E7580"/>
    <w:rsid w:val="09ED69F7"/>
    <w:rsid w:val="0BAD643E"/>
    <w:rsid w:val="0CA465CD"/>
    <w:rsid w:val="0D9C090E"/>
    <w:rsid w:val="0F275B9A"/>
    <w:rsid w:val="11724B41"/>
    <w:rsid w:val="1216771F"/>
    <w:rsid w:val="12EB2FD5"/>
    <w:rsid w:val="1A0C7826"/>
    <w:rsid w:val="1A8A3DEE"/>
    <w:rsid w:val="1B3D1674"/>
    <w:rsid w:val="1BCE70A2"/>
    <w:rsid w:val="1BF12FFF"/>
    <w:rsid w:val="1BF60829"/>
    <w:rsid w:val="1C10451A"/>
    <w:rsid w:val="1DB21FDA"/>
    <w:rsid w:val="1DFD5189"/>
    <w:rsid w:val="1EF3124A"/>
    <w:rsid w:val="20CC23A0"/>
    <w:rsid w:val="21824F16"/>
    <w:rsid w:val="23305E7B"/>
    <w:rsid w:val="253634F0"/>
    <w:rsid w:val="256517BD"/>
    <w:rsid w:val="26A36E5B"/>
    <w:rsid w:val="299617A5"/>
    <w:rsid w:val="2AA31C9D"/>
    <w:rsid w:val="2AC56BF8"/>
    <w:rsid w:val="2DE464DA"/>
    <w:rsid w:val="2F5304AC"/>
    <w:rsid w:val="2F6241C8"/>
    <w:rsid w:val="354632DC"/>
    <w:rsid w:val="359466B9"/>
    <w:rsid w:val="3669222D"/>
    <w:rsid w:val="3B6B726D"/>
    <w:rsid w:val="3D2706B4"/>
    <w:rsid w:val="3E5E3AA2"/>
    <w:rsid w:val="3EE26030"/>
    <w:rsid w:val="3F501186"/>
    <w:rsid w:val="3F6A6C05"/>
    <w:rsid w:val="40BA3C66"/>
    <w:rsid w:val="43E0686A"/>
    <w:rsid w:val="45937BEE"/>
    <w:rsid w:val="45E137C4"/>
    <w:rsid w:val="461A71B3"/>
    <w:rsid w:val="46B11A96"/>
    <w:rsid w:val="47022B64"/>
    <w:rsid w:val="476D4564"/>
    <w:rsid w:val="47887784"/>
    <w:rsid w:val="4808684F"/>
    <w:rsid w:val="492E2A98"/>
    <w:rsid w:val="4C936A1C"/>
    <w:rsid w:val="4D453A21"/>
    <w:rsid w:val="4D754306"/>
    <w:rsid w:val="4DB24E8A"/>
    <w:rsid w:val="4F3855EC"/>
    <w:rsid w:val="52036385"/>
    <w:rsid w:val="52BC0746"/>
    <w:rsid w:val="5643073D"/>
    <w:rsid w:val="56DA3A6F"/>
    <w:rsid w:val="59D92AF4"/>
    <w:rsid w:val="5BC65322"/>
    <w:rsid w:val="5BE80ED6"/>
    <w:rsid w:val="5D194C63"/>
    <w:rsid w:val="64113078"/>
    <w:rsid w:val="648F5856"/>
    <w:rsid w:val="669051F0"/>
    <w:rsid w:val="67E20393"/>
    <w:rsid w:val="68793E96"/>
    <w:rsid w:val="699D22BC"/>
    <w:rsid w:val="6A303173"/>
    <w:rsid w:val="6B0B7C00"/>
    <w:rsid w:val="6BEC358E"/>
    <w:rsid w:val="6E9467FA"/>
    <w:rsid w:val="70907902"/>
    <w:rsid w:val="72536115"/>
    <w:rsid w:val="73E3123A"/>
    <w:rsid w:val="73F63D50"/>
    <w:rsid w:val="74037EE1"/>
    <w:rsid w:val="74C83FAC"/>
    <w:rsid w:val="75031BCE"/>
    <w:rsid w:val="7548375C"/>
    <w:rsid w:val="77004391"/>
    <w:rsid w:val="77AA6D62"/>
    <w:rsid w:val="77BC31D2"/>
    <w:rsid w:val="79EB2B8C"/>
    <w:rsid w:val="7B884BE5"/>
    <w:rsid w:val="7BBA0FB3"/>
    <w:rsid w:val="7BD72A0D"/>
    <w:rsid w:val="7CEA207E"/>
    <w:rsid w:val="7D1110A6"/>
    <w:rsid w:val="7E2161F2"/>
    <w:rsid w:val="7FF3220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2"/>
      <w:szCs w:val="22"/>
      <w:lang w:val="pl-PL" w:eastAsia="pl-PL" w:bidi="pl-PL"/>
    </w:rPr>
  </w:style>
  <w:style w:type="paragraph" w:styleId="2">
    <w:name w:val="heading 1"/>
    <w:basedOn w:val="1"/>
    <w:next w:val="3"/>
    <w:link w:val="13"/>
    <w:qFormat/>
    <w:uiPriority w:val="0"/>
    <w:pPr>
      <w:numPr>
        <w:ilvl w:val="0"/>
        <w:numId w:val="1"/>
      </w:numPr>
      <w:ind w:left="3520" w:right="3516"/>
      <w:jc w:val="center"/>
      <w:outlineLvl w:val="0"/>
    </w:pPr>
    <w:rPr>
      <w:b/>
      <w:bCs/>
    </w:rPr>
  </w:style>
  <w:style w:type="paragraph" w:styleId="4">
    <w:name w:val="heading 3"/>
    <w:basedOn w:val="1"/>
    <w:next w:val="3"/>
    <w:link w:val="14"/>
    <w:qFormat/>
    <w:uiPriority w:val="0"/>
    <w:pPr>
      <w:keepNext/>
      <w:numPr>
        <w:ilvl w:val="2"/>
        <w:numId w:val="1"/>
      </w:numPr>
      <w:spacing w:before="140" w:after="120"/>
      <w:outlineLvl w:val="2"/>
    </w:pPr>
    <w:rPr>
      <w:rFonts w:ascii="Liberation Serif;Times New Roma" w:hAnsi="Liberation Serif;Times New Roma" w:eastAsia="SimSun" w:cs="Lucida Sans"/>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0"/>
    <w:pPr>
      <w:ind w:left="116"/>
      <w:jc w:val="both"/>
    </w:pPr>
  </w:style>
  <w:style w:type="paragraph" w:styleId="7">
    <w:name w:val="footer"/>
    <w:basedOn w:val="1"/>
    <w:link w:val="16"/>
    <w:qFormat/>
    <w:uiPriority w:val="99"/>
    <w:pPr>
      <w:suppressLineNumbers/>
      <w:tabs>
        <w:tab w:val="center" w:pos="4819"/>
        <w:tab w:val="center" w:pos="6922"/>
        <w:tab w:val="right" w:pos="9638"/>
        <w:tab w:val="right" w:pos="13844"/>
      </w:tabs>
    </w:pPr>
  </w:style>
  <w:style w:type="paragraph" w:styleId="8">
    <w:name w:val="header"/>
    <w:basedOn w:val="1"/>
    <w:link w:val="17"/>
    <w:qFormat/>
    <w:uiPriority w:val="0"/>
    <w:pPr>
      <w:widowControl w:val="0"/>
    </w:pPr>
    <w:rPr>
      <w:rFonts w:ascii="Liberation Serif;Times New Roma" w:hAnsi="Liberation Serif;Times New Roma" w:eastAsia="Liberation Serif;Times New Roma" w:cs="Liberation Serif;Times New Roma"/>
      <w:color w:val="000000"/>
      <w:kern w:val="2"/>
      <w:sz w:val="24"/>
    </w:rPr>
  </w:style>
  <w:style w:type="character" w:styleId="9">
    <w:name w:val="Hyperlink"/>
    <w:basedOn w:val="10"/>
    <w:qFormat/>
    <w:uiPriority w:val="0"/>
    <w:rPr>
      <w:color w:val="0000FF"/>
      <w:u w:val="single"/>
    </w:rPr>
  </w:style>
  <w:style w:type="character" w:customStyle="1" w:styleId="10">
    <w:name w:val="Domyślna czcionka akapitu1"/>
    <w:qFormat/>
    <w:uiPriority w:val="0"/>
  </w:style>
  <w:style w:type="paragraph" w:styleId="11">
    <w:name w:val="List"/>
    <w:basedOn w:val="1"/>
    <w:qFormat/>
    <w:uiPriority w:val="0"/>
    <w:pPr>
      <w:widowControl/>
      <w:suppressAutoHyphens w:val="0"/>
      <w:ind w:left="283" w:hanging="283"/>
    </w:pPr>
    <w:rPr>
      <w:rFonts w:ascii="Arial" w:hAnsi="Arial" w:eastAsia="Times New Roman"/>
      <w:kern w:val="0"/>
      <w:szCs w:val="20"/>
    </w:rPr>
  </w:style>
  <w:style w:type="character" w:styleId="12">
    <w:name w:val="Strong"/>
    <w:qFormat/>
    <w:uiPriority w:val="0"/>
    <w:rPr>
      <w:b/>
    </w:rPr>
  </w:style>
  <w:style w:type="character" w:customStyle="1" w:styleId="13">
    <w:name w:val="Nagłówek 1 Znak"/>
    <w:basedOn w:val="5"/>
    <w:link w:val="2"/>
    <w:qFormat/>
    <w:uiPriority w:val="0"/>
    <w:rPr>
      <w:rFonts w:ascii="Times New Roman" w:hAnsi="Times New Roman" w:eastAsia="Times New Roman" w:cs="Times New Roman"/>
      <w:b/>
      <w:bCs/>
      <w:lang w:eastAsia="pl-PL" w:bidi="pl-PL"/>
    </w:rPr>
  </w:style>
  <w:style w:type="character" w:customStyle="1" w:styleId="14">
    <w:name w:val="Nagłówek 3 Znak"/>
    <w:basedOn w:val="5"/>
    <w:link w:val="4"/>
    <w:qFormat/>
    <w:uiPriority w:val="0"/>
    <w:rPr>
      <w:rFonts w:ascii="Liberation Serif;Times New Roma" w:hAnsi="Liberation Serif;Times New Roma" w:eastAsia="SimSun" w:cs="Lucida Sans"/>
      <w:b/>
      <w:bCs/>
      <w:sz w:val="28"/>
      <w:szCs w:val="28"/>
      <w:lang w:eastAsia="pl-PL" w:bidi="pl-PL"/>
    </w:rPr>
  </w:style>
  <w:style w:type="character" w:customStyle="1" w:styleId="15">
    <w:name w:val="Tekst podstawowy Znak"/>
    <w:basedOn w:val="5"/>
    <w:link w:val="3"/>
    <w:qFormat/>
    <w:uiPriority w:val="0"/>
    <w:rPr>
      <w:rFonts w:ascii="Times New Roman" w:hAnsi="Times New Roman" w:eastAsia="Times New Roman" w:cs="Times New Roman"/>
      <w:lang w:eastAsia="pl-PL" w:bidi="pl-PL"/>
    </w:rPr>
  </w:style>
  <w:style w:type="character" w:customStyle="1" w:styleId="16">
    <w:name w:val="Stopka Znak"/>
    <w:basedOn w:val="5"/>
    <w:link w:val="7"/>
    <w:qFormat/>
    <w:uiPriority w:val="99"/>
    <w:rPr>
      <w:rFonts w:ascii="Times New Roman" w:hAnsi="Times New Roman" w:eastAsia="Times New Roman" w:cs="Times New Roman"/>
      <w:lang w:eastAsia="pl-PL" w:bidi="pl-PL"/>
    </w:rPr>
  </w:style>
  <w:style w:type="character" w:customStyle="1" w:styleId="17">
    <w:name w:val="Nagłówek Znak"/>
    <w:basedOn w:val="5"/>
    <w:link w:val="8"/>
    <w:qFormat/>
    <w:uiPriority w:val="0"/>
    <w:rPr>
      <w:rFonts w:ascii="Liberation Serif;Times New Roma" w:hAnsi="Liberation Serif;Times New Roma" w:eastAsia="Liberation Serif;Times New Roma" w:cs="Liberation Serif;Times New Roma"/>
      <w:color w:val="000000"/>
      <w:kern w:val="2"/>
      <w:sz w:val="24"/>
      <w:lang w:eastAsia="pl-PL" w:bidi="pl-PL"/>
    </w:rPr>
  </w:style>
  <w:style w:type="character" w:customStyle="1" w:styleId="18">
    <w:name w:val="Domyślna czcionka akapitu21"/>
    <w:qFormat/>
    <w:uiPriority w:val="0"/>
  </w:style>
  <w:style w:type="paragraph" w:styleId="19">
    <w:name w:val="List Paragraph"/>
    <w:basedOn w:val="1"/>
    <w:qFormat/>
    <w:uiPriority w:val="0"/>
    <w:pPr>
      <w:ind w:left="116"/>
      <w:jc w:val="both"/>
    </w:pPr>
  </w:style>
  <w:style w:type="paragraph" w:customStyle="1" w:styleId="20">
    <w:name w:val="Default"/>
    <w:qFormat/>
    <w:uiPriority w:val="0"/>
    <w:pPr>
      <w:suppressAutoHyphens/>
    </w:pPr>
    <w:rPr>
      <w:rFonts w:ascii="Arial" w:hAnsi="Arial" w:eastAsia="Times New Roman" w:cs="Arial"/>
      <w:color w:val="000000"/>
      <w:kern w:val="2"/>
      <w:sz w:val="24"/>
      <w:szCs w:val="24"/>
      <w:lang w:val="pl-PL" w:eastAsia="zh-CN" w:bidi="ar-SA"/>
    </w:rPr>
  </w:style>
  <w:style w:type="paragraph" w:customStyle="1" w:styleId="21">
    <w:name w:val="Normalny1"/>
    <w:qFormat/>
    <w:uiPriority w:val="0"/>
    <w:pPr>
      <w:widowControl w:val="0"/>
      <w:suppressAutoHyphens/>
    </w:pPr>
    <w:rPr>
      <w:rFonts w:ascii="Times New Roman" w:hAnsi="Times New Roman" w:eastAsia="Times New Roman" w:cs="Times New Roman"/>
      <w:color w:val="00000A"/>
      <w:kern w:val="2"/>
      <w:sz w:val="22"/>
      <w:lang w:val="pl-PL" w:eastAsia="zh-CN" w:bidi="ar-SA"/>
    </w:rPr>
  </w:style>
  <w:style w:type="character" w:customStyle="1" w:styleId="22">
    <w:name w:val="grame"/>
    <w:basedOn w:val="5"/>
    <w:qFormat/>
    <w:uiPriority w:val="6"/>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10063</Words>
  <Characters>60384</Characters>
  <Lines>503</Lines>
  <Paragraphs>140</Paragraphs>
  <TotalTime>30</TotalTime>
  <ScaleCrop>false</ScaleCrop>
  <LinksUpToDate>false</LinksUpToDate>
  <CharactersWithSpaces>70307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2023-03-10T10:57:00Z</dcterms:created>
  <dc:creator>U Nowy Staw</dc:creator>
  <cp:lastModifiedBy>ekedra</cp:lastModifiedBy>
  <cp:lastPrinted>2023-03-23T11:40:00Z</cp:lastPrinted>
  <dcterms:modified xsi:type="dcterms:W3CDTF">2023-10-25T06:22:18Z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1045-12.2.0.13266</vt:lpwstr>
  </property>
  <property fmtid="{D5CDD505-2E9C-101B-9397-08002B2CF9AE}" pid="3" name="ICV">
    <vt:lpwstr>8E0A05C78E5042D682C0212CA36CE929</vt:lpwstr>
  </property>
</Properties>
</file>