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  <w:shd w:fill="auto" w:val="clear"/>
        </w:rPr>
        <w:t>załącznik nr 1.</w:t>
      </w:r>
      <w:r>
        <w:rPr>
          <w:rFonts w:ascii="Arial" w:hAnsi="Arial"/>
          <w:sz w:val="22"/>
          <w:szCs w:val="22"/>
          <w:shd w:fill="auto" w:val="clear"/>
        </w:rPr>
        <w:t>1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znak: Rz.271.</w:t>
      </w:r>
      <w:r>
        <w:rPr>
          <w:sz w:val="22"/>
          <w:szCs w:val="22"/>
          <w:shd w:fill="auto" w:val="clear"/>
        </w:rPr>
        <w:t>54</w:t>
      </w:r>
      <w:r>
        <w:rPr>
          <w:sz w:val="22"/>
          <w:szCs w:val="22"/>
          <w:shd w:fill="auto" w:val="clear"/>
        </w:rPr>
        <w:t>.202</w:t>
      </w:r>
      <w:r>
        <w:rPr>
          <w:sz w:val="22"/>
          <w:szCs w:val="22"/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  <w:shd w:fill="auto" w:val="clear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  <w:shd w:fill="auto" w:val="clear"/>
        </w:rPr>
      </w:pPr>
      <w:r>
        <w:rPr>
          <w:spacing w:val="40"/>
          <w:sz w:val="22"/>
          <w:szCs w:val="22"/>
          <w:shd w:fill="auto" w:val="clear"/>
        </w:rPr>
        <w:t>F</w:t>
      </w:r>
      <w:r>
        <w:rPr>
          <w:spacing w:val="40"/>
          <w:sz w:val="22"/>
          <w:szCs w:val="22"/>
          <w:shd w:fill="auto" w:val="clear"/>
        </w:rPr>
        <w:t>ormularz</w:t>
      </w:r>
      <w:r>
        <w:rPr>
          <w:spacing w:val="100"/>
          <w:sz w:val="22"/>
          <w:szCs w:val="22"/>
          <w:shd w:fill="auto" w:val="clear"/>
        </w:rPr>
        <w:t xml:space="preserve"> </w:t>
      </w:r>
      <w:r>
        <w:rPr>
          <w:spacing w:val="40"/>
          <w:sz w:val="22"/>
          <w:szCs w:val="22"/>
          <w:shd w:fill="auto" w:val="clear"/>
        </w:rPr>
        <w:t>oferty</w:t>
      </w:r>
    </w:p>
    <w:p>
      <w:pPr>
        <w:pStyle w:val="Heading1"/>
        <w:bidi w:val="0"/>
        <w:ind w:hanging="0" w:start="0"/>
        <w:rPr>
          <w:rFonts w:ascii="Arial" w:hAnsi="Arial"/>
          <w:sz w:val="22"/>
          <w:szCs w:val="22"/>
        </w:rPr>
      </w:pPr>
      <w:r>
        <w:rPr>
          <w:rFonts w:ascii="Arial" w:hAnsi="Arial"/>
          <w:spacing w:val="40"/>
          <w:sz w:val="22"/>
          <w:szCs w:val="22"/>
          <w:shd w:fill="auto" w:val="clear"/>
        </w:rPr>
        <w:t>Z</w:t>
      </w:r>
      <w:r>
        <w:rPr>
          <w:rFonts w:ascii="Arial" w:hAnsi="Arial"/>
          <w:spacing w:val="40"/>
          <w:sz w:val="22"/>
          <w:szCs w:val="22"/>
          <w:shd w:fill="auto" w:val="clear"/>
        </w:rPr>
        <w:t>adanie 1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Dowóz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uczni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ów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niepełnosprawn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ych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z terenu miasta Legionowo do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szkół/placówek oświatowych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oraz powrót do miejsca zamieszkania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wraz z zapewnieniem opieki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od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2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stycznia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202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4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r. do 21 czerwca 2024 r.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z podziałem na 2 zadania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Cena ofertowa brutto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za dzienn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ą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stawk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ę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za dowóz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1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uczni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a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niepełnosprawn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ego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na trasie z miejsca zamieszkania tj. Legionowo do sz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koły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na terenie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miejscowości Izabelin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oraz droga powrotna: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czas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podstawienia w przypadku wystąpienia awarii pojazdu zastępczego spełniającego warunki określone w SW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Z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 1" w:shapeid="control_shape_7"/>
        </w:object>
      </w:r>
      <w:r>
        <w:rPr>
          <w:rFonts w:ascii="Arial" w:hAnsi="Arial"/>
          <w:sz w:val="22"/>
          <w:szCs w:val="22"/>
        </w:rPr>
        <w:t>   </w:t>
      </w:r>
      <w:r>
        <w:rPr>
          <w:rFonts w:ascii="Arial" w:hAnsi="Arial"/>
          <w:sz w:val="22"/>
          <w:szCs w:val="22"/>
        </w:rPr>
        <w:t>do 90 minut (wymagany w opisie przedmiotu zamówienia czas podstawienia w przypadku wystąpienia awarii pojazdu zastępczego spełniającego warunki określone w SWZ)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8" o:allowincell="t" style="width:8.4pt;height:12.7pt" type="#_x0000_t75"/>
          <w:control r:id="rId10" w:name="Pole wyboru 1" w:shapeid="control_shape_8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60 minut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9" o:allowincell="t" style="width:8.4pt;height:12.7pt" type="#_x0000_t75"/>
          <w:control r:id="rId11" w:name="Pole wyboru 1" w:shapeid="control_shape_9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30 minut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(należy wybrać jedną z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>trzech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opcji i w miejsce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object>
          <v:shape id="control_shape_10" o:allowincell="t" style="width:11.85pt;height:13.45pt" type="#_x0000_t75"/>
          <w:control r:id="rId12" w:name="Pole wyboru 1" w:shapeid="control_shape_10"/>
        </w:objec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wstawić znak „x”)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W przypadku niewybrania jednej z 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trzech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 opcji lub wybrania kilku opcji z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amawiający przyjmie, że wykonawca 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proponuje wymagany w opisie przedmiotu zamówienia czas podstawienia w przypadku wystąpienia awarii pojazdu zastępczego spełniającego warunki określone w SWZ – do 90 minut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Zadanie 1: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O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d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stycznia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roku do końca zajęć dydaktyczno-wychowawczych tj. 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1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czerwca 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roku w dni nauki zgodnie z organizacją roku szkolnego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(łącznie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1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07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dni)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22 grudnia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numPr>
          <w:ilvl w:val="2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auto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Dowóz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uczni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ów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niepełnosprawn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ych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z terenu miasta Legionowo do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szkół/placówek oświatowych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oraz powrót do miejsca zamieszkania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wraz z zapewnieniem opieki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od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2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stycznia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202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4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r. do 21 czerwca 2024 </w:t>
      </w: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>i nie wnosimy do niej zastrzeżeń oraz przyjmujemy warunki w niej zawarte;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481.85pt;height:19.8pt" type="#_x0000_t75"/>
          <w:control r:id="rId13" w:name="unnamed2" w:shapeid="control_shape_11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2" o:allowincell="t" style="width:283.4pt;height:19.8pt" type="#_x0000_t75"/>
          <w:control r:id="rId14" w:name="unnamed3" w:shapeid="control_shape_12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481.85pt;height:19.8pt" type="#_x0000_t75"/>
          <w:control r:id="rId15" w:name="unnamed4" w:shapeid="control_shape_13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4" o:allowincell="t" style="width:283.4pt;height:19.8pt" type="#_x0000_t75"/>
          <w:control r:id="rId16" w:name="unnamed31" w:shapeid="control_shape_14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  <w:shd w:fill="auto" w:val="clear"/>
        </w:rPr>
        <w:t xml:space="preserve"> </w:t>
      </w:r>
      <w:hyperlink r:id="rId17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shd w:fill="auto" w:val="clear"/>
        </w:rPr>
        <w:t>poczty elektronicznej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5" o:allowincell="t" style="width:213.55pt;height:19.8pt" type="#_x0000_t75"/>
          <w:control r:id="rId18" w:name="unnamed21" w:shapeid="control_shape_15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tel.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6" o:allowincell="t" style="width:90.8pt;height:19.8pt" type="#_x0000_t75"/>
          <w:control r:id="rId19" w:name="unnamed32" w:shapeid="control_shape_16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1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gwarancj</w:t>
      </w:r>
      <w:r>
        <w:rPr>
          <w:rFonts w:ascii="Arial" w:hAnsi="Arial"/>
          <w:sz w:val="22"/>
          <w:szCs w:val="22"/>
          <w:shd w:fill="auto" w:val="clear"/>
        </w:rPr>
        <w:t>ę</w:t>
      </w:r>
      <w:r>
        <w:rPr>
          <w:rFonts w:ascii="Arial" w:hAnsi="Arial"/>
          <w:sz w:val="22"/>
          <w:szCs w:val="22"/>
          <w:shd w:fill="auto" w:val="clear"/>
        </w:rPr>
        <w:t xml:space="preserve"> lub poręczeni</w:t>
      </w:r>
      <w:r>
        <w:rPr>
          <w:rFonts w:ascii="Arial" w:hAnsi="Arial"/>
          <w:sz w:val="22"/>
          <w:szCs w:val="22"/>
          <w:shd w:fill="auto" w:val="clear"/>
        </w:rPr>
        <w:t>e</w:t>
      </w:r>
      <w:r>
        <w:rPr>
          <w:rFonts w:ascii="Arial" w:hAnsi="Arial"/>
          <w:sz w:val="22"/>
          <w:szCs w:val="22"/>
          <w:shd w:fill="auto" w:val="clear"/>
        </w:rPr>
        <w:t>, jeżeli wykonawca wnosi wadium w innej formie niż pieniądz,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shd w:fill="auto" w:val="clear"/>
          <w:lang w:eastAsia="pl-PL" w:bidi="pl-PL"/>
        </w:rPr>
        <w:t>wykonawcy sk</w:t>
      </w:r>
      <w:r>
        <w:rPr>
          <w:rFonts w:ascii="Arial" w:hAnsi="Arial"/>
          <w:sz w:val="22"/>
          <w:szCs w:val="22"/>
          <w:shd w:fill="auto" w:val="clear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o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robót budowlanych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3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hyperlink" Target="https://platformazakupowa.pl/pn/legionowo" TargetMode="Externa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3</Pages>
  <Words>676</Words>
  <Characters>4392</Characters>
  <CharactersWithSpaces>5027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2023-11-14T10:08:05Z</dcterms:created>
  <dc:creator/>
  <dc:description/>
  <dc:language>pl-PL</dc:language>
  <cp:lastModifiedBy/>
  <dcterms:modified xsi:type="dcterms:W3CDTF">2023-11-14T10:10:12Z</dcterms:modified>
  <cp:revision>3</cp:revision>
  <dc:subject/>
  <dc:title>Formularz oferty</dc:title>
</cp:coreProperties>
</file>