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2F1C0178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294F3E">
        <w:rPr>
          <w:rFonts w:asciiTheme="minorHAnsi" w:hAnsiTheme="minorHAnsi" w:cstheme="minorHAnsi"/>
          <w:b/>
          <w:bCs/>
          <w:sz w:val="20"/>
          <w:szCs w:val="20"/>
        </w:rPr>
        <w:t>scyntylacyjnej matrycy ultraszybkiej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44D68CE0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3A4298">
        <w:rPr>
          <w:rFonts w:asciiTheme="minorHAnsi" w:hAnsiTheme="minorHAnsi" w:cstheme="minorHAnsi"/>
          <w:b/>
          <w:bCs/>
          <w:sz w:val="20"/>
          <w:szCs w:val="20"/>
        </w:rPr>
        <w:t>IZP.270.19</w:t>
      </w:r>
      <w:r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5C850BAB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466AD0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824AD3">
        <w:rPr>
          <w:rFonts w:asciiTheme="minorHAnsi" w:hAnsiTheme="minorHAnsi" w:cstheme="minorHAnsi"/>
          <w:b/>
          <w:bCs/>
          <w:sz w:val="20"/>
          <w:szCs w:val="20"/>
        </w:rPr>
        <w:t>02</w:t>
      </w:r>
      <w:r w:rsidR="00466A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24AD3">
        <w:rPr>
          <w:rFonts w:asciiTheme="minorHAnsi" w:hAnsiTheme="minorHAnsi" w:cstheme="minorHAnsi"/>
          <w:b/>
          <w:bCs/>
          <w:sz w:val="20"/>
          <w:szCs w:val="20"/>
        </w:rPr>
        <w:t>11</w:t>
      </w:r>
      <w:r>
        <w:rPr>
          <w:rFonts w:asciiTheme="minorHAnsi" w:hAnsiTheme="minorHAnsi" w:cstheme="minorHAnsi"/>
          <w:b/>
          <w:bCs/>
          <w:sz w:val="20"/>
          <w:szCs w:val="20"/>
        </w:rPr>
        <w:t>.2021 r.</w:t>
      </w:r>
    </w:p>
    <w:p w14:paraId="733990FE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C4DD3" w14:textId="77777777" w:rsidR="00962F33" w:rsidRDefault="00962F33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5C23A57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451FA2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DB565A" w14:textId="77777777" w:rsidR="00E725EE" w:rsidRPr="008D4F73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CA5FF" w14:textId="77777777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77777777" w:rsidR="00962F33" w:rsidRPr="008D4F7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4C1306BA" w14:textId="77777777" w:rsidR="00962F33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>Formularz 2.2. „Kryteria pozacenowe”</w:t>
      </w:r>
    </w:p>
    <w:p w14:paraId="10F5ED7B" w14:textId="77777777" w:rsidR="00962F33" w:rsidRPr="008C6140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2.3    Wykaz parametrów technicznych</w:t>
      </w:r>
    </w:p>
    <w:p w14:paraId="45A44E57" w14:textId="77777777" w:rsidR="00962F33" w:rsidRPr="008D4F73" w:rsidRDefault="00962F33" w:rsidP="00962F33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4B5E4475" w14:textId="77777777" w:rsidR="00962F33" w:rsidRPr="008D4F7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7BB59F4E" w14:textId="77777777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  <w:r w:rsidRPr="00BB0200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F059E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01AD78A3" w14:textId="77777777" w:rsidR="00962F33" w:rsidRPr="000768BA" w:rsidRDefault="00962F33" w:rsidP="00962F33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77777777" w:rsidR="00962F33" w:rsidRPr="00665EBD" w:rsidRDefault="00962F33" w:rsidP="00962F33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665EBD">
        <w:rPr>
          <w:rFonts w:asciiTheme="minorHAnsi" w:hAnsiTheme="minorHAnsi" w:cstheme="minorHAnsi"/>
          <w:sz w:val="20"/>
          <w:szCs w:val="20"/>
          <w:lang w:val="en-GB"/>
        </w:rPr>
        <w:t>tel. + 48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7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5C54D676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3A4298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77777777" w:rsidR="00962F33" w:rsidRPr="000B3C42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„Utworzenie Centrum informacyjno-wdrożeniowego przemysłowych technik radiacyjnych  CentriX”.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3FA14EE" w14:textId="77777777" w:rsidR="00962F33" w:rsidRPr="008D4F73" w:rsidRDefault="00962F33" w:rsidP="00962F33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C01BE7C" w14:textId="0060FE6C" w:rsidR="00962F33" w:rsidRPr="007B41E8" w:rsidRDefault="00962F33" w:rsidP="00962F33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Dostawa</w:t>
      </w:r>
      <w:r w:rsidRPr="000B3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298">
        <w:rPr>
          <w:rFonts w:asciiTheme="minorHAnsi" w:hAnsiTheme="minorHAnsi" w:cstheme="minorHAnsi"/>
          <w:b/>
          <w:bCs/>
          <w:sz w:val="20"/>
          <w:szCs w:val="20"/>
        </w:rPr>
        <w:t>scyntylacyjnej matrycy ultraszybkiej.</w:t>
      </w:r>
    </w:p>
    <w:p w14:paraId="79F57495" w14:textId="50E561FD" w:rsidR="00962F33" w:rsidRPr="00972DB1" w:rsidRDefault="00962F33" w:rsidP="00962F33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85118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Nie dokonano podziału zamówienia na części z powodu:</w:t>
      </w:r>
      <w:r w:rsidRPr="00972DB1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296469">
        <w:rPr>
          <w:rFonts w:asciiTheme="minorHAnsi" w:hAnsiTheme="minorHAnsi" w:cstheme="minorHAnsi"/>
          <w:i w:val="0"/>
          <w:iCs w:val="0"/>
          <w:sz w:val="20"/>
          <w:szCs w:val="20"/>
        </w:rPr>
        <w:t>przedmiot zamówienia stanowi jedno, niepodzielne urządzenie, którego wyprodukowanie powinno być przeprowadzone w połączonych procesach technologicznych . W związku z powyższym niezasadny jest podział przedmiotu zamówienia na części.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254AD1D8" w:rsidR="00962F33" w:rsidRPr="003A4298" w:rsidRDefault="003A4298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A4298">
        <w:rPr>
          <w:rFonts w:asciiTheme="minorHAnsi" w:eastAsia="Calibri" w:hAnsiTheme="minorHAnsi" w:cstheme="minorHAnsi"/>
          <w:color w:val="000000"/>
          <w:sz w:val="20"/>
          <w:szCs w:val="20"/>
        </w:rPr>
        <w:t>38580000-4 Pozamedyczne urządzenia wykorzystujące promieniowanie</w:t>
      </w:r>
    </w:p>
    <w:p w14:paraId="01B973F1" w14:textId="77777777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 xml:space="preserve"> 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77777777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Szczegółowo przedmiot zamó</w:t>
      </w:r>
      <w:r>
        <w:rPr>
          <w:rFonts w:asciiTheme="minorHAnsi" w:hAnsiTheme="minorHAnsi" w:cstheme="minorHAnsi"/>
          <w:sz w:val="20"/>
          <w:szCs w:val="20"/>
        </w:rPr>
        <w:t xml:space="preserve">wienia opisany został w Tomie </w:t>
      </w:r>
      <w:r w:rsidRPr="00985118">
        <w:rPr>
          <w:rFonts w:asciiTheme="minorHAnsi" w:hAnsiTheme="minorHAnsi" w:cstheme="minorHAnsi"/>
          <w:sz w:val="20"/>
          <w:szCs w:val="20"/>
        </w:rPr>
        <w:t>III</w:t>
      </w:r>
      <w:r w:rsidRPr="008D4F73">
        <w:rPr>
          <w:rFonts w:asciiTheme="minorHAnsi" w:hAnsiTheme="minorHAnsi" w:cstheme="minorHAnsi"/>
          <w:sz w:val="20"/>
          <w:szCs w:val="20"/>
        </w:rPr>
        <w:t xml:space="preserve"> SWZ.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</w:p>
    <w:p w14:paraId="4B32A326" w14:textId="77777777" w:rsidR="00962F33" w:rsidRDefault="00962F33" w:rsidP="00785D15">
      <w:pPr>
        <w:tabs>
          <w:tab w:val="left" w:pos="709"/>
        </w:tabs>
        <w:spacing w:before="120" w:after="120"/>
        <w:ind w:left="709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A91B86">
        <w:rPr>
          <w:rFonts w:ascii="Calibri" w:hAnsi="Calibri" w:cs="Calibri"/>
          <w:sz w:val="20"/>
          <w:szCs w:val="20"/>
        </w:rPr>
        <w:t>Zamawiający dopuszcza rozwiązania równoważne do wskazanych w opisie przedmiotu zamówienia, a wskazania sugerujące konkretny wyrób lub producenta służą do określenia klasy i jakości wyrobu, nie stanowią jednakże wskazania na konkretny wyrób. Zamawiający dopuszcza produkty równoważne spełniające opisane parametry lub posiadające wyższe.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55D131A8" w14:textId="77777777" w:rsidR="00962F33" w:rsidRPr="00535618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>8 ustawy Pzp.</w:t>
      </w: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22AF6C87" w:rsidR="00962F33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Termin realizacji zamówienia: </w:t>
      </w:r>
      <w:r w:rsidRPr="00B95481">
        <w:rPr>
          <w:rFonts w:asciiTheme="minorHAnsi" w:hAnsiTheme="minorHAnsi" w:cstheme="minorHAnsi"/>
          <w:bCs w:val="0"/>
          <w:sz w:val="20"/>
          <w:szCs w:val="20"/>
        </w:rPr>
        <w:t>do</w:t>
      </w:r>
      <w:r w:rsidRPr="00B9548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A4298">
        <w:rPr>
          <w:rFonts w:asciiTheme="minorHAnsi" w:hAnsiTheme="minorHAnsi" w:cstheme="minorHAnsi"/>
          <w:bCs w:val="0"/>
          <w:sz w:val="20"/>
          <w:szCs w:val="20"/>
        </w:rPr>
        <w:t>1</w:t>
      </w:r>
      <w:r w:rsidR="00A24A5F">
        <w:rPr>
          <w:rFonts w:asciiTheme="minorHAnsi" w:hAnsiTheme="minorHAnsi" w:cstheme="minorHAnsi"/>
          <w:bCs w:val="0"/>
          <w:sz w:val="20"/>
          <w:szCs w:val="20"/>
        </w:rPr>
        <w:t>0</w:t>
      </w:r>
      <w:r w:rsidR="00E725EE">
        <w:rPr>
          <w:rFonts w:asciiTheme="minorHAnsi" w:hAnsiTheme="minorHAnsi" w:cstheme="minorHAnsi"/>
          <w:bCs w:val="0"/>
          <w:sz w:val="20"/>
          <w:szCs w:val="20"/>
        </w:rPr>
        <w:t xml:space="preserve"> tygodni</w:t>
      </w:r>
      <w:r w:rsidRPr="00985118">
        <w:rPr>
          <w:rFonts w:asciiTheme="minorHAnsi" w:hAnsiTheme="minorHAnsi" w:cstheme="minorHAnsi"/>
          <w:bCs w:val="0"/>
          <w:sz w:val="20"/>
          <w:szCs w:val="20"/>
        </w:rPr>
        <w:t xml:space="preserve"> od daty zawarcia umowy</w:t>
      </w:r>
      <w:r w:rsidR="00A24A5F">
        <w:rPr>
          <w:rFonts w:asciiTheme="minorHAnsi" w:hAnsiTheme="minorHAnsi" w:cstheme="minorHAnsi"/>
          <w:bCs w:val="0"/>
          <w:sz w:val="20"/>
          <w:szCs w:val="20"/>
        </w:rPr>
        <w:t xml:space="preserve"> lecz nie później niż do 31.12.2021r. ze względu na kończący się termin realizacji projektu. </w:t>
      </w:r>
    </w:p>
    <w:p w14:paraId="11E54711" w14:textId="7777777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24 miesiące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BC5437">
        <w:rPr>
          <w:rFonts w:asciiTheme="minorHAnsi" w:hAnsiTheme="minorHAnsi" w:cstheme="minorHAnsi"/>
          <w:b w:val="0"/>
          <w:i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25BEB334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1FED8B70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postępowania o udzielenie zamówienia wyklucza się Wykonawcę, w stosunku do którego zachodzi którakolwiek z okoliczności, o których mowa w art. 108 ust. 1 ustawy Pzp.</w:t>
      </w:r>
    </w:p>
    <w:p w14:paraId="65A1A702" w14:textId="77777777" w:rsidR="00962F33" w:rsidRPr="008D4F73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Wykluczenie Wykonawcy następuje na odpowiedni okres wskazany w  art. 111 ustawy Pzp.</w:t>
      </w:r>
    </w:p>
    <w:p w14:paraId="0590E72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9.</w:t>
      </w: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81692A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75063B62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B21097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lastRenderedPageBreak/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77777777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Annę Dąbrowską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4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17682578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2EDEB41F" w14:textId="77777777" w:rsidR="00962F33" w:rsidRPr="00985689" w:rsidRDefault="00962F33" w:rsidP="003B24E8">
      <w:pPr>
        <w:pStyle w:val="Tekstpodstawowy2"/>
        <w:numPr>
          <w:ilvl w:val="0"/>
          <w:numId w:val="12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Kryteria pozacenowe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”,</w:t>
      </w:r>
    </w:p>
    <w:p w14:paraId="30B0C49B" w14:textId="77777777" w:rsidR="00962F33" w:rsidRPr="00985689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technicznych”.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23287896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62A6C5BE" w14:textId="77777777" w:rsidR="00962F33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Pełnomocnik może być ustanowiony do reprezentowania Wykonawców w postępowaniu albo do </w:t>
      </w:r>
      <w:r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 </w:t>
      </w:r>
    </w:p>
    <w:p w14:paraId="32FCED28" w14:textId="77777777" w:rsidR="00962F33" w:rsidRPr="00916F71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2C22D6EC" w14:textId="77777777" w:rsidR="00962F33" w:rsidRPr="008D4F73" w:rsidRDefault="00962F33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F9BE8D6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2B403010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Formularz 2.3 IDW - Wykaz parametrów technicznych. </w:t>
      </w:r>
    </w:p>
    <w:p w14:paraId="588092E1" w14:textId="77777777" w:rsidR="00962F33" w:rsidRPr="002D749D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78EDE5A8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59905A56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7DA82C9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065A79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06DB550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75A9DA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5A5FDA6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2A4A721E" w14:textId="0E291847" w:rsidR="00962F33" w:rsidRPr="00BF63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zastosowanie.</w:t>
      </w:r>
    </w:p>
    <w:p w14:paraId="47F7E23A" w14:textId="5A3E9A5D" w:rsidR="00BF6384" w:rsidRPr="00BF6384" w:rsidRDefault="00BF6384" w:rsidP="00BF6384">
      <w:pPr>
        <w:spacing w:before="12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F6384">
        <w:rPr>
          <w:rFonts w:asciiTheme="minorHAnsi" w:hAnsiTheme="minorHAnsi" w:cstheme="minorHAnsi"/>
          <w:bCs/>
          <w:sz w:val="20"/>
          <w:szCs w:val="20"/>
        </w:rPr>
        <w:t xml:space="preserve">17.6. </w:t>
      </w:r>
      <w:r w:rsidRPr="00BF6384">
        <w:rPr>
          <w:rFonts w:asciiTheme="minorHAnsi" w:hAnsiTheme="minorHAnsi" w:cstheme="minorHAnsi"/>
          <w:sz w:val="20"/>
          <w:szCs w:val="20"/>
        </w:rPr>
        <w:t xml:space="preserve">Zamawiający informuje, że przewiduje możliwości udzielenia Wykonawcy zaliczek </w:t>
      </w:r>
      <w:r w:rsidRPr="00BF638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BF6384">
        <w:rPr>
          <w:rFonts w:asciiTheme="minorHAnsi" w:hAnsiTheme="minorHAnsi" w:cstheme="minorHAnsi"/>
          <w:sz w:val="20"/>
          <w:szCs w:val="20"/>
        </w:rPr>
        <w:t>na poczet wykonania zamówienia</w:t>
      </w:r>
      <w:r w:rsidR="00A24A5F">
        <w:rPr>
          <w:rFonts w:asciiTheme="minorHAnsi" w:hAnsiTheme="minorHAnsi" w:cstheme="minorHAnsi"/>
          <w:sz w:val="20"/>
          <w:szCs w:val="20"/>
        </w:rPr>
        <w:t xml:space="preserve"> (szczegółowy opis dot. udzielania zaliczek zawiera TOM II)</w:t>
      </w:r>
      <w:r w:rsidR="00076012">
        <w:rPr>
          <w:rFonts w:asciiTheme="minorHAnsi" w:hAnsiTheme="minorHAnsi" w:cstheme="minorHAnsi"/>
          <w:sz w:val="20"/>
          <w:szCs w:val="20"/>
        </w:rPr>
        <w:t>.</w:t>
      </w:r>
    </w:p>
    <w:p w14:paraId="599525BF" w14:textId="293A6216" w:rsidR="00BF6384" w:rsidRPr="008D4F73" w:rsidRDefault="00BF6384" w:rsidP="00A24A5F">
      <w:pPr>
        <w:spacing w:before="120" w:line="28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536F2CB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</w:t>
      </w:r>
      <w:bookmarkStart w:id="0" w:name="_GoBack"/>
      <w:r w:rsidRPr="008D4F73">
        <w:rPr>
          <w:rFonts w:asciiTheme="minorHAnsi" w:hAnsiTheme="minorHAnsi" w:cstheme="minorHAnsi"/>
          <w:b/>
          <w:bCs/>
          <w:sz w:val="20"/>
          <w:szCs w:val="20"/>
        </w:rPr>
        <w:t>term</w:t>
      </w:r>
      <w:bookmarkEnd w:id="0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inie do 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824AD3" w:rsidRPr="00824AD3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B22F7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.11.2021r.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10:00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CB30A6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72BA819C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824AD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824AD3" w:rsidRPr="00824AD3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9B22F7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.11.2021r.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11:00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4EA257D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9B22F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09</w:t>
      </w:r>
      <w:r w:rsidR="0029646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.12.2021r.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14:paraId="2A4113D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CFF3551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Termin realizacji   – 10 %     =   10 pkt.</w:t>
      </w:r>
    </w:p>
    <w:p w14:paraId="65AD666D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1056E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3149FD24" w14:textId="77777777" w:rsidR="00962F33" w:rsidRPr="00551D24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551D24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terminu realizacji 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u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7E81200C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962F33" w:rsidRPr="00236058" w14:paraId="464995C5" w14:textId="77777777" w:rsidTr="0006291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9F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termin realizacji – w dniach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4F1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962F33" w:rsidRPr="00236058" w14:paraId="0313E55A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6B4" w14:textId="26968117" w:rsidR="00962F33" w:rsidRPr="00B95481" w:rsidRDefault="003A4298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0760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E725E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C96" w14:textId="08EA4BB1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FD5F1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962F33" w:rsidRPr="00236058" w14:paraId="216AAA53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EBD" w14:textId="08EA932F" w:rsidR="00962F33" w:rsidRPr="00B95481" w:rsidRDefault="00076012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3A4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67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  <w:tr w:rsidR="00962F33" w:rsidRPr="00236058" w14:paraId="6C241E00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7E1" w14:textId="6C80F38E" w:rsidR="00962F33" w:rsidRPr="00B95481" w:rsidRDefault="003553CA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poniżej </w:t>
            </w:r>
            <w:r w:rsidR="000760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F4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pkt</w:t>
            </w:r>
          </w:p>
        </w:tc>
      </w:tr>
    </w:tbl>
    <w:p w14:paraId="409FE5D4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77777777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77777777" w:rsidR="00962F33" w:rsidRPr="008D4F7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F72C2B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</w:t>
      </w: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Danych Osobowych w NCBJ, na adres podany powyżej lub drogą elektroniczną za pomocą adresu </w:t>
      </w:r>
      <w:hyperlink r:id="rId8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>w zakresie niezgodnym z ustawą (art. 19 ust. 2 pzp).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F9B128A" w14:textId="77777777" w:rsidR="00962F33" w:rsidRPr="0047531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9"/>
          <w:footerReference w:type="defaul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77777777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BD215C5" w14:textId="5D312A23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493F68">
        <w:rPr>
          <w:rFonts w:asciiTheme="minorHAnsi" w:hAnsiTheme="minorHAnsi" w:cstheme="minorHAnsi"/>
          <w:b/>
          <w:bCs/>
          <w:sz w:val="20"/>
          <w:szCs w:val="20"/>
        </w:rPr>
        <w:t>scyntylacyjnej matrycy ultraszybkiej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47D8DDE0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3A4298">
        <w:rPr>
          <w:rFonts w:asciiTheme="minorHAnsi" w:hAnsiTheme="minorHAnsi" w:cstheme="minorHAnsi"/>
          <w:b/>
          <w:sz w:val="20"/>
          <w:szCs w:val="20"/>
        </w:rPr>
        <w:t>IZP.270.19</w:t>
      </w:r>
      <w:r>
        <w:rPr>
          <w:rFonts w:asciiTheme="minorHAnsi" w:hAnsiTheme="minorHAnsi" w:cstheme="minorHAnsi"/>
          <w:b/>
          <w:sz w:val="20"/>
          <w:szCs w:val="20"/>
        </w:rPr>
        <w:t>.2021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B3E8BA4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97FF7CE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9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208BBC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6BD5FABB" w14:textId="104856FD" w:rsidR="00962F33" w:rsidRPr="008D4F73" w:rsidRDefault="00962F33" w:rsidP="00962F33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1339BD6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9746D">
        <w:rPr>
          <w:rFonts w:asciiTheme="minorHAnsi" w:hAnsiTheme="minorHAnsi" w:cstheme="minorHAnsi"/>
          <w:b/>
          <w:i/>
          <w:sz w:val="20"/>
          <w:szCs w:val="20"/>
        </w:rPr>
        <w:t>do …………… tygodni.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20B305" w14:textId="77777777" w:rsidR="00962F33" w:rsidRPr="00FA374A" w:rsidRDefault="00962F33" w:rsidP="00962F33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54620835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C80A41A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E2458C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736DBFBF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4FE1C2FA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2301D5FA" w14:textId="32D5798B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493F68">
        <w:rPr>
          <w:rFonts w:asciiTheme="minorHAnsi" w:hAnsiTheme="minorHAnsi" w:cstheme="minorHAnsi"/>
          <w:b/>
          <w:bCs/>
          <w:sz w:val="20"/>
          <w:szCs w:val="20"/>
        </w:rPr>
        <w:t>scyntylacyjnej matrycy ultraszybkiej</w:t>
      </w:r>
    </w:p>
    <w:p w14:paraId="187A938A" w14:textId="78B20D0D" w:rsidR="00962F33" w:rsidRDefault="00962F33" w:rsidP="00962F33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493F68">
        <w:rPr>
          <w:rFonts w:ascii="Calibri" w:hAnsi="Calibri" w:cs="Calibri"/>
          <w:b/>
          <w:bCs/>
          <w:sz w:val="20"/>
          <w:szCs w:val="20"/>
          <w:lang w:eastAsia="ar-SA"/>
        </w:rPr>
        <w:t>19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317AE60E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62F33" w:rsidRPr="00FA374A" w14:paraId="73082655" w14:textId="77777777" w:rsidTr="0006291F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2D8878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Kryteria Pozacenowe</w:t>
            </w:r>
          </w:p>
          <w:p w14:paraId="57D3CA63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Pozacenowych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962F33" w:rsidRPr="00FA374A" w14:paraId="3FB65C2F" w14:textId="77777777" w:rsidTr="0006291F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AB37A13" w14:textId="77777777" w:rsidR="00962F33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725EF3A8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Termin realizacji (</w:t>
            </w:r>
            <w:r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maksymalna liczba punktów - 10)</w:t>
            </w:r>
          </w:p>
        </w:tc>
      </w:tr>
      <w:tr w:rsidR="00962F33" w:rsidRPr="00FA374A" w14:paraId="7347E651" w14:textId="77777777" w:rsidTr="0006291F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1FB3D22" w14:textId="77777777" w:rsidR="00962F33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E6514D3" w14:textId="77777777" w:rsidR="00962F33" w:rsidRPr="00EF7F62" w:rsidRDefault="00E725EE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a) termin realizacji do ………… tygodni</w:t>
            </w:r>
            <w:r w:rsidR="00962F33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od daty zawarcia umowy</w:t>
            </w:r>
          </w:p>
          <w:p w14:paraId="76DCA376" w14:textId="77777777" w:rsidR="00962F33" w:rsidRPr="00FA374A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977EAA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58716A5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208B65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62F33" w:rsidRPr="00FA374A" w14:paraId="6E81CF30" w14:textId="77777777" w:rsidTr="0006291F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285BB2E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60EB1CF6" w14:textId="4F65FD9C" w:rsidR="00962F33" w:rsidRPr="007B41E8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przypadku braku wskazania terminu realizacji Zamawiający uzna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iż wykonawca złożył ofert</w:t>
            </w:r>
            <w:r w:rsidR="00493F6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ę na okres podstawowy, tj. do 1</w:t>
            </w:r>
            <w:r w:rsidR="00076012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0</w:t>
            </w:r>
            <w:r w:rsidR="00E725EE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tygodni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od daty zawarcia umowy.</w:t>
            </w:r>
          </w:p>
          <w:p w14:paraId="36C2E96D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04F6676B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BEA1476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5E1FF39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0AD0EA76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BBF54FC" w14:textId="77777777" w:rsidR="00962F33" w:rsidRPr="00FA374A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462C1027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748262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7BAB7C0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1282BE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28E6A7" w14:textId="77777777" w:rsidR="00962F33" w:rsidRDefault="00962F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00EBD631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0525752E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090D1764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6471B36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6813FE07" w14:textId="24E3D802" w:rsidR="00962F33" w:rsidRPr="00493F68" w:rsidRDefault="00962F33" w:rsidP="00493F68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 xml:space="preserve"> </w:t>
      </w:r>
      <w:r w:rsidR="00493F68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493F68"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93F68">
        <w:rPr>
          <w:rFonts w:asciiTheme="minorHAnsi" w:hAnsiTheme="minorHAnsi" w:cstheme="minorHAnsi"/>
          <w:b/>
          <w:bCs/>
          <w:sz w:val="20"/>
          <w:szCs w:val="20"/>
        </w:rPr>
        <w:t>scyntylacyjnej matrycy ultraszybkiej.</w:t>
      </w:r>
    </w:p>
    <w:p w14:paraId="62054C4D" w14:textId="5F311295" w:rsidR="00962F33" w:rsidRPr="003B4FAE" w:rsidRDefault="00962F33" w:rsidP="00962F33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 w:rsidR="00493F68">
        <w:rPr>
          <w:rFonts w:asciiTheme="minorHAnsi" w:hAnsiTheme="minorHAnsi" w:cstheme="minorHAnsi"/>
          <w:b/>
          <w:bCs/>
        </w:rPr>
        <w:t xml:space="preserve"> IZP.270.19</w:t>
      </w:r>
      <w:r w:rsidRPr="003B4FAE">
        <w:rPr>
          <w:rFonts w:asciiTheme="minorHAnsi" w:hAnsiTheme="minorHAnsi" w:cstheme="minorHAnsi"/>
          <w:b/>
          <w:bCs/>
        </w:rPr>
        <w:t xml:space="preserve">.2021 </w:t>
      </w:r>
    </w:p>
    <w:p w14:paraId="004D062F" w14:textId="2AE7A334" w:rsidR="00962F33" w:rsidRDefault="00962F33" w:rsidP="00962F33">
      <w:pPr>
        <w:pStyle w:val="Akapitzlist"/>
        <w:spacing w:after="160" w:line="259" w:lineRule="auto"/>
        <w:contextualSpacing/>
        <w:rPr>
          <w:rFonts w:asciiTheme="minorHAnsi" w:hAnsiTheme="minorHAnsi" w:cstheme="minorHAnsi"/>
          <w:noProof/>
          <w:u w:val="single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3357"/>
        <w:gridCol w:w="2773"/>
      </w:tblGrid>
      <w:tr w:rsidR="00493F68" w:rsidRPr="0045053E" w14:paraId="3C8C7763" w14:textId="77777777" w:rsidTr="00785D15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C63" w14:textId="77777777" w:rsidR="00493F68" w:rsidRPr="00493F68" w:rsidRDefault="00493F68" w:rsidP="00785D15">
            <w:pPr>
              <w:widowControl w:val="0"/>
              <w:adjustRightInd w:val="0"/>
              <w:spacing w:line="360" w:lineRule="atLeast"/>
              <w:ind w:left="4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AB0B0" w14:textId="77777777" w:rsidR="00493F68" w:rsidRPr="00493F68" w:rsidRDefault="00493F68" w:rsidP="00785D15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158D" w14:textId="77777777" w:rsidR="00493F68" w:rsidRPr="00493F68" w:rsidRDefault="00493F68" w:rsidP="00785D15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Oferowany</w:t>
            </w:r>
          </w:p>
        </w:tc>
      </w:tr>
      <w:tr w:rsidR="00493F68" w:rsidRPr="000C5A42" w14:paraId="36818D95" w14:textId="77777777" w:rsidTr="00785D15">
        <w:trPr>
          <w:trHeight w:val="67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D2C9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F6BFF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Matryca 2D scyntylatorów pikselizowana o krótkim czasie wyświecania (ultra szybka)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EDC98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7F9F6486" w14:textId="77777777" w:rsidTr="00785D15">
        <w:trPr>
          <w:trHeight w:val="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938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Materiał scyntylacyjny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5E3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LYSO(Ce)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E650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7890D555" w14:textId="77777777" w:rsidTr="00785D15">
        <w:trPr>
          <w:trHeight w:val="41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43D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Gęstość scyntylatora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3FDD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Min. 7,0g/cm</w:t>
            </w:r>
            <w:r w:rsidRPr="00493F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FAF8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198C38A7" w14:textId="77777777" w:rsidTr="00785D1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487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Czas wyświecania scyntylatora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A98D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Maks. 45ns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5F63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79FC49CE" w14:textId="77777777" w:rsidTr="00785D1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06C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Uzysk światła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0CA16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Min. 24500 fotonów/MeV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9970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3BCF0EE1" w14:textId="77777777" w:rsidTr="00785D1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828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Higroskopijny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BE57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FA75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3F7E1751" w14:textId="77777777" w:rsidTr="00785D15">
        <w:trPr>
          <w:trHeight w:val="3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64F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Maksimum emisji światła dla fali o długości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D81A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W zakresie 405nm - 425nm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2826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3412F47D" w14:textId="77777777" w:rsidTr="00785D15">
        <w:trPr>
          <w:trHeight w:val="3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C46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Liczba pikseli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0F11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170x360 (61200)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DFC3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360D534A" w14:textId="77777777" w:rsidTr="00785D15">
        <w:trPr>
          <w:trHeight w:val="3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F2C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Rozmiar pojedynczego piksela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CAEE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0,5mm x 0,5mm x 3mm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CE2D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8" w:rsidRPr="000C5A42" w14:paraId="3B128E6B" w14:textId="77777777" w:rsidTr="00785D15">
        <w:trPr>
          <w:trHeight w:val="3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78A" w14:textId="77777777" w:rsidR="00493F68" w:rsidRPr="00493F68" w:rsidRDefault="00493F68" w:rsidP="00785D15">
            <w:pPr>
              <w:widowControl w:val="0"/>
              <w:adjustRightInd w:val="0"/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F68">
              <w:rPr>
                <w:rFonts w:asciiTheme="minorHAnsi" w:hAnsiTheme="minorHAnsi" w:cstheme="minorHAnsi"/>
                <w:sz w:val="20"/>
                <w:szCs w:val="20"/>
              </w:rPr>
              <w:t>Warstwa odbijająca światło i polerowanie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01D0" w14:textId="77777777" w:rsidR="00493F68" w:rsidRPr="00493F68" w:rsidRDefault="00493F68" w:rsidP="00785D15">
            <w:pPr>
              <w:widowControl w:val="0"/>
              <w:adjustRightInd w:val="0"/>
              <w:jc w:val="center"/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</w:pPr>
            <w:r w:rsidRPr="00493F68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5 ścian każdego piksela pokryte warstwą odbijającą światło, ściana od strony wyjściowej polerowana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69BE" w14:textId="77777777" w:rsidR="00493F68" w:rsidRPr="00493F68" w:rsidRDefault="00493F68" w:rsidP="00785D15">
            <w:pPr>
              <w:widowControl w:val="0"/>
              <w:adjustRightInd w:val="0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CBF1C" w14:textId="77777777" w:rsidR="00493F68" w:rsidRDefault="00493F68" w:rsidP="00962F33">
      <w:pPr>
        <w:pStyle w:val="Akapitzlist"/>
        <w:spacing w:after="160" w:line="259" w:lineRule="auto"/>
        <w:contextualSpacing/>
        <w:rPr>
          <w:rFonts w:asciiTheme="minorHAnsi" w:hAnsiTheme="minorHAnsi" w:cstheme="minorHAnsi"/>
          <w:noProof/>
          <w:u w:val="single"/>
        </w:rPr>
      </w:pPr>
    </w:p>
    <w:p w14:paraId="0EEFB9F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DBE19E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eastAsia="pl-PL"/>
        </w:rPr>
        <w:t xml:space="preserve">                                                                                   </w:t>
      </w: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Pr="003B4FAE">
        <w:rPr>
          <w:rFonts w:asciiTheme="minorHAnsi" w:hAnsiTheme="minorHAnsi" w:cstheme="minorHAnsi"/>
          <w:b/>
          <w:bCs/>
        </w:rPr>
        <w:br w:type="column"/>
      </w:r>
    </w:p>
    <w:p w14:paraId="20F4F00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77777777" w:rsidR="00493F68" w:rsidRDefault="00493F68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scyntylacyjnej matrycy ultraszybkiej.</w:t>
      </w:r>
    </w:p>
    <w:p w14:paraId="1B4210E4" w14:textId="77CB2000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493F68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IZP.270.19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508EA8AF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0BEA21B6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01BF851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>
        <w:rPr>
          <w:rFonts w:asciiTheme="minorHAnsi" w:hAnsiTheme="minorHAnsi" w:cstheme="minorHAnsi"/>
          <w:i/>
          <w:sz w:val="20"/>
          <w:szCs w:val="20"/>
        </w:rPr>
        <w:t>ionej/-nych do reprezentowania)</w:t>
      </w:r>
    </w:p>
    <w:p w14:paraId="3C1213EB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C92E5B5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A83013B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1ED32248" w14:textId="77777777" w:rsidR="00962F33" w:rsidRPr="00FA374A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</w:t>
      </w:r>
      <w:r>
        <w:rPr>
          <w:rFonts w:asciiTheme="minorHAnsi" w:hAnsiTheme="minorHAnsi" w:cstheme="minorHAnsi"/>
          <w:spacing w:val="4"/>
        </w:rPr>
        <w:t>21  r. poz. 1129</w:t>
      </w:r>
      <w:r w:rsidRPr="008D4F73">
        <w:rPr>
          <w:rFonts w:asciiTheme="minorHAnsi" w:hAnsiTheme="minorHAnsi" w:cstheme="minorHAnsi"/>
          <w:spacing w:val="4"/>
        </w:rPr>
        <w:t>);</w:t>
      </w:r>
    </w:p>
    <w:p w14:paraId="24D6E293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62BEE0A4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4FBCD91B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5014D9E" w14:textId="77777777" w:rsidR="00A61EE0" w:rsidRDefault="00A61EE0"/>
    <w:sectPr w:rsidR="00A61E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82E6" w14:textId="77777777" w:rsidR="009A2FF8" w:rsidRDefault="009A2FF8" w:rsidP="00962F33">
      <w:r>
        <w:separator/>
      </w:r>
    </w:p>
  </w:endnote>
  <w:endnote w:type="continuationSeparator" w:id="0">
    <w:p w14:paraId="5A1DA60F" w14:textId="77777777" w:rsidR="009A2FF8" w:rsidRDefault="009A2FF8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346D617F" w:rsidR="00466AD0" w:rsidRDefault="00466AD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B22F7">
      <w:rPr>
        <w:rStyle w:val="Numerstrony"/>
        <w:rFonts w:ascii="Verdana" w:hAnsi="Verdana" w:cs="Verdana"/>
        <w:b/>
        <w:bCs/>
        <w:noProof/>
      </w:rPr>
      <w:t>12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C4970" w14:textId="77777777" w:rsidR="009A2FF8" w:rsidRDefault="009A2FF8" w:rsidP="00962F33">
      <w:r>
        <w:separator/>
      </w:r>
    </w:p>
  </w:footnote>
  <w:footnote w:type="continuationSeparator" w:id="0">
    <w:p w14:paraId="4038DA60" w14:textId="77777777" w:rsidR="009A2FF8" w:rsidRDefault="009A2FF8" w:rsidP="00962F33">
      <w:r>
        <w:continuationSeparator/>
      </w:r>
    </w:p>
  </w:footnote>
  <w:footnote w:id="1">
    <w:p w14:paraId="34CF9D91" w14:textId="77777777" w:rsidR="00466AD0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2">
    <w:p w14:paraId="1BDC87DD" w14:textId="77777777" w:rsidR="00466AD0" w:rsidRDefault="00466AD0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77777777" w:rsidR="00466AD0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2019 r. poz. 2019 ze zm.)</w:t>
      </w:r>
    </w:p>
  </w:footnote>
  <w:footnote w:id="4">
    <w:p w14:paraId="3255231D" w14:textId="77777777" w:rsidR="00466AD0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466AD0" w:rsidRDefault="00466AD0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5">
    <w:p w14:paraId="79BDE1D2" w14:textId="77777777" w:rsidR="00466AD0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6">
    <w:p w14:paraId="048D3040" w14:textId="77777777" w:rsidR="00466AD0" w:rsidRPr="00DC4C42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7">
    <w:p w14:paraId="3780BD93" w14:textId="77777777" w:rsidR="00466AD0" w:rsidRDefault="00466AD0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8">
    <w:p w14:paraId="60F57E53" w14:textId="77777777" w:rsidR="00466AD0" w:rsidRDefault="00466AD0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9">
    <w:p w14:paraId="44FC32C2" w14:textId="77777777" w:rsidR="00466AD0" w:rsidRDefault="00466AD0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466AD0" w:rsidRDefault="00466AD0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466AD0" w:rsidRPr="00874DFA" w:rsidRDefault="00466AD0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466AD0" w:rsidRDefault="00466AD0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466AD0" w:rsidRDefault="00466AD0" w:rsidP="00962F33">
      <w:pPr>
        <w:pStyle w:val="Tekstprzypisudolnego"/>
      </w:pPr>
    </w:p>
  </w:footnote>
  <w:footnote w:id="10">
    <w:p w14:paraId="6C728FBD" w14:textId="77777777" w:rsidR="00466AD0" w:rsidRPr="002F6DD9" w:rsidRDefault="00466AD0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2013FB9" w14:textId="77777777" w:rsidR="00466AD0" w:rsidRPr="002F6DD9" w:rsidRDefault="00466AD0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77777777" w:rsidR="00466AD0" w:rsidRDefault="00466AD0">
    <w:pPr>
      <w:pStyle w:val="Nagwek"/>
    </w:pPr>
    <w:r>
      <w:rPr>
        <w:noProof/>
      </w:rPr>
      <w:drawing>
        <wp:inline distT="0" distB="0" distL="0" distR="0" wp14:anchorId="5CEC03C5" wp14:editId="65597AF9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6"/>
  </w:num>
  <w:num w:numId="6">
    <w:abstractNumId w:val="20"/>
  </w:num>
  <w:num w:numId="7">
    <w:abstractNumId w:val="13"/>
  </w:num>
  <w:num w:numId="8">
    <w:abstractNumId w:val="9"/>
  </w:num>
  <w:num w:numId="9">
    <w:abstractNumId w:val="25"/>
  </w:num>
  <w:num w:numId="10">
    <w:abstractNumId w:val="4"/>
  </w:num>
  <w:num w:numId="11">
    <w:abstractNumId w:val="23"/>
  </w:num>
  <w:num w:numId="12">
    <w:abstractNumId w:val="18"/>
  </w:num>
  <w:num w:numId="13">
    <w:abstractNumId w:val="1"/>
  </w:num>
  <w:num w:numId="14">
    <w:abstractNumId w:val="10"/>
  </w:num>
  <w:num w:numId="15">
    <w:abstractNumId w:val="19"/>
  </w:num>
  <w:num w:numId="16">
    <w:abstractNumId w:val="8"/>
  </w:num>
  <w:num w:numId="17">
    <w:abstractNumId w:val="22"/>
  </w:num>
  <w:num w:numId="18">
    <w:abstractNumId w:val="12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2"/>
  </w:num>
  <w:num w:numId="24">
    <w:abstractNumId w:val="7"/>
  </w:num>
  <w:num w:numId="25">
    <w:abstractNumId w:val="14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6291F"/>
    <w:rsid w:val="00076012"/>
    <w:rsid w:val="000D550A"/>
    <w:rsid w:val="001307FD"/>
    <w:rsid w:val="001A491A"/>
    <w:rsid w:val="0024616A"/>
    <w:rsid w:val="00294F3E"/>
    <w:rsid w:val="00296469"/>
    <w:rsid w:val="003553CA"/>
    <w:rsid w:val="003A4298"/>
    <w:rsid w:val="003B24E8"/>
    <w:rsid w:val="00463C8D"/>
    <w:rsid w:val="00466AD0"/>
    <w:rsid w:val="00493F68"/>
    <w:rsid w:val="004E43A9"/>
    <w:rsid w:val="0059746D"/>
    <w:rsid w:val="00721367"/>
    <w:rsid w:val="00785D15"/>
    <w:rsid w:val="0078628A"/>
    <w:rsid w:val="00824AD3"/>
    <w:rsid w:val="00832B6F"/>
    <w:rsid w:val="00962F33"/>
    <w:rsid w:val="009A2FF8"/>
    <w:rsid w:val="009B22F7"/>
    <w:rsid w:val="00A24A5F"/>
    <w:rsid w:val="00A61EE0"/>
    <w:rsid w:val="00AC1DD2"/>
    <w:rsid w:val="00BF6384"/>
    <w:rsid w:val="00C102AB"/>
    <w:rsid w:val="00E0525F"/>
    <w:rsid w:val="00E725EE"/>
    <w:rsid w:val="00EF3ADD"/>
    <w:rsid w:val="00FD5F1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j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ncbj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7007</Words>
  <Characters>42047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Szajkowski Tomasz</cp:lastModifiedBy>
  <cp:revision>3</cp:revision>
  <cp:lastPrinted>2021-11-02T06:46:00Z</cp:lastPrinted>
  <dcterms:created xsi:type="dcterms:W3CDTF">2021-11-02T06:47:00Z</dcterms:created>
  <dcterms:modified xsi:type="dcterms:W3CDTF">2021-11-02T06:47:00Z</dcterms:modified>
</cp:coreProperties>
</file>