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68C" w:rsidRDefault="00EE3F52">
      <w:pPr>
        <w:spacing w:after="0" w:line="362" w:lineRule="auto"/>
        <w:ind w:left="4414" w:right="0" w:firstLine="3291"/>
      </w:pPr>
      <w:bookmarkStart w:id="0" w:name="_GoBack"/>
      <w:bookmarkEnd w:id="0"/>
      <w:r>
        <w:rPr>
          <w:b/>
        </w:rPr>
        <w:t xml:space="preserve">załącznik nr 3 do SWZ Pakiet 1 </w:t>
      </w:r>
    </w:p>
    <w:p w:rsidR="00B8168C" w:rsidRDefault="00EE3F52">
      <w:pPr>
        <w:spacing w:after="102" w:line="259" w:lineRule="auto"/>
        <w:ind w:left="0" w:right="7" w:firstLine="0"/>
        <w:jc w:val="center"/>
      </w:pPr>
      <w:r>
        <w:rPr>
          <w:b/>
        </w:rPr>
        <w:t xml:space="preserve">OPIS PRZEDMIOTU ZAMÓWIENIA </w:t>
      </w:r>
    </w:p>
    <w:p w:rsidR="00B8168C" w:rsidRDefault="00EE3F52">
      <w:pPr>
        <w:spacing w:after="0" w:line="364" w:lineRule="auto"/>
        <w:ind w:left="-15" w:right="0" w:firstLine="0"/>
        <w:jc w:val="left"/>
      </w:pPr>
      <w:r>
        <w:t xml:space="preserve">Przedmiotem zamówienia jest sukcesywna dostawa produktu leczniczego zawierającego substancję czynną  - </w:t>
      </w:r>
      <w:proofErr w:type="spellStart"/>
      <w:r>
        <w:t>Andeksanet</w:t>
      </w:r>
      <w:proofErr w:type="spellEnd"/>
      <w:r>
        <w:t xml:space="preserve"> alfa na potrzeby realizacji niekomercyjnego badania klinicznego: </w:t>
      </w:r>
    </w:p>
    <w:p w:rsidR="00B8168C" w:rsidRDefault="00EE3F52">
      <w:pPr>
        <w:spacing w:after="1" w:line="362" w:lineRule="auto"/>
        <w:ind w:left="-5" w:right="0" w:hanging="10"/>
      </w:pPr>
      <w:r>
        <w:rPr>
          <w:b/>
        </w:rPr>
        <w:t xml:space="preserve">„Wieloośrodkowe, randomizowane badanie fazy II z zastosowaniem równoległych grup badanych oraz podwójnie ślepej próby i placebo, oceniające skuteczność i bezpieczeństwo </w:t>
      </w:r>
      <w:proofErr w:type="spellStart"/>
      <w:r>
        <w:rPr>
          <w:b/>
        </w:rPr>
        <w:t>reperfuzyjnego</w:t>
      </w:r>
      <w:proofErr w:type="spellEnd"/>
      <w:r>
        <w:rPr>
          <w:b/>
        </w:rPr>
        <w:t xml:space="preserve"> leczenia </w:t>
      </w:r>
      <w:proofErr w:type="spellStart"/>
      <w:r>
        <w:rPr>
          <w:b/>
        </w:rPr>
        <w:t>trombolitycznego</w:t>
      </w:r>
      <w:proofErr w:type="spellEnd"/>
      <w:r>
        <w:rPr>
          <w:b/>
        </w:rPr>
        <w:t xml:space="preserve"> z użyciem dożylnym rekombinowanego aktywatora plazminogenu tkankowego (</w:t>
      </w:r>
      <w:proofErr w:type="spellStart"/>
      <w:r>
        <w:rPr>
          <w:b/>
        </w:rPr>
        <w:t>rtPA</w:t>
      </w:r>
      <w:proofErr w:type="spellEnd"/>
      <w:r>
        <w:rPr>
          <w:b/>
        </w:rPr>
        <w:t xml:space="preserve">) w udarze niedokrwiennym mózgu u pacjentów przyjmujących doustne leki przeciwzakrzepowe nie należące do grupy antagonistów witaminy </w:t>
      </w:r>
    </w:p>
    <w:p w:rsidR="00B8168C" w:rsidRDefault="00EE3F52">
      <w:pPr>
        <w:spacing w:after="0"/>
        <w:ind w:left="-13" w:right="0" w:firstLine="0"/>
      </w:pPr>
      <w:r>
        <w:rPr>
          <w:b/>
        </w:rPr>
        <w:t xml:space="preserve">K i po odwróceniu aktywności przeciwkrzepliwej specyficznym antidotum” </w:t>
      </w:r>
      <w:r>
        <w:t xml:space="preserve">w ramach konkursu Agencji Badań Medycznych (ABM) na działalność badawczo-rozwojową w zakresie niekomercyjnych badań klinicznych. Gdański Uniwersytet Medyczny pełni rolę Sponsora niekomercyjnego badania klinicznego. </w:t>
      </w:r>
    </w:p>
    <w:p w:rsidR="00B8168C" w:rsidRDefault="00EE3F52">
      <w:pPr>
        <w:spacing w:after="105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B8168C" w:rsidRDefault="00EE3F52">
      <w:pPr>
        <w:spacing w:after="1"/>
        <w:ind w:left="-13" w:right="1175" w:firstLine="0"/>
      </w:pPr>
      <w:r>
        <w:rPr>
          <w:b/>
        </w:rPr>
        <w:t>Rozdział 1 – PODSTAWOWE INFORMACJE DOT. NIEKOMERCYJNEGO BADANIA KLINICZNEGO</w:t>
      </w:r>
      <w:r>
        <w:t xml:space="preserve"> Badanie pacjentów w ostrej fazie udaru niedokrwiennego, którzy przyjmują NOAC. </w:t>
      </w:r>
    </w:p>
    <w:p w:rsidR="00B8168C" w:rsidRDefault="00EE3F52">
      <w:pPr>
        <w:spacing w:after="105" w:line="259" w:lineRule="auto"/>
        <w:ind w:left="0" w:right="0" w:firstLine="0"/>
        <w:jc w:val="left"/>
      </w:pPr>
      <w:r>
        <w:t xml:space="preserve"> </w:t>
      </w:r>
    </w:p>
    <w:p w:rsidR="00B8168C" w:rsidRDefault="00EE3F52">
      <w:pPr>
        <w:spacing w:after="143" w:line="259" w:lineRule="auto"/>
        <w:ind w:left="0" w:right="0" w:firstLine="0"/>
        <w:jc w:val="left"/>
      </w:pPr>
      <w:r>
        <w:rPr>
          <w:b/>
        </w:rPr>
        <w:t xml:space="preserve">Cechy badania klinicznego: </w:t>
      </w:r>
    </w:p>
    <w:p w:rsidR="00B8168C" w:rsidRDefault="00EE3F52">
      <w:pPr>
        <w:numPr>
          <w:ilvl w:val="0"/>
          <w:numId w:val="1"/>
        </w:numPr>
        <w:spacing w:after="122" w:line="259" w:lineRule="auto"/>
        <w:ind w:right="0" w:hanging="360"/>
      </w:pPr>
      <w:r>
        <w:t xml:space="preserve">prospektywne, randomizowane, wieloośrodkowe,  </w:t>
      </w:r>
    </w:p>
    <w:p w:rsidR="00B8168C" w:rsidRDefault="00EE3F52">
      <w:pPr>
        <w:numPr>
          <w:ilvl w:val="0"/>
          <w:numId w:val="1"/>
        </w:numPr>
        <w:spacing w:after="122" w:line="259" w:lineRule="auto"/>
        <w:ind w:right="0" w:hanging="360"/>
      </w:pPr>
      <w:r>
        <w:t xml:space="preserve">planowana liczba uczestników badania klinicznego: 220, </w:t>
      </w:r>
    </w:p>
    <w:p w:rsidR="00B8168C" w:rsidRDefault="00EE3F52">
      <w:pPr>
        <w:numPr>
          <w:ilvl w:val="0"/>
          <w:numId w:val="1"/>
        </w:numPr>
        <w:spacing w:after="122" w:line="259" w:lineRule="auto"/>
        <w:ind w:right="0" w:hanging="360"/>
      </w:pPr>
      <w:r>
        <w:t xml:space="preserve">wiek uczestników badania klinicznego: ≥18 lat </w:t>
      </w:r>
    </w:p>
    <w:p w:rsidR="00B8168C" w:rsidRDefault="00EE3F52">
      <w:pPr>
        <w:numPr>
          <w:ilvl w:val="0"/>
          <w:numId w:val="1"/>
        </w:numPr>
        <w:spacing w:after="1"/>
        <w:ind w:right="0" w:hanging="360"/>
      </w:pPr>
      <w:r>
        <w:t xml:space="preserve">realizacja Badania jest zgodna z zasadami rozporządzenia Ministra Zdrowia z dnia 9 listopada 2015 r. w sprawie wymagań Dobrej Praktyki Wytwarzania (tj. Dz.U. z 2022 r. poz. 1273; „GMP”) oraz rozporządzenia Ministra Zdrowia z dnia 13 marca 2015 r. w sprawie wymagań Dobrej Praktyki Dystrybucyjnej (tj. Dz. U. z 2022 r. poz. 1287 ; „GDP”). </w:t>
      </w:r>
    </w:p>
    <w:p w:rsidR="00B8168C" w:rsidRDefault="00EE3F52">
      <w:pPr>
        <w:spacing w:after="105" w:line="259" w:lineRule="auto"/>
        <w:ind w:left="0" w:right="0" w:firstLine="0"/>
        <w:jc w:val="left"/>
      </w:pPr>
      <w:r>
        <w:t xml:space="preserve"> </w:t>
      </w:r>
    </w:p>
    <w:p w:rsidR="00B8168C" w:rsidRDefault="00EE3F52">
      <w:pPr>
        <w:spacing w:after="222" w:line="259" w:lineRule="auto"/>
        <w:ind w:left="-5" w:right="0" w:hanging="10"/>
      </w:pPr>
      <w:r>
        <w:rPr>
          <w:b/>
        </w:rPr>
        <w:t xml:space="preserve">Rozdział 2 – OGÓLNY ZAKRES PRZEDMIOTU ZAMÓWIENIA </w:t>
      </w:r>
    </w:p>
    <w:p w:rsidR="00B8168C" w:rsidRDefault="00EE3F52">
      <w:pPr>
        <w:spacing w:after="256" w:line="259" w:lineRule="auto"/>
        <w:ind w:left="576" w:right="0" w:hanging="10"/>
      </w:pPr>
      <w:r>
        <w:rPr>
          <w:b/>
        </w:rPr>
        <w:t>Przedmiotem niniejszego zamówienia jest:</w:t>
      </w:r>
      <w:r>
        <w:t xml:space="preserve"> </w:t>
      </w:r>
    </w:p>
    <w:p w:rsidR="00B8168C" w:rsidRDefault="00EE3F52">
      <w:pPr>
        <w:numPr>
          <w:ilvl w:val="0"/>
          <w:numId w:val="2"/>
        </w:numPr>
        <w:spacing w:after="129" w:line="364" w:lineRule="auto"/>
        <w:ind w:right="0" w:hanging="360"/>
      </w:pPr>
      <w:r>
        <w:t xml:space="preserve">Sukcesywna dostawa produktu leczniczego zawierającego substancję czynną </w:t>
      </w:r>
      <w:proofErr w:type="spellStart"/>
      <w:r>
        <w:t>Andeksanet</w:t>
      </w:r>
      <w:proofErr w:type="spellEnd"/>
      <w:r>
        <w:t xml:space="preserve"> alfa pod wskazany w dalszej części OPZ adres oraz w określonym przez Zamawiającego terminie: </w:t>
      </w:r>
    </w:p>
    <w:p w:rsidR="00B8168C" w:rsidRDefault="00EE3F52">
      <w:pPr>
        <w:spacing w:after="0" w:line="289" w:lineRule="auto"/>
        <w:ind w:left="574" w:right="0"/>
      </w:pPr>
      <w:r>
        <w:t>1)</w:t>
      </w:r>
      <w:r>
        <w:rPr>
          <w:rFonts w:ascii="Arial" w:eastAsia="Arial" w:hAnsi="Arial" w:cs="Arial"/>
        </w:rPr>
        <w:t xml:space="preserve"> </w:t>
      </w:r>
      <w:r>
        <w:t xml:space="preserve">Produkt leczniczy zawierający substancję czynną </w:t>
      </w:r>
      <w:proofErr w:type="spellStart"/>
      <w:r>
        <w:t>Andeksanet</w:t>
      </w:r>
      <w:proofErr w:type="spellEnd"/>
      <w:r>
        <w:t xml:space="preserve"> alfa; proszek do sporządzania roztworu do infuzji </w:t>
      </w:r>
      <w:r>
        <w:rPr>
          <w:b/>
        </w:rPr>
        <w:t>(200 mg) 1op. zawiera 5 fiolek po 20 ml –20 opakowań.</w:t>
      </w:r>
      <w:r>
        <w:t xml:space="preserve"> </w:t>
      </w:r>
    </w:p>
    <w:p w:rsidR="00B8168C" w:rsidRDefault="00EE3F52">
      <w:pPr>
        <w:spacing w:after="61" w:line="259" w:lineRule="auto"/>
        <w:ind w:left="566" w:right="0" w:firstLine="0"/>
        <w:jc w:val="left"/>
      </w:pPr>
      <w:r>
        <w:t xml:space="preserve"> </w:t>
      </w:r>
    </w:p>
    <w:p w:rsidR="00B8168C" w:rsidRDefault="00EE3F52">
      <w:pPr>
        <w:numPr>
          <w:ilvl w:val="0"/>
          <w:numId w:val="2"/>
        </w:numPr>
        <w:ind w:right="0" w:hanging="360"/>
      </w:pPr>
      <w:r>
        <w:t xml:space="preserve">Realizacja przedmiotu umowy będzie obejmować procesy wytworzenia Badanego Produktu Leczniczego                       (a jeśli Wykonawca nie jest wytwórcą produktu leczniczego zawierającego </w:t>
      </w:r>
      <w:proofErr w:type="spellStart"/>
      <w:r>
        <w:t>Andeksanet</w:t>
      </w:r>
      <w:proofErr w:type="spellEnd"/>
      <w:r>
        <w:t xml:space="preserve"> alfa – nabycie tego produktu) oraz jego dostawę do Apteki Szpitalnej Uniwersyteckiego Centrum Klinicznego w Gdańsku zgodnie z </w:t>
      </w:r>
    </w:p>
    <w:p w:rsidR="00B8168C" w:rsidRDefault="00EE3F52">
      <w:pPr>
        <w:spacing w:after="31"/>
        <w:ind w:left="360" w:right="0" w:firstLine="0"/>
      </w:pPr>
      <w:r>
        <w:lastRenderedPageBreak/>
        <w:t xml:space="preserve">zamówieniem złożonym przez Zamawiającego, wskazującym m.in.: termin realizacji dostawy, ilości opakowań Badanego Produktu Leczniczego przy czym: </w:t>
      </w:r>
    </w:p>
    <w:p w:rsidR="00B8168C" w:rsidRDefault="00EE3F52">
      <w:pPr>
        <w:numPr>
          <w:ilvl w:val="1"/>
          <w:numId w:val="3"/>
        </w:numPr>
        <w:spacing w:line="259" w:lineRule="auto"/>
        <w:ind w:right="0" w:hanging="358"/>
      </w:pPr>
      <w:r>
        <w:t xml:space="preserve">łączna liczba zamówień nie przekroczy </w:t>
      </w:r>
      <w:r>
        <w:rPr>
          <w:b/>
        </w:rPr>
        <w:t>3;</w:t>
      </w:r>
      <w:r>
        <w:t xml:space="preserve"> </w:t>
      </w:r>
    </w:p>
    <w:p w:rsidR="00B8168C" w:rsidRDefault="00EE3F52">
      <w:pPr>
        <w:numPr>
          <w:ilvl w:val="1"/>
          <w:numId w:val="3"/>
        </w:numPr>
        <w:spacing w:line="259" w:lineRule="auto"/>
        <w:ind w:right="0" w:hanging="358"/>
      </w:pPr>
      <w:r>
        <w:t xml:space="preserve">pierwsze zamówienie złożone zostanie w terminie do </w:t>
      </w:r>
      <w:r>
        <w:rPr>
          <w:b/>
        </w:rPr>
        <w:t>90 dni kalendarzowych od dnia zawarcia umowy</w:t>
      </w:r>
      <w:r>
        <w:t xml:space="preserve">; </w:t>
      </w:r>
    </w:p>
    <w:p w:rsidR="00B8168C" w:rsidRDefault="00EE3F52">
      <w:pPr>
        <w:numPr>
          <w:ilvl w:val="1"/>
          <w:numId w:val="3"/>
        </w:numPr>
        <w:spacing w:after="32"/>
        <w:ind w:right="0" w:hanging="358"/>
      </w:pPr>
      <w:r>
        <w:t xml:space="preserve">Kolejne transze dostarczane będą zgodnie z zapotrzebowaniem związanym z tempem rekrutacji pacjentów, z możliwością realizacji do 50% wartości  całkowitego zamówienia </w:t>
      </w:r>
    </w:p>
    <w:p w:rsidR="00B8168C" w:rsidRDefault="00EE3F52">
      <w:pPr>
        <w:numPr>
          <w:ilvl w:val="1"/>
          <w:numId w:val="3"/>
        </w:numPr>
        <w:spacing w:after="129" w:line="259" w:lineRule="auto"/>
        <w:ind w:right="0" w:hanging="358"/>
      </w:pPr>
      <w:r>
        <w:t xml:space="preserve">termin realizacji dostawy to maksymalnie </w:t>
      </w:r>
      <w:r>
        <w:rPr>
          <w:b/>
        </w:rPr>
        <w:t xml:space="preserve">14 dni kalendarzowych od dnia złożenia zamówienia; </w:t>
      </w:r>
    </w:p>
    <w:p w:rsidR="00B8168C" w:rsidRDefault="00EE3F52">
      <w:pPr>
        <w:numPr>
          <w:ilvl w:val="1"/>
          <w:numId w:val="3"/>
        </w:numPr>
        <w:spacing w:after="129" w:line="364" w:lineRule="auto"/>
        <w:ind w:right="0" w:hanging="358"/>
      </w:pPr>
      <w:r>
        <w:t xml:space="preserve">pierwsze zamówienie będzie obejmować 12 opakowań Badanego Produktu Leczniczego, kolejne odpowiednio po </w:t>
      </w:r>
      <w:r>
        <w:rPr>
          <w:b/>
        </w:rPr>
        <w:t>4 opakowania</w:t>
      </w:r>
      <w:r>
        <w:t xml:space="preserve">. </w:t>
      </w:r>
    </w:p>
    <w:p w:rsidR="00B8168C" w:rsidRDefault="00EE3F52">
      <w:pPr>
        <w:numPr>
          <w:ilvl w:val="0"/>
          <w:numId w:val="2"/>
        </w:numPr>
        <w:spacing w:after="256" w:line="259" w:lineRule="auto"/>
        <w:ind w:right="0" w:hanging="360"/>
      </w:pPr>
      <w:r>
        <w:t xml:space="preserve">Okres ważności produktu leczniczego – </w:t>
      </w:r>
      <w:r>
        <w:rPr>
          <w:b/>
        </w:rPr>
        <w:t>minimum 24 miesiące od daty dostarczenia towaru do Zamawiającego</w:t>
      </w:r>
      <w:r>
        <w:t xml:space="preserve">. </w:t>
      </w:r>
    </w:p>
    <w:p w:rsidR="00B8168C" w:rsidRDefault="00EE3F52">
      <w:pPr>
        <w:numPr>
          <w:ilvl w:val="0"/>
          <w:numId w:val="2"/>
        </w:numPr>
        <w:ind w:right="0" w:hanging="360"/>
      </w:pPr>
      <w:r>
        <w:t xml:space="preserve">Adres dostawy: Apteka Szpitalna Uniwersyteckiego Centrum Klinicznego w Gdańsku, ul. Smoluchowskiego 17, 80214 Gdańsk.   </w:t>
      </w:r>
    </w:p>
    <w:p w:rsidR="00B8168C" w:rsidRDefault="00EE3F52">
      <w:pPr>
        <w:numPr>
          <w:ilvl w:val="0"/>
          <w:numId w:val="2"/>
        </w:numPr>
        <w:ind w:right="0" w:hanging="360"/>
      </w:pPr>
      <w:r>
        <w:t xml:space="preserve">Transport leku w warunkach kontrolowanych ( 2°C – 8 °C). Wykonawca zobowiązany jest transportować Badane Produkty Lecznicze zgodnie z Dobrą Praktyką Dystrybucyjną. </w:t>
      </w:r>
    </w:p>
    <w:p w:rsidR="00B8168C" w:rsidRDefault="00EE3F52">
      <w:pPr>
        <w:numPr>
          <w:ilvl w:val="0"/>
          <w:numId w:val="2"/>
        </w:numPr>
        <w:spacing w:after="1"/>
        <w:ind w:right="0" w:hanging="360"/>
      </w:pPr>
      <w:r>
        <w:t xml:space="preserve">Realizacja dostawy, będzie następowała wg zamówienia złożonego pocztą e-mail przez upoważnionego przedstawiciela Gdańskiego Uniwersytetu Medycznego w ciągu </w:t>
      </w:r>
      <w:r>
        <w:rPr>
          <w:b/>
        </w:rPr>
        <w:t>14 dni kalendarzowych</w:t>
      </w:r>
      <w:r>
        <w:t xml:space="preserve"> </w:t>
      </w:r>
    </w:p>
    <w:p w:rsidR="00B8168C" w:rsidRDefault="00EE3F52">
      <w:pPr>
        <w:spacing w:after="234" w:line="259" w:lineRule="auto"/>
        <w:ind w:left="358" w:right="0" w:firstLine="0"/>
        <w:jc w:val="left"/>
      </w:pPr>
      <w:r>
        <w:t>(</w:t>
      </w:r>
      <w:r>
        <w:rPr>
          <w:color w:val="0000FF"/>
          <w:u w:val="single" w:color="0000FF"/>
        </w:rPr>
        <w:t>piotr.kraszewski@gumed.edu.pl, magdalena.peda@gumed.edu.pl</w:t>
      </w:r>
      <w:r>
        <w:t xml:space="preserve">, joanna.dawidowska@gumed.edu.pl).  </w:t>
      </w:r>
    </w:p>
    <w:p w:rsidR="00B8168C" w:rsidRDefault="00EE3F52">
      <w:pPr>
        <w:numPr>
          <w:ilvl w:val="0"/>
          <w:numId w:val="2"/>
        </w:numPr>
        <w:ind w:right="0" w:hanging="360"/>
      </w:pPr>
      <w:r>
        <w:t xml:space="preserve">Badany produkt leczniczy musi być dopuszczony do obrotu gospodarczego na terenie RP; dopuszcza się pozyskanie produktów badanych przeznaczonych do użycia w niekomercyjnym badaniu klinicznych z rynków UE lub spoza UE. W takiej sytuacji, wykonawca zobowiązany jest do przygotowania dokumentacji wymaganej przepisami prawa umożliwiającej wykorzystanie Badanego Produktu Leczniczego w Niekomercyjnym Badaniu Klinicznym na terenie RP.  </w:t>
      </w:r>
    </w:p>
    <w:p w:rsidR="0055200E" w:rsidRDefault="00EE3F52">
      <w:pPr>
        <w:numPr>
          <w:ilvl w:val="0"/>
          <w:numId w:val="2"/>
        </w:numPr>
        <w:spacing w:after="59" w:line="420" w:lineRule="auto"/>
        <w:ind w:right="0" w:hanging="360"/>
      </w:pPr>
      <w:r>
        <w:t xml:space="preserve">Szczegółowe postanowienia dotyczące wykonywania zobowiązań odnoszących się do niniejszego zamówienia zawarto w projekcie umowy – załącznik nr  …….do SWZ. </w:t>
      </w:r>
    </w:p>
    <w:p w:rsidR="00B8168C" w:rsidRDefault="00EE3F52" w:rsidP="0055200E">
      <w:pPr>
        <w:spacing w:after="59" w:line="420" w:lineRule="auto"/>
        <w:ind w:left="360" w:right="0" w:firstLine="0"/>
      </w:pPr>
      <w:r>
        <w:rPr>
          <w:b/>
        </w:rPr>
        <w:t xml:space="preserve">Rozdział 3 – SZCZEGÓŁOWE WARUNKI REALIZACJI ZAMÓWIENIA </w:t>
      </w:r>
    </w:p>
    <w:p w:rsidR="00B8168C" w:rsidRDefault="00EE3F52">
      <w:pPr>
        <w:spacing w:after="256" w:line="259" w:lineRule="auto"/>
        <w:ind w:left="-5" w:right="0" w:hanging="10"/>
      </w:pPr>
      <w:r>
        <w:rPr>
          <w:b/>
        </w:rPr>
        <w:t xml:space="preserve">Obowiązki Wykonawcy: </w:t>
      </w:r>
    </w:p>
    <w:p w:rsidR="00B8168C" w:rsidRDefault="00EE3F52">
      <w:pPr>
        <w:numPr>
          <w:ilvl w:val="0"/>
          <w:numId w:val="4"/>
        </w:numPr>
        <w:spacing w:after="129" w:line="364" w:lineRule="auto"/>
        <w:ind w:right="0" w:hanging="360"/>
      </w:pPr>
      <w:r>
        <w:t xml:space="preserve">Dostawa leku w kontrolowanych warunkach temperaturowych (w dni robocze w godzinach 8-15). Upoważniony przedstawiciel </w:t>
      </w:r>
      <w:r>
        <w:tab/>
        <w:t xml:space="preserve">Sponsora </w:t>
      </w:r>
      <w:r>
        <w:tab/>
      </w:r>
      <w:r>
        <w:rPr>
          <w:color w:val="0000FF"/>
          <w:u w:val="single" w:color="0000FF"/>
        </w:rPr>
        <w:t>(piotr.kraszewski@gumed.edu.pl</w:t>
      </w:r>
      <w:r>
        <w:t xml:space="preserve">, </w:t>
      </w:r>
      <w:r>
        <w:tab/>
      </w:r>
      <w:r>
        <w:rPr>
          <w:color w:val="0000FF"/>
          <w:u w:val="single" w:color="0000FF"/>
        </w:rPr>
        <w:t>magdalena.peda@gumed.edu.pl</w:t>
      </w:r>
      <w:r>
        <w:t xml:space="preserve">, </w:t>
      </w:r>
      <w:r>
        <w:rPr>
          <w:color w:val="0000FF"/>
          <w:u w:val="single" w:color="0000FF"/>
        </w:rPr>
        <w:t>joanna.dawidowska@gumed.edu.pl</w:t>
      </w:r>
      <w:r>
        <w:t xml:space="preserve">) musi otrzymać wydruk temperatury z transportu w ciągu 24-godzin od dostarczenia leku do wskazanego miejsca odbioru.  </w:t>
      </w:r>
    </w:p>
    <w:p w:rsidR="00B8168C" w:rsidRPr="0055200E" w:rsidRDefault="00EE3F52">
      <w:pPr>
        <w:numPr>
          <w:ilvl w:val="0"/>
          <w:numId w:val="4"/>
        </w:numPr>
        <w:ind w:right="0" w:hanging="360"/>
        <w:rPr>
          <w:strike/>
          <w:color w:val="FF0000"/>
        </w:rPr>
      </w:pPr>
      <w:r w:rsidRPr="0055200E">
        <w:rPr>
          <w:strike/>
          <w:color w:val="FF0000"/>
        </w:rPr>
        <w:lastRenderedPageBreak/>
        <w:t>Przeprowadzenie weryfikacji autentyczności oraz wycofania niepowtarzalnego identyfikatora (</w:t>
      </w:r>
      <w:proofErr w:type="spellStart"/>
      <w:r w:rsidRPr="0055200E">
        <w:rPr>
          <w:strike/>
          <w:color w:val="FF0000"/>
        </w:rPr>
        <w:t>decommissioning</w:t>
      </w:r>
      <w:proofErr w:type="spellEnd"/>
      <w:r w:rsidRPr="0055200E">
        <w:rPr>
          <w:strike/>
          <w:color w:val="FF0000"/>
        </w:rPr>
        <w:t xml:space="preserve">) zgodnie z założeniami: „Dyrektywy Parlamentu Europejskiego i Rady 2011/62/UE z dnia 8 czerwca 2011 r. zmieniającej dyrektywę 2001/83/WE w sprawie wspólnotowego kodeksu odnoszącego się do produktów leczniczych stosowanych u ludzi – w zakresie zapobiegania wprowadzaniu sfałszowanych produktów leczniczych do legalnego łańcucha dystrybucji” oraz „Rozporządzenia Delegowanego Komisji (UE) 2016/161 z dn. 2 października 2015 r.” w odniesieniu do dostarczanych produktów leczniczych oraz potwierdzenie tego procesu w formie dokumentowej (skan podpisanego oświadczenia).   </w:t>
      </w:r>
    </w:p>
    <w:p w:rsidR="00B8168C" w:rsidRDefault="00EE3F52">
      <w:pPr>
        <w:numPr>
          <w:ilvl w:val="0"/>
          <w:numId w:val="4"/>
        </w:numPr>
        <w:ind w:right="0" w:hanging="360"/>
      </w:pPr>
      <w:r>
        <w:t xml:space="preserve">Przekazanie Sponsorowi dokumentacji związanej z Badanym Produktem Leczniczym na potrzeby badania klinicznego:  </w:t>
      </w:r>
    </w:p>
    <w:p w:rsidR="00B8168C" w:rsidRDefault="00EE3F52">
      <w:pPr>
        <w:numPr>
          <w:ilvl w:val="2"/>
          <w:numId w:val="5"/>
        </w:numPr>
        <w:spacing w:after="253" w:line="259" w:lineRule="auto"/>
        <w:ind w:right="0" w:hanging="360"/>
        <w:jc w:val="left"/>
      </w:pPr>
      <w:r>
        <w:t xml:space="preserve">potwierdzenie dostarczenia przesyłki </w:t>
      </w:r>
    </w:p>
    <w:p w:rsidR="00B8168C" w:rsidRDefault="00EE3F52">
      <w:pPr>
        <w:numPr>
          <w:ilvl w:val="2"/>
          <w:numId w:val="5"/>
        </w:numPr>
        <w:spacing w:after="256" w:line="259" w:lineRule="auto"/>
        <w:ind w:right="0" w:hanging="360"/>
        <w:jc w:val="left"/>
      </w:pPr>
      <w:r>
        <w:t xml:space="preserve">skan wydruku pomiaru temperatury. </w:t>
      </w:r>
    </w:p>
    <w:p w:rsidR="00B8168C" w:rsidRDefault="00EE3F52">
      <w:pPr>
        <w:numPr>
          <w:ilvl w:val="0"/>
          <w:numId w:val="4"/>
        </w:numPr>
        <w:ind w:right="0" w:hanging="360"/>
      </w:pPr>
      <w:r>
        <w:t xml:space="preserve">Wykonawca zobowiązany jest do współpracy ze Sponsorem Niekomercyjnego Badania Klinicznego w zakresie udzielanych odpowiedzi na pytania URPL i KB dot.  zamawianego Produktu Leczniczego. </w:t>
      </w:r>
    </w:p>
    <w:p w:rsidR="00B8168C" w:rsidRDefault="00EE3F52">
      <w:pPr>
        <w:numPr>
          <w:ilvl w:val="0"/>
          <w:numId w:val="4"/>
        </w:numPr>
        <w:spacing w:after="255" w:line="259" w:lineRule="auto"/>
        <w:ind w:right="0" w:hanging="360"/>
      </w:pPr>
      <w:r>
        <w:t xml:space="preserve">Wykonawca realizując umowę powinien mieć na uwadze:  </w:t>
      </w:r>
    </w:p>
    <w:p w:rsidR="00B8168C" w:rsidRDefault="00EE3F52">
      <w:pPr>
        <w:numPr>
          <w:ilvl w:val="1"/>
          <w:numId w:val="4"/>
        </w:numPr>
        <w:ind w:right="0" w:hanging="360"/>
      </w:pPr>
      <w:r>
        <w:t xml:space="preserve">Rozporządzenie Ministra Zdrowia z dn. 13 marca 2015 r. w sprawie wymagań Dobrej Praktyki Dystrybucyjnej (GDP) </w:t>
      </w:r>
    </w:p>
    <w:p w:rsidR="00B8168C" w:rsidRDefault="00EE3F52">
      <w:pPr>
        <w:numPr>
          <w:ilvl w:val="1"/>
          <w:numId w:val="4"/>
        </w:numPr>
        <w:spacing w:after="255" w:line="259" w:lineRule="auto"/>
        <w:ind w:right="0" w:hanging="360"/>
      </w:pPr>
      <w:r>
        <w:t xml:space="preserve">Prawo Farmaceutyczne (Dz. U. z 2008 r., z </w:t>
      </w:r>
      <w:proofErr w:type="spellStart"/>
      <w:r>
        <w:t>późn</w:t>
      </w:r>
      <w:proofErr w:type="spellEnd"/>
      <w:r>
        <w:t xml:space="preserve">. zm.) - Ustawa z dn. 6 września 2001 r .  </w:t>
      </w:r>
    </w:p>
    <w:p w:rsidR="00B8168C" w:rsidRDefault="00EE3F52">
      <w:pPr>
        <w:numPr>
          <w:ilvl w:val="1"/>
          <w:numId w:val="4"/>
        </w:numPr>
        <w:spacing w:after="122"/>
        <w:ind w:right="0" w:hanging="360"/>
      </w:pPr>
      <w:r>
        <w:t xml:space="preserve">Rozporządzenie Ministra Zdrowia z dn. 9 listopada 2015 r. w sprawie wymagań Dobrej Praktyki Wytwarzania (GMP) – jeśli dotyczy. </w:t>
      </w:r>
    </w:p>
    <w:p w:rsidR="00B8168C" w:rsidRDefault="00EE3F52">
      <w:pPr>
        <w:spacing w:after="222" w:line="259" w:lineRule="auto"/>
        <w:ind w:left="360" w:right="0" w:firstLine="0"/>
        <w:jc w:val="left"/>
      </w:pPr>
      <w:r>
        <w:t xml:space="preserve"> </w:t>
      </w:r>
    </w:p>
    <w:p w:rsidR="00B8168C" w:rsidRDefault="00EE3F52">
      <w:pPr>
        <w:spacing w:after="225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B8168C" w:rsidRDefault="00EE3F52">
      <w:pPr>
        <w:spacing w:after="0" w:line="259" w:lineRule="auto"/>
        <w:ind w:left="0" w:right="0" w:firstLine="0"/>
        <w:jc w:val="left"/>
      </w:pPr>
      <w:r>
        <w:t xml:space="preserve"> </w:t>
      </w:r>
    </w:p>
    <w:sectPr w:rsidR="00B8168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102" w:right="1127" w:bottom="1673" w:left="1277" w:header="680" w:footer="112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51A9" w:rsidRDefault="00A451A9">
      <w:pPr>
        <w:spacing w:after="0" w:line="240" w:lineRule="auto"/>
      </w:pPr>
      <w:r>
        <w:separator/>
      </w:r>
    </w:p>
  </w:endnote>
  <w:endnote w:type="continuationSeparator" w:id="0">
    <w:p w:rsidR="00A451A9" w:rsidRDefault="00A45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0" w:right="3" w:firstLine="0"/>
      <w:jc w:val="right"/>
    </w:pPr>
    <w:r>
      <w:rPr>
        <w:rFonts w:ascii="Arial" w:eastAsia="Arial" w:hAnsi="Arial" w:cs="Arial"/>
        <w:sz w:val="16"/>
      </w:rPr>
      <w:t xml:space="preserve">Strona | </w:t>
    </w:r>
    <w:r>
      <w:rPr>
        <w:rFonts w:ascii="Arial" w:eastAsia="Arial" w:hAnsi="Arial" w:cs="Arial"/>
        <w:sz w:val="16"/>
      </w:rPr>
      <w:fldChar w:fldCharType="begin"/>
    </w:r>
    <w:r>
      <w:rPr>
        <w:rFonts w:ascii="Arial" w:eastAsia="Arial" w:hAnsi="Arial" w:cs="Arial"/>
        <w:sz w:val="16"/>
      </w:rPr>
      <w:instrText xml:space="preserve"> PAGE   \* MERGEFORMAT </w:instrText>
    </w:r>
    <w:r>
      <w:rPr>
        <w:rFonts w:ascii="Arial" w:eastAsia="Arial" w:hAnsi="Arial" w:cs="Arial"/>
        <w:sz w:val="16"/>
      </w:rPr>
      <w:fldChar w:fldCharType="separate"/>
    </w:r>
    <w:r>
      <w:rPr>
        <w:rFonts w:ascii="Arial" w:eastAsia="Arial" w:hAnsi="Arial" w:cs="Arial"/>
        <w:sz w:val="16"/>
      </w:rPr>
      <w:t>1</w:t>
    </w:r>
    <w:r>
      <w:rPr>
        <w:rFonts w:ascii="Arial" w:eastAsia="Arial" w:hAnsi="Arial" w:cs="Arial"/>
        <w:sz w:val="16"/>
      </w:rPr>
      <w:fldChar w:fldCharType="end"/>
    </w:r>
    <w:r>
      <w:rPr>
        <w:sz w:val="22"/>
      </w:rPr>
      <w:t xml:space="preserve">  </w:t>
    </w:r>
  </w:p>
  <w:p w:rsidR="00B8168C" w:rsidRDefault="00EE3F52">
    <w:pPr>
      <w:spacing w:after="0" w:line="259" w:lineRule="auto"/>
      <w:ind w:left="0" w:right="0" w:firstLine="0"/>
      <w:jc w:val="left"/>
    </w:pPr>
    <w:r>
      <w:rPr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0" w:right="3" w:firstLine="0"/>
      <w:jc w:val="right"/>
    </w:pPr>
    <w:r>
      <w:rPr>
        <w:rFonts w:ascii="Arial" w:eastAsia="Arial" w:hAnsi="Arial" w:cs="Arial"/>
        <w:sz w:val="16"/>
      </w:rPr>
      <w:t xml:space="preserve">Strona | </w:t>
    </w:r>
    <w:r>
      <w:rPr>
        <w:rFonts w:ascii="Arial" w:eastAsia="Arial" w:hAnsi="Arial" w:cs="Arial"/>
        <w:sz w:val="16"/>
      </w:rPr>
      <w:fldChar w:fldCharType="begin"/>
    </w:r>
    <w:r>
      <w:rPr>
        <w:rFonts w:ascii="Arial" w:eastAsia="Arial" w:hAnsi="Arial" w:cs="Arial"/>
        <w:sz w:val="16"/>
      </w:rPr>
      <w:instrText xml:space="preserve"> PAGE   \* MERGEFORMAT </w:instrText>
    </w:r>
    <w:r>
      <w:rPr>
        <w:rFonts w:ascii="Arial" w:eastAsia="Arial" w:hAnsi="Arial" w:cs="Arial"/>
        <w:sz w:val="16"/>
      </w:rPr>
      <w:fldChar w:fldCharType="separate"/>
    </w:r>
    <w:r>
      <w:rPr>
        <w:rFonts w:ascii="Arial" w:eastAsia="Arial" w:hAnsi="Arial" w:cs="Arial"/>
        <w:sz w:val="16"/>
      </w:rPr>
      <w:t>1</w:t>
    </w:r>
    <w:r>
      <w:rPr>
        <w:rFonts w:ascii="Arial" w:eastAsia="Arial" w:hAnsi="Arial" w:cs="Arial"/>
        <w:sz w:val="16"/>
      </w:rPr>
      <w:fldChar w:fldCharType="end"/>
    </w:r>
    <w:r>
      <w:rPr>
        <w:sz w:val="22"/>
      </w:rPr>
      <w:t xml:space="preserve">  </w:t>
    </w:r>
  </w:p>
  <w:p w:rsidR="00B8168C" w:rsidRDefault="00EE3F52">
    <w:pPr>
      <w:spacing w:after="0" w:line="259" w:lineRule="auto"/>
      <w:ind w:left="0" w:right="0" w:firstLine="0"/>
      <w:jc w:val="left"/>
    </w:pPr>
    <w:r>
      <w:rPr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0" w:right="3" w:firstLine="0"/>
      <w:jc w:val="right"/>
    </w:pPr>
    <w:r>
      <w:rPr>
        <w:rFonts w:ascii="Arial" w:eastAsia="Arial" w:hAnsi="Arial" w:cs="Arial"/>
        <w:sz w:val="16"/>
      </w:rPr>
      <w:t xml:space="preserve">Strona | </w:t>
    </w:r>
    <w:r>
      <w:rPr>
        <w:rFonts w:ascii="Arial" w:eastAsia="Arial" w:hAnsi="Arial" w:cs="Arial"/>
        <w:sz w:val="16"/>
      </w:rPr>
      <w:fldChar w:fldCharType="begin"/>
    </w:r>
    <w:r>
      <w:rPr>
        <w:rFonts w:ascii="Arial" w:eastAsia="Arial" w:hAnsi="Arial" w:cs="Arial"/>
        <w:sz w:val="16"/>
      </w:rPr>
      <w:instrText xml:space="preserve"> PAGE   \* MERGEFORMAT </w:instrText>
    </w:r>
    <w:r>
      <w:rPr>
        <w:rFonts w:ascii="Arial" w:eastAsia="Arial" w:hAnsi="Arial" w:cs="Arial"/>
        <w:sz w:val="16"/>
      </w:rPr>
      <w:fldChar w:fldCharType="separate"/>
    </w:r>
    <w:r>
      <w:rPr>
        <w:rFonts w:ascii="Arial" w:eastAsia="Arial" w:hAnsi="Arial" w:cs="Arial"/>
        <w:sz w:val="16"/>
      </w:rPr>
      <w:t>1</w:t>
    </w:r>
    <w:r>
      <w:rPr>
        <w:rFonts w:ascii="Arial" w:eastAsia="Arial" w:hAnsi="Arial" w:cs="Arial"/>
        <w:sz w:val="16"/>
      </w:rPr>
      <w:fldChar w:fldCharType="end"/>
    </w:r>
    <w:r>
      <w:rPr>
        <w:sz w:val="22"/>
      </w:rPr>
      <w:t xml:space="preserve">  </w:t>
    </w:r>
  </w:p>
  <w:p w:rsidR="00B8168C" w:rsidRDefault="00EE3F52">
    <w:pPr>
      <w:spacing w:after="0" w:line="259" w:lineRule="auto"/>
      <w:ind w:left="0" w:right="0" w:firstLine="0"/>
      <w:jc w:val="left"/>
    </w:pPr>
    <w:r>
      <w:rPr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51A9" w:rsidRDefault="00A451A9">
      <w:pPr>
        <w:spacing w:after="0" w:line="240" w:lineRule="auto"/>
      </w:pPr>
      <w:r>
        <w:separator/>
      </w:r>
    </w:p>
  </w:footnote>
  <w:footnote w:type="continuationSeparator" w:id="0">
    <w:p w:rsidR="00A451A9" w:rsidRDefault="00A45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-1" w:right="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810260</wp:posOffset>
          </wp:positionH>
          <wp:positionV relativeFrom="page">
            <wp:posOffset>574675</wp:posOffset>
          </wp:positionV>
          <wp:extent cx="1666875" cy="733425"/>
          <wp:effectExtent l="0" t="0" r="0" b="0"/>
          <wp:wrapSquare wrapText="bothSides"/>
          <wp:docPr id="15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68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5193284</wp:posOffset>
          </wp:positionH>
          <wp:positionV relativeFrom="page">
            <wp:posOffset>431800</wp:posOffset>
          </wp:positionV>
          <wp:extent cx="1609725" cy="876300"/>
          <wp:effectExtent l="0" t="0" r="0" b="0"/>
          <wp:wrapSquare wrapText="bothSides"/>
          <wp:docPr id="18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09725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2"/>
      </w:rPr>
      <w:t xml:space="preserve">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-1" w:right="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810260</wp:posOffset>
          </wp:positionH>
          <wp:positionV relativeFrom="page">
            <wp:posOffset>574675</wp:posOffset>
          </wp:positionV>
          <wp:extent cx="1666875" cy="733425"/>
          <wp:effectExtent l="0" t="0" r="0" b="0"/>
          <wp:wrapSquare wrapText="bothSides"/>
          <wp:docPr id="1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68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0">
          <wp:simplePos x="0" y="0"/>
          <wp:positionH relativeFrom="page">
            <wp:posOffset>5193284</wp:posOffset>
          </wp:positionH>
          <wp:positionV relativeFrom="page">
            <wp:posOffset>431800</wp:posOffset>
          </wp:positionV>
          <wp:extent cx="1609725" cy="876300"/>
          <wp:effectExtent l="0" t="0" r="0" b="0"/>
          <wp:wrapSquare wrapText="bothSides"/>
          <wp:docPr id="2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09725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2"/>
      </w:rPr>
      <w:t xml:space="preserve">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68C" w:rsidRDefault="00EE3F52">
    <w:pPr>
      <w:spacing w:after="0" w:line="259" w:lineRule="auto"/>
      <w:ind w:left="-1" w:right="0" w:firstLine="0"/>
      <w:jc w:val="left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810260</wp:posOffset>
          </wp:positionH>
          <wp:positionV relativeFrom="page">
            <wp:posOffset>574675</wp:posOffset>
          </wp:positionV>
          <wp:extent cx="1666875" cy="733425"/>
          <wp:effectExtent l="0" t="0" r="0" b="0"/>
          <wp:wrapSquare wrapText="bothSides"/>
          <wp:docPr id="3" name="Picture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68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0">
          <wp:simplePos x="0" y="0"/>
          <wp:positionH relativeFrom="page">
            <wp:posOffset>5193284</wp:posOffset>
          </wp:positionH>
          <wp:positionV relativeFrom="page">
            <wp:posOffset>431800</wp:posOffset>
          </wp:positionV>
          <wp:extent cx="1609725" cy="876300"/>
          <wp:effectExtent l="0" t="0" r="0" b="0"/>
          <wp:wrapSquare wrapText="bothSides"/>
          <wp:docPr id="4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09725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2"/>
      </w:rPr>
      <w:t xml:space="preserve">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3C2A20"/>
    <w:multiLevelType w:val="hybridMultilevel"/>
    <w:tmpl w:val="A6045392"/>
    <w:lvl w:ilvl="0" w:tplc="973C87E0">
      <w:start w:val="1"/>
      <w:numFmt w:val="bullet"/>
      <w:lvlText w:val="•"/>
      <w:lvlJc w:val="left"/>
      <w:pPr>
        <w:ind w:left="7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D3AC6D0">
      <w:start w:val="1"/>
      <w:numFmt w:val="bullet"/>
      <w:lvlText w:val="o"/>
      <w:lvlJc w:val="left"/>
      <w:pPr>
        <w:ind w:left="14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6A45B72">
      <w:start w:val="1"/>
      <w:numFmt w:val="bullet"/>
      <w:lvlText w:val="▪"/>
      <w:lvlJc w:val="left"/>
      <w:pPr>
        <w:ind w:left="21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726AF48">
      <w:start w:val="1"/>
      <w:numFmt w:val="bullet"/>
      <w:lvlText w:val="•"/>
      <w:lvlJc w:val="left"/>
      <w:pPr>
        <w:ind w:left="2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AF45394">
      <w:start w:val="1"/>
      <w:numFmt w:val="bullet"/>
      <w:lvlText w:val="o"/>
      <w:lvlJc w:val="left"/>
      <w:pPr>
        <w:ind w:left="35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FE8613E">
      <w:start w:val="1"/>
      <w:numFmt w:val="bullet"/>
      <w:lvlText w:val="▪"/>
      <w:lvlJc w:val="left"/>
      <w:pPr>
        <w:ind w:left="43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6549F98">
      <w:start w:val="1"/>
      <w:numFmt w:val="bullet"/>
      <w:lvlText w:val="•"/>
      <w:lvlJc w:val="left"/>
      <w:pPr>
        <w:ind w:left="50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CF2BF16">
      <w:start w:val="1"/>
      <w:numFmt w:val="bullet"/>
      <w:lvlText w:val="o"/>
      <w:lvlJc w:val="left"/>
      <w:pPr>
        <w:ind w:left="57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38C5BAE">
      <w:start w:val="1"/>
      <w:numFmt w:val="bullet"/>
      <w:lvlText w:val="▪"/>
      <w:lvlJc w:val="left"/>
      <w:pPr>
        <w:ind w:left="64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BB02727"/>
    <w:multiLevelType w:val="hybridMultilevel"/>
    <w:tmpl w:val="80B05CBA"/>
    <w:lvl w:ilvl="0" w:tplc="CCAA1834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CCB4B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63EF19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B8E60B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7E8BF1E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00A2A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662B2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384AA4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C24512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EC16C5C"/>
    <w:multiLevelType w:val="hybridMultilevel"/>
    <w:tmpl w:val="8222F17C"/>
    <w:lvl w:ilvl="0" w:tplc="A858E344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E7A1A16">
      <w:start w:val="1"/>
      <w:numFmt w:val="lowerLetter"/>
      <w:lvlText w:val="%2"/>
      <w:lvlJc w:val="left"/>
      <w:pPr>
        <w:ind w:left="6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050F57C">
      <w:start w:val="1"/>
      <w:numFmt w:val="lowerLetter"/>
      <w:lvlRestart w:val="0"/>
      <w:lvlText w:val="%3)"/>
      <w:lvlJc w:val="left"/>
      <w:pPr>
        <w:ind w:left="10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8A0DD5E">
      <w:start w:val="1"/>
      <w:numFmt w:val="decimal"/>
      <w:lvlText w:val="%4"/>
      <w:lvlJc w:val="left"/>
      <w:pPr>
        <w:ind w:left="17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21C1182">
      <w:start w:val="1"/>
      <w:numFmt w:val="lowerLetter"/>
      <w:lvlText w:val="%5"/>
      <w:lvlJc w:val="left"/>
      <w:pPr>
        <w:ind w:left="24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C06607C">
      <w:start w:val="1"/>
      <w:numFmt w:val="lowerRoman"/>
      <w:lvlText w:val="%6"/>
      <w:lvlJc w:val="left"/>
      <w:pPr>
        <w:ind w:left="31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1D0C10A">
      <w:start w:val="1"/>
      <w:numFmt w:val="decimal"/>
      <w:lvlText w:val="%7"/>
      <w:lvlJc w:val="left"/>
      <w:pPr>
        <w:ind w:left="38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976C86A">
      <w:start w:val="1"/>
      <w:numFmt w:val="lowerLetter"/>
      <w:lvlText w:val="%8"/>
      <w:lvlJc w:val="left"/>
      <w:pPr>
        <w:ind w:left="46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04657FC">
      <w:start w:val="1"/>
      <w:numFmt w:val="lowerRoman"/>
      <w:lvlText w:val="%9"/>
      <w:lvlJc w:val="left"/>
      <w:pPr>
        <w:ind w:left="53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F086EF5"/>
    <w:multiLevelType w:val="hybridMultilevel"/>
    <w:tmpl w:val="0AB2C4E8"/>
    <w:lvl w:ilvl="0" w:tplc="943C5020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79800C8">
      <w:start w:val="1"/>
      <w:numFmt w:val="decimal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0661B0C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1465860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0026F5E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B8026F4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DEC560E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2B037FA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8EED0D2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E5600D8"/>
    <w:multiLevelType w:val="hybridMultilevel"/>
    <w:tmpl w:val="223CA2D2"/>
    <w:lvl w:ilvl="0" w:tplc="CDC6A83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AE78E6">
      <w:start w:val="1"/>
      <w:numFmt w:val="lowerLetter"/>
      <w:lvlRestart w:val="0"/>
      <w:lvlText w:val="%2)"/>
      <w:lvlJc w:val="left"/>
      <w:pPr>
        <w:ind w:left="1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2A0952">
      <w:start w:val="1"/>
      <w:numFmt w:val="lowerRoman"/>
      <w:lvlText w:val="%3"/>
      <w:lvlJc w:val="left"/>
      <w:pPr>
        <w:ind w:left="17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204562A">
      <w:start w:val="1"/>
      <w:numFmt w:val="decimal"/>
      <w:lvlText w:val="%4"/>
      <w:lvlJc w:val="left"/>
      <w:pPr>
        <w:ind w:left="25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1EA38EE">
      <w:start w:val="1"/>
      <w:numFmt w:val="lowerLetter"/>
      <w:lvlText w:val="%5"/>
      <w:lvlJc w:val="left"/>
      <w:pPr>
        <w:ind w:left="32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D6C440">
      <w:start w:val="1"/>
      <w:numFmt w:val="lowerRoman"/>
      <w:lvlText w:val="%6"/>
      <w:lvlJc w:val="left"/>
      <w:pPr>
        <w:ind w:left="39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8A274D4">
      <w:start w:val="1"/>
      <w:numFmt w:val="decimal"/>
      <w:lvlText w:val="%7"/>
      <w:lvlJc w:val="left"/>
      <w:pPr>
        <w:ind w:left="46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F46B3A4">
      <w:start w:val="1"/>
      <w:numFmt w:val="lowerLetter"/>
      <w:lvlText w:val="%8"/>
      <w:lvlJc w:val="left"/>
      <w:pPr>
        <w:ind w:left="53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7B6B824">
      <w:start w:val="1"/>
      <w:numFmt w:val="lowerRoman"/>
      <w:lvlText w:val="%9"/>
      <w:lvlJc w:val="left"/>
      <w:pPr>
        <w:ind w:left="61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68C"/>
    <w:rsid w:val="002A2A93"/>
    <w:rsid w:val="0055200E"/>
    <w:rsid w:val="00A451A9"/>
    <w:rsid w:val="00B8168C"/>
    <w:rsid w:val="00EE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81AAE0-FD49-4221-AB77-3F28C64D6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151" w:line="361" w:lineRule="auto"/>
      <w:ind w:left="368" w:right="6" w:hanging="368"/>
      <w:jc w:val="both"/>
    </w:pPr>
    <w:rPr>
      <w:rFonts w:ascii="Calibri" w:eastAsia="Calibri" w:hAnsi="Calibri" w:cs="Calibri"/>
      <w:color w:val="00000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Stefaniuk</dc:creator>
  <cp:keywords/>
  <cp:lastModifiedBy>Paulina Kowalska</cp:lastModifiedBy>
  <cp:revision>2</cp:revision>
  <dcterms:created xsi:type="dcterms:W3CDTF">2025-03-31T10:17:00Z</dcterms:created>
  <dcterms:modified xsi:type="dcterms:W3CDTF">2025-03-31T10:17:00Z</dcterms:modified>
</cp:coreProperties>
</file>