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C285E96" w14:textId="729602F9" w:rsidR="00807A44" w:rsidRPr="008E561C" w:rsidRDefault="00945D19" w:rsidP="00807A4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281853" w:rsidRPr="002818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 remont klatki B budynku przy ul. Modrzejewskiej 20 w Świnoujściu wraz z zagospodarowaniem terenu</w:t>
      </w:r>
      <w:r w:rsidRPr="008E56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0EBF43A1" w14:textId="139416BE" w:rsidR="00CD40B1" w:rsidRPr="00281853" w:rsidRDefault="00CD40B1" w:rsidP="00406E2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281853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przesłanki wykluczenia zawarte w art. 108 ust. 1 pkt 1-6</w:t>
      </w:r>
      <w:r w:rsidR="6833E6F9" w:rsidRPr="00281853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</w:t>
      </w:r>
      <w:r w:rsidR="00B30D1C" w:rsidRPr="00281853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U</w:t>
      </w:r>
      <w:r w:rsidR="6833E6F9" w:rsidRPr="00281853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stawy</w:t>
      </w:r>
      <w:r w:rsidRPr="00281853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, tj.:</w:t>
      </w:r>
    </w:p>
    <w:p w14:paraId="5A923F58" w14:textId="77777777" w:rsidR="00CD40B1" w:rsidRPr="00E568AE" w:rsidRDefault="00CD40B1" w:rsidP="00406E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 postępowania o udzielenie zamówienia wyklucza się wykonawcę:</w:t>
      </w:r>
    </w:p>
    <w:p w14:paraId="3794F43A" w14:textId="77777777" w:rsidR="00CD40B1" w:rsidRDefault="00CD40B1" w:rsidP="00281853">
      <w:pPr>
        <w:pStyle w:val="Bezodstpw"/>
        <w:numPr>
          <w:ilvl w:val="0"/>
          <w:numId w:val="16"/>
        </w:numPr>
        <w:spacing w:line="276" w:lineRule="auto"/>
        <w:ind w:left="567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będącego osobą fizyczną, którego prawomocnie skazano za przestępstwo:</w:t>
      </w:r>
    </w:p>
    <w:p w14:paraId="686A2611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udziału w zorganizowanej grupie przestępczej albo związku mającym na celu popełnienie przestępstwa lub przestępstwa skarbowego, o którym mowa w art. 258 Kodeksu karnego,</w:t>
      </w:r>
    </w:p>
    <w:p w14:paraId="4B434194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handlu ludźmi, o którym mowa w art. 189a Kodeksu karnego,</w:t>
      </w:r>
    </w:p>
    <w:p w14:paraId="6E3797B7" w14:textId="370C1AAA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228–230a, art. 250a Kodeksu karnego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w art. 46 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-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 48 </w:t>
      </w:r>
      <w:r w:rsidR="00B30D1C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stawy z</w:t>
      </w:r>
      <w:r w:rsidR="00406E22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dnia 25 czerwca 2010 r. o sporcie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(Dz. U. z 2020 poz. 1133 oraz z 2021 r. poz. 2054) lub w art. 54 ust. 1-4 </w:t>
      </w:r>
      <w:r w:rsidR="00B30D1C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stawy z dnia 12 maja 2011 r. o refundacji leków</w:t>
      </w:r>
      <w:r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środków spożywczych specjalnego przeznaczenia żywieniowego oraz wyrobów medycznych (Dz. U. z 2021 r. poz. 523, 1292, 1559 i 2054), </w:t>
      </w:r>
    </w:p>
    <w:p w14:paraId="65C43639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3611488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lastRenderedPageBreak/>
        <w:t>o charakterze terrorystycznym, o którym mowa w art. 115 § 20 Kodeksu karnego, lub mające na celu popełnienie tego przestępstwa,</w:t>
      </w:r>
    </w:p>
    <w:p w14:paraId="2E5D677F" w14:textId="09F12F7C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bCs/>
          <w:sz w:val="24"/>
          <w:szCs w:val="24"/>
          <w:lang w:eastAsia="en-US" w:bidi="en-US"/>
        </w:rPr>
        <w:t>powierzenia wykonywania pracy małoletniemu cudzoziemcowi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</w:t>
      </w:r>
      <w:r w:rsidR="00C70E5C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oraz z 2020 r. poz. 2023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),</w:t>
      </w:r>
    </w:p>
    <w:p w14:paraId="50582E8E" w14:textId="77777777" w:rsidR="00CD40B1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1FED8FF" w14:textId="77777777" w:rsidR="00CD40B1" w:rsidRPr="007331C6" w:rsidRDefault="00CD40B1" w:rsidP="00406E22">
      <w:pPr>
        <w:pStyle w:val="Bezodstpw"/>
        <w:numPr>
          <w:ilvl w:val="0"/>
          <w:numId w:val="17"/>
        </w:numPr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8D79F8F" w14:textId="76D80699" w:rsidR="00CD40B1" w:rsidRDefault="00406E22" w:rsidP="00406E22">
      <w:pPr>
        <w:pStyle w:val="Bezodstpw"/>
        <w:spacing w:line="276" w:lineRule="auto"/>
        <w:ind w:left="851" w:hanging="492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 </w:t>
      </w:r>
      <w:r w:rsidR="00CD40B1"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</w:t>
      </w:r>
      <w:r w:rsidR="00CD40B1"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lub za odpowiedni czyn zabroniony określony w przepisach prawa obcego;</w:t>
      </w:r>
    </w:p>
    <w:p w14:paraId="5310DA29" w14:textId="1594930C" w:rsidR="00CD40B1" w:rsidRPr="007331C6" w:rsidRDefault="00CD40B1" w:rsidP="00281853">
      <w:pPr>
        <w:pStyle w:val="Bezodstpw"/>
        <w:numPr>
          <w:ilvl w:val="0"/>
          <w:numId w:val="16"/>
        </w:numPr>
        <w:spacing w:line="276" w:lineRule="auto"/>
        <w:ind w:left="567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</w:t>
      </w:r>
      <w:r w:rsidR="0028185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którym mowa w pkt 1;</w:t>
      </w:r>
    </w:p>
    <w:p w14:paraId="488E2CFD" w14:textId="10D7C97F" w:rsidR="00CD40B1" w:rsidRPr="007331C6" w:rsidRDefault="00CD40B1" w:rsidP="00281853">
      <w:pPr>
        <w:pStyle w:val="Bezodstpw"/>
        <w:numPr>
          <w:ilvl w:val="0"/>
          <w:numId w:val="16"/>
        </w:numPr>
        <w:spacing w:line="276" w:lineRule="auto"/>
        <w:ind w:left="567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160B470" w14:textId="77777777" w:rsidR="00CD40B1" w:rsidRPr="007331C6" w:rsidRDefault="00CD40B1" w:rsidP="00281853">
      <w:pPr>
        <w:pStyle w:val="Bezodstpw"/>
        <w:numPr>
          <w:ilvl w:val="0"/>
          <w:numId w:val="16"/>
        </w:numPr>
        <w:spacing w:line="276" w:lineRule="auto"/>
        <w:ind w:left="567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wobec którego </w:t>
      </w:r>
      <w:r w:rsidRPr="007331C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45F6EDF3" w14:textId="0C6E1C8E" w:rsidR="00CD40B1" w:rsidRPr="007331C6" w:rsidRDefault="00CD40B1" w:rsidP="00281853">
      <w:pPr>
        <w:pStyle w:val="Bezodstpw"/>
        <w:numPr>
          <w:ilvl w:val="0"/>
          <w:numId w:val="16"/>
        </w:numPr>
        <w:spacing w:line="276" w:lineRule="auto"/>
        <w:ind w:left="567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konsumentów, złożyli odrębne ofert</w:t>
      </w:r>
      <w:r w:rsid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y, oferty częściowe lub wnioski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 dopuszczenie do udziału w postępowaniu, chyba że wykażą, że przygotowali te oferty lub wnioski niezależnie od siebie;</w:t>
      </w:r>
    </w:p>
    <w:p w14:paraId="2D136523" w14:textId="77777777" w:rsidR="00CD40B1" w:rsidRPr="007331C6" w:rsidRDefault="00CD40B1" w:rsidP="00281853">
      <w:pPr>
        <w:pStyle w:val="Bezodstpw"/>
        <w:numPr>
          <w:ilvl w:val="0"/>
          <w:numId w:val="16"/>
        </w:numPr>
        <w:spacing w:line="276" w:lineRule="auto"/>
        <w:ind w:left="567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C1BABBB" w14:textId="33D28A40" w:rsidR="00CD40B1" w:rsidRPr="00281853" w:rsidRDefault="00CD40B1" w:rsidP="00406E22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281853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przesłanki wykluczenia zawarte </w:t>
      </w:r>
      <w:r w:rsidRPr="0028185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en-US" w:bidi="en-US"/>
        </w:rPr>
        <w:t>w art. 109 ust. 1 pkt 4</w:t>
      </w:r>
      <w:r w:rsidR="108A4E5D" w:rsidRPr="0028185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</w:t>
      </w:r>
      <w:r w:rsidR="00B30D1C" w:rsidRPr="0028185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en-US" w:bidi="en-US"/>
        </w:rPr>
        <w:t>U</w:t>
      </w:r>
      <w:r w:rsidR="108A4E5D" w:rsidRPr="0028185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en-US" w:bidi="en-US"/>
        </w:rPr>
        <w:t>stawy</w:t>
      </w:r>
      <w:r w:rsidRPr="0028185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eastAsia="en-US" w:bidi="en-US"/>
        </w:rPr>
        <w:t>, tj.:</w:t>
      </w:r>
    </w:p>
    <w:p w14:paraId="2C9811BB" w14:textId="65F0C1FC" w:rsidR="00CD40B1" w:rsidRDefault="00CD40B1" w:rsidP="00406E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postępowania o udzielenie zamówienia zamawiający może wykluczyć </w:t>
      </w:r>
      <w:r w:rsidR="0040300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W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ykonawcę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stosunku do którego otwarto likwidację, ogłoszono upadłość, którego aktywami zarządza likwidator lub sąd, zawarł układ z wierzycielami, którego działalność gospodarcza jest zawieszona albo 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znajduj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się on w innej tego rodzaju sytuacji wynikającej z podobnej procedury przewidzianej w przepisach </w:t>
      </w:r>
      <w:r w:rsidR="00A3755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miejsca wszczęcia tej procedury.</w:t>
      </w:r>
    </w:p>
    <w:p w14:paraId="4D0C38E4" w14:textId="77777777" w:rsidR="00A37552" w:rsidRDefault="00A37552" w:rsidP="00A12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EF5027" w14:textId="5AC3A6D5" w:rsidR="00A37552" w:rsidRPr="00A37552" w:rsidRDefault="00A37552" w:rsidP="00406E22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853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Mając na uwadze przesłanki wykluczenia zawarte w art. 7 ust. 1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2818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Pr="002818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stawy </w:t>
      </w:r>
      <w:r w:rsidRPr="00281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13 kwietnia 2022 r. </w:t>
      </w:r>
      <w:r w:rsidRPr="002818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 szczególnych rozwiązaniach w  zakresie przeciwdziałania wspieraniu agresji na Ukrainę oraz służących ochronie bezpieczeństwa narodowego tj.:</w:t>
      </w:r>
    </w:p>
    <w:p w14:paraId="3FE2D364" w14:textId="738B96CD" w:rsidR="00A37552" w:rsidRPr="00A37552" w:rsidRDefault="00A37552" w:rsidP="00281853">
      <w:pPr>
        <w:pStyle w:val="Akapitzlist"/>
        <w:numPr>
          <w:ilvl w:val="3"/>
          <w:numId w:val="20"/>
        </w:numPr>
        <w:suppressAutoHyphens/>
        <w:spacing w:after="0" w:line="259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 wymienionego w wykazach określonych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="00281853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7BD47A64" w14:textId="2F3DB775" w:rsidR="00A37552" w:rsidRPr="00A37552" w:rsidRDefault="00A37552" w:rsidP="00281853">
      <w:pPr>
        <w:numPr>
          <w:ilvl w:val="3"/>
          <w:numId w:val="20"/>
        </w:numPr>
        <w:suppressAutoHyphens/>
        <w:spacing w:after="160" w:line="259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konkursu, którego beneficjentem rzeczywistym               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rozumieniu ustawy z dnia 1 marca 2018 r. o przeciwdziałaniu praniu pieniędzy oraz finansowaniu terroryzmu (Dz. U. z 2022 r. poz. 593 i 655) jest osoba wymieniona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</w:t>
      </w:r>
      <w:r w:rsidR="00B30D1C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>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471AB078" w14:textId="37EDA6D9" w:rsidR="00A37552" w:rsidRPr="00807A44" w:rsidRDefault="00A37552" w:rsidP="00281853">
      <w:pPr>
        <w:numPr>
          <w:ilvl w:val="3"/>
          <w:numId w:val="20"/>
        </w:numPr>
        <w:suppressAutoHyphens/>
        <w:spacing w:after="160" w:line="259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konkursu, którego jednostką dominującą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rozumieniu art. 3 ust. 1 pkt 37 ustawy z dnia 29 września 1994 r.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rachunkowości (Dz. U. z 2021 r. poz. 217, 2105 i 2106) jest podmiot wymieniony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w wykazach określ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onych w rozporządzeniu 765/2006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rozporządzeniu 269/2014 albo wpisany na listę lub będący taką jednostką dominującą od dnia 24 lutego 2022 r., o ile został wpisany na listę na podstawie decyzji w sprawie wpisu na listę rozstrzygającej </w:t>
      </w:r>
      <w:r w:rsidR="00406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="00A128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0ED02E1" w14:textId="5BE95D79" w:rsidR="00CD40B1" w:rsidRDefault="00CD40B1" w:rsidP="00CD40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4D252C1C" w14:textId="77777777" w:rsidR="00281853" w:rsidRDefault="00281853" w:rsidP="00406E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F106AA4" w14:textId="3E0DAEA2" w:rsidR="00CD40B1" w:rsidRDefault="00CD40B1" w:rsidP="00406E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OŚWIADCZAM, 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:</w:t>
      </w:r>
    </w:p>
    <w:p w14:paraId="03D7C71C" w14:textId="4E830A39" w:rsidR="00CD40B1" w:rsidRPr="00281853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5D442447" w14:textId="249ED46A" w:rsidR="008A646D" w:rsidRPr="00807A44" w:rsidRDefault="00CD40B1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740F39B" w14:textId="393732DA" w:rsidR="00CD40B1" w:rsidRPr="00425962" w:rsidRDefault="00CD40B1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(podać mającą zastosowanie podstawę wykluczenia spośród wymienionych w art. 108 ust. 1 pkt 1-6</w:t>
      </w:r>
      <w:r w:rsidR="00A37552"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;</w:t>
      </w:r>
      <w:r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 art. 109 ust. 1 pkt 4</w:t>
      </w:r>
      <w:r w:rsidR="7EE5DBA9"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U</w:t>
      </w:r>
      <w:r w:rsidR="7EE5DBA9"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stawy</w:t>
      </w:r>
      <w:r w:rsidRPr="49B4AA9D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.</w:t>
      </w:r>
      <w:r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Jednocześnie oświadczam, że w związku z ww. okolicznością, na podstawie art. 110 ust. 2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321749D7" w14:textId="77777777" w:rsidR="00425962" w:rsidRPr="00425962" w:rsidRDefault="00425962" w:rsidP="004259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61CE3588" w14:textId="77777777" w:rsidR="00CD40B1" w:rsidRPr="00E568AE" w:rsidRDefault="00CD40B1" w:rsidP="00406E22">
      <w:pPr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E8936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B6B8698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CAEF72C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lastRenderedPageBreak/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261A0EE8" w14:textId="77777777" w:rsidR="00281853" w:rsidRDefault="00281853" w:rsidP="00406E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5A8CBE5" w14:textId="143E88AA" w:rsidR="00CD40B1" w:rsidRDefault="00CD40B1" w:rsidP="00406E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47A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>PONADTO OŚWIADCZAM, ŻE:</w:t>
      </w:r>
    </w:p>
    <w:p w14:paraId="50BAA0DD" w14:textId="77777777" w:rsidR="00281853" w:rsidRDefault="00281853" w:rsidP="00406E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7A2D534" w14:textId="77777777" w:rsidR="00CD40B1" w:rsidRPr="00406E22" w:rsidRDefault="00CD40B1" w:rsidP="00406E2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Na dzień składania ofert spełniam warunki udziału w postępowaniu dotyczące*:</w:t>
      </w:r>
    </w:p>
    <w:p w14:paraId="0CD9EA89" w14:textId="77777777" w:rsidR="00CD40B1" w:rsidRPr="00347A93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7FAB2B71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PKT </w:t>
      </w:r>
      <w:r w:rsidR="00C46AD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1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wykonawcę odpowiedniego podpunktu, w zakresie którego dany wykonawca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055E5125" w:rsidR="00CD40B1" w:rsidRPr="00406E22" w:rsidRDefault="00CD40B1" w:rsidP="00406E2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W celu wykazania spełniania warunków udziału w postępowaniu, określonych przez Zamawiającego w </w:t>
      </w:r>
      <w:r w:rsidR="00B41BC7"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ogłoszeniu </w:t>
      </w:r>
      <w:r w:rsidRPr="00406E22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54E3DAE1" w14:textId="77777777" w:rsidR="00CD40B1" w:rsidRPr="00347A93" w:rsidRDefault="00CD40B1" w:rsidP="00CD40B1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3"/>
          <w:sz w:val="24"/>
          <w:szCs w:val="24"/>
          <w:lang w:eastAsia="en-US" w:bidi="en-US"/>
        </w:rPr>
      </w:pPr>
    </w:p>
    <w:p w14:paraId="6A65EB2F" w14:textId="6C3BD3AF" w:rsidR="00CD40B1" w:rsidRDefault="00406E22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Nazwa i adres podmiotu: </w:t>
      </w:r>
      <w:r w:rsidR="00CD40B1"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.………………………………………………………..</w:t>
      </w:r>
    </w:p>
    <w:p w14:paraId="75638AB9" w14:textId="77777777" w:rsidR="00406E22" w:rsidRPr="00406E22" w:rsidRDefault="00406E22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</w:p>
    <w:p w14:paraId="0677EF23" w14:textId="5005091F" w:rsidR="00CD40B1" w:rsidRPr="00406E22" w:rsidRDefault="00406E22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Udostępniane zasoby: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</w:t>
      </w:r>
    </w:p>
    <w:p w14:paraId="421DB7A1" w14:textId="77777777" w:rsidR="00CD40B1" w:rsidRDefault="00CD40B1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29ABB8A0" w:rsidR="00CD40B1" w:rsidRPr="00406E22" w:rsidRDefault="00CD40B1" w:rsidP="00406E2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  <w:t>W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024F7D49" w:rsidR="00CD40B1" w:rsidRDefault="00CD40B1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*wyrażam(-y)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2B83B932" w14:textId="77777777" w:rsidR="00425962" w:rsidRPr="00425962" w:rsidRDefault="00425962" w:rsidP="00425962">
      <w:pPr>
        <w:pStyle w:val="Akapitzlist"/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394E318F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*nie wyrażam (-y) zgody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21D0C0D3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2BA1C2C" w14:textId="77777777" w:rsidR="00281853" w:rsidRDefault="00281853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8D78E50" w14:textId="77777777" w:rsidR="00281853" w:rsidRPr="00E568AE" w:rsidRDefault="00281853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0822801" w14:textId="69B54A5B" w:rsidR="00CD40B1" w:rsidRDefault="00CD40B1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W przypadku wyrażenia zgody dokumenty te pobrać można pod adresami</w:t>
      </w:r>
      <w:r w:rsidR="006363F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D0B44F9" w14:textId="77777777" w:rsidR="006363F5" w:rsidRPr="00281853" w:rsidRDefault="006363F5" w:rsidP="006363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7031B309" w14:textId="3D33C551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C45A7E5" w14:textId="1AEE682B" w:rsidR="00CD40B1" w:rsidRPr="00406E2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https://ems.ms.gov.pl/</w:t>
      </w:r>
    </w:p>
    <w:p w14:paraId="629B979A" w14:textId="5B0F912C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746EDDC" w14:textId="471F085F" w:rsidR="00CD40B1" w:rsidRPr="00406E2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https://prod.ceidg.gov.pl; </w:t>
      </w:r>
    </w:p>
    <w:p w14:paraId="0715C1EC" w14:textId="77777777" w:rsidR="00406E22" w:rsidRDefault="00406E22" w:rsidP="006363F5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16FB420" w14:textId="4DCCACA5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  <w:r w:rsid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  <w:r w:rsid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</w:t>
      </w:r>
    </w:p>
    <w:p w14:paraId="655E1AC5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00813AD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635EE2D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3DFF22C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BC82A4C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425962" w:rsidRDefault="00425962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425962" w:rsidRDefault="0042596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425962" w:rsidRDefault="00425962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425962" w:rsidRDefault="00425962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425962" w:rsidRDefault="004259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7967FC6A" w:rsidR="00425962" w:rsidRPr="00786501" w:rsidRDefault="00425962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281853">
      <w:rPr>
        <w:rFonts w:ascii="Times New Roman" w:hAnsi="Times New Roman" w:cs="Times New Roman"/>
        <w:sz w:val="24"/>
        <w:szCs w:val="24"/>
      </w:rPr>
      <w:t>6</w:t>
    </w:r>
    <w:r w:rsidRPr="009F0B99">
      <w:rPr>
        <w:rFonts w:ascii="Times New Roman" w:hAnsi="Times New Roman" w:cs="Times New Roman"/>
        <w:sz w:val="24"/>
        <w:szCs w:val="24"/>
      </w:rPr>
      <w:t xml:space="preserve">a do SWZ nr </w:t>
    </w:r>
    <w:r w:rsidR="0033126D" w:rsidRPr="004E7E21">
      <w:rPr>
        <w:rFonts w:ascii="Times New Roman" w:eastAsia="Times New Roman" w:hAnsi="Times New Roman" w:cs="Times New Roman"/>
        <w:sz w:val="24"/>
      </w:rPr>
      <w:t>PZP.242</w:t>
    </w:r>
    <w:r w:rsidR="0033126D">
      <w:rPr>
        <w:rFonts w:ascii="Times New Roman" w:eastAsia="Times New Roman" w:hAnsi="Times New Roman" w:cs="Times New Roman"/>
        <w:sz w:val="24"/>
      </w:rPr>
      <w:t xml:space="preserve">.36.NB.2023 z dnia 5 kwietnia </w:t>
    </w:r>
    <w:r w:rsidR="0033126D" w:rsidRPr="004E7E21">
      <w:rPr>
        <w:rFonts w:ascii="Times New Roman" w:eastAsia="Times New Roman" w:hAnsi="Times New Roman" w:cs="Times New Roman"/>
        <w:sz w:val="24"/>
      </w:rPr>
      <w:t>2023 r.</w:t>
    </w:r>
    <w:r w:rsidRPr="009F0B99">
      <w:rPr>
        <w:rFonts w:ascii="Times New Roman" w:hAnsi="Times New Roman" w:cs="Times New Roman"/>
        <w:sz w:val="24"/>
        <w:szCs w:val="24"/>
      </w:rPr>
      <w:t xml:space="preserve">– </w:t>
    </w:r>
    <w:r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6F384D"/>
    <w:multiLevelType w:val="hybridMultilevel"/>
    <w:tmpl w:val="FFF853A0"/>
    <w:lvl w:ilvl="0" w:tplc="9BA0C8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6"/>
    <w:lvlOverride w:ilvl="0">
      <w:startOverride w:val="3"/>
    </w:lvlOverride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8"/>
  </w:num>
  <w:num w:numId="11">
    <w:abstractNumId w:val="15"/>
  </w:num>
  <w:num w:numId="12">
    <w:abstractNumId w:val="1"/>
  </w:num>
  <w:num w:numId="13">
    <w:abstractNumId w:val="6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  <w:num w:numId="20">
    <w:abstractNumId w:val="7"/>
  </w:num>
  <w:num w:numId="21">
    <w:abstractNumId w:val="10"/>
  </w:num>
  <w:num w:numId="22">
    <w:abstractNumId w:val="2"/>
  </w:num>
  <w:num w:numId="23">
    <w:abstractNumId w:val="0"/>
  </w:num>
  <w:num w:numId="24">
    <w:abstractNumId w:val="17"/>
  </w:num>
  <w:num w:numId="25">
    <w:abstractNumId w:val="19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07FE2"/>
    <w:rsid w:val="00515E21"/>
    <w:rsid w:val="00531E60"/>
    <w:rsid w:val="00535F77"/>
    <w:rsid w:val="005419CE"/>
    <w:rsid w:val="00561F9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E5ECD"/>
    <w:rsid w:val="00B0229E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7FDB-163E-4A6B-86B0-D450D054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30E6FF16</Template>
  <TotalTime>6</TotalTime>
  <Pages>5</Pages>
  <Words>1519</Words>
  <Characters>9115</Characters>
  <Application>Microsoft Office Word</Application>
  <DocSecurity>0</DocSecurity>
  <Lines>75</Lines>
  <Paragraphs>21</Paragraphs>
  <ScaleCrop>false</ScaleCrop>
  <Company>Dom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11</cp:revision>
  <cp:lastPrinted>2022-05-16T06:55:00Z</cp:lastPrinted>
  <dcterms:created xsi:type="dcterms:W3CDTF">2022-10-12T21:02:00Z</dcterms:created>
  <dcterms:modified xsi:type="dcterms:W3CDTF">2023-04-04T08:26:00Z</dcterms:modified>
</cp:coreProperties>
</file>