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0AD" w:rsidRDefault="003B10AD" w:rsidP="00436F96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 xml:space="preserve">Załącznik nr 2.1 – Kosztorys ofertowy </w:t>
      </w:r>
    </w:p>
    <w:p w:rsidR="003B10AD" w:rsidRDefault="003B10AD" w:rsidP="00436F96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F96" w:rsidRPr="00F33FBA" w:rsidRDefault="00503754" w:rsidP="00F33FBA">
      <w:pPr>
        <w:pStyle w:val="Akapitzlist"/>
        <w:spacing w:before="120" w:line="360" w:lineRule="auto"/>
        <w:ind w:left="0"/>
        <w:rPr>
          <w:b/>
          <w:sz w:val="24"/>
          <w:szCs w:val="24"/>
        </w:rPr>
      </w:pPr>
      <w:r>
        <w:rPr>
          <w:rFonts w:eastAsia="Times New Roman"/>
          <w:b/>
          <w:lang w:eastAsia="zh-CN"/>
        </w:rPr>
        <w:t xml:space="preserve">Część </w:t>
      </w:r>
      <w:r w:rsidR="004E4632">
        <w:rPr>
          <w:rFonts w:eastAsia="Times New Roman"/>
          <w:b/>
          <w:lang w:eastAsia="zh-CN"/>
        </w:rPr>
        <w:t xml:space="preserve">1 </w:t>
      </w:r>
      <w:r>
        <w:rPr>
          <w:rFonts w:eastAsia="Times New Roman"/>
          <w:b/>
          <w:lang w:eastAsia="zh-CN"/>
        </w:rPr>
        <w:t xml:space="preserve">- </w:t>
      </w:r>
      <w:r w:rsidR="005A1E36" w:rsidRPr="005A1E36">
        <w:rPr>
          <w:b/>
          <w:sz w:val="24"/>
          <w:szCs w:val="24"/>
        </w:rPr>
        <w:t>Odczynniki i akcesoria do izolacji DNA z krwi obwodowej</w:t>
      </w:r>
      <w:r w:rsidR="005A1E36">
        <w:rPr>
          <w:b/>
          <w:sz w:val="24"/>
          <w:szCs w:val="24"/>
        </w:rPr>
        <w:t xml:space="preserve"> </w:t>
      </w: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EC56BB" w:rsidRPr="00436F96" w:rsidTr="00F33FBA">
        <w:trPr>
          <w:trHeight w:val="111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56BB" w:rsidRPr="00436F96" w:rsidRDefault="00EC56BB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 w:rsidRPr="00436F96">
              <w:rPr>
                <w:rFonts w:eastAsia="Times New Roman"/>
                <w:b/>
                <w:sz w:val="20"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56BB" w:rsidRPr="00436F96" w:rsidRDefault="00EC56BB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 w:rsidRPr="00436F96">
              <w:rPr>
                <w:rFonts w:eastAsia="Times New Roman"/>
                <w:b/>
                <w:sz w:val="20"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56BB" w:rsidRPr="00436F96" w:rsidRDefault="00EC56BB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0"/>
                <w:lang w:eastAsia="zh-CN" w:bidi="hi-IN"/>
              </w:rPr>
            </w:pPr>
            <w:r w:rsidRPr="00436F96">
              <w:rPr>
                <w:rFonts w:eastAsia="Times New Roman"/>
                <w:b/>
                <w:sz w:val="20"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56BB" w:rsidRPr="00436F96" w:rsidRDefault="00EC56BB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0"/>
                <w:lang w:eastAsia="zh-CN" w:bidi="hi-IN"/>
              </w:rPr>
            </w:pPr>
            <w:r>
              <w:rPr>
                <w:rFonts w:eastAsia="Times New Roman"/>
                <w:b/>
                <w:sz w:val="20"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56BB" w:rsidRPr="00436F96" w:rsidRDefault="00EC56BB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 w:rsidRPr="00436F96">
              <w:rPr>
                <w:rFonts w:eastAsia="Times New Roman"/>
                <w:b/>
                <w:sz w:val="20"/>
                <w:lang w:eastAsia="zh-CN" w:bidi="hi-IN"/>
              </w:rPr>
              <w:t xml:space="preserve">Cena jedn. </w:t>
            </w:r>
            <w:r>
              <w:rPr>
                <w:rFonts w:eastAsia="Times New Roman"/>
                <w:b/>
                <w:sz w:val="20"/>
                <w:lang w:eastAsia="zh-CN" w:bidi="hi-IN"/>
              </w:rPr>
              <w:t>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C56BB" w:rsidRPr="00436F96" w:rsidRDefault="00EC56BB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 w:rsidRPr="00436F96">
              <w:rPr>
                <w:rFonts w:eastAsia="Times New Roman"/>
                <w:b/>
                <w:sz w:val="20"/>
                <w:lang w:eastAsia="zh-CN" w:bidi="hi-IN"/>
              </w:rPr>
              <w:t>Wartość brutto*</w:t>
            </w:r>
          </w:p>
          <w:p w:rsidR="00EC56BB" w:rsidRPr="00436F96" w:rsidRDefault="00EC56BB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C56BB" w:rsidRDefault="00EC56BB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  <w:p w:rsidR="00EC56BB" w:rsidRPr="00436F96" w:rsidRDefault="00EC56BB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rFonts w:eastAsia="Times New Roman"/>
                <w:b/>
                <w:sz w:val="20"/>
                <w:lang w:eastAsia="zh-CN" w:bidi="hi-IN"/>
              </w:rPr>
              <w:t>Producent</w:t>
            </w:r>
            <w:r w:rsidRPr="00436F96">
              <w:rPr>
                <w:rFonts w:eastAsia="Times New Roman"/>
                <w:b/>
                <w:sz w:val="20"/>
                <w:lang w:eastAsia="zh-CN" w:bidi="hi-IN"/>
              </w:rPr>
              <w:t>/nazwa handlowa/numer katalogowy (jeśli dotyczy)</w:t>
            </w:r>
            <w:r>
              <w:rPr>
                <w:rFonts w:eastAsia="Times New Roman"/>
                <w:b/>
                <w:sz w:val="20"/>
                <w:lang w:eastAsia="zh-CN" w:bidi="hi-IN"/>
              </w:rPr>
              <w:t>*</w:t>
            </w:r>
          </w:p>
        </w:tc>
      </w:tr>
      <w:tr w:rsidR="005A1E36" w:rsidRPr="004368AB" w:rsidTr="00F33FBA">
        <w:trPr>
          <w:trHeight w:val="578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1E36" w:rsidRPr="004368AB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sz w:val="20"/>
                <w:lang w:eastAsia="zh-CN" w:bidi="hi-IN"/>
              </w:rPr>
              <w:t>ODCZYNNIKI ZUŻYWALNE</w:t>
            </w:r>
          </w:p>
        </w:tc>
      </w:tr>
      <w:tr w:rsidR="00855F39" w:rsidRPr="004368AB" w:rsidTr="005A1E36">
        <w:trPr>
          <w:trHeight w:val="112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855F39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lang w:eastAsia="zh-CN" w:bidi="hi-IN"/>
              </w:rPr>
              <w:t>1</w:t>
            </w:r>
            <w:r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5A1E36" w:rsidP="00FF4BF3">
            <w:pPr>
              <w:suppressAutoHyphens/>
              <w:autoSpaceDN w:val="0"/>
              <w:spacing w:after="0" w:line="240" w:lineRule="auto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sz w:val="24"/>
              </w:rPr>
              <w:t xml:space="preserve">Zestaw odczynników do izolacji genomowego DNA z krwi obwodowej, z </w:t>
            </w:r>
            <w:r>
              <w:rPr>
                <w:sz w:val="24"/>
              </w:rPr>
              <w:tab/>
              <w:t xml:space="preserve">certyfikatem IVD, do użycia na aparacie MagNA Pure 24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5A1E36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</w:t>
            </w:r>
            <w:r w:rsidRPr="005A1E36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5A1E36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 w:rsidRPr="005A1E36"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28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855F39" w:rsidRPr="004368AB" w:rsidTr="00F33FBA">
        <w:trPr>
          <w:trHeight w:val="97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855F39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BF3" w:rsidRDefault="005A1E36" w:rsidP="00FF4BF3">
            <w:pPr>
              <w:pStyle w:val="Akapitzlist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Zestaw kulek magnetycznych do izolacji DNA metodą automatyczną na aparacie MagNA Pure 24 </w:t>
            </w:r>
          </w:p>
          <w:p w:rsidR="00855F39" w:rsidRPr="005A1E36" w:rsidRDefault="005A1E36" w:rsidP="00FF4BF3">
            <w:pPr>
              <w:pStyle w:val="Akapitzlist"/>
              <w:spacing w:line="276" w:lineRule="auto"/>
              <w:ind w:left="0"/>
              <w:rPr>
                <w:sz w:val="24"/>
              </w:rPr>
            </w:pPr>
            <w:r w:rsidRPr="00705DD5">
              <w:rPr>
                <w:sz w:val="24"/>
              </w:rPr>
              <w:t xml:space="preserve"> </w:t>
            </w:r>
            <w:r w:rsidRPr="00823880">
              <w:rPr>
                <w:sz w:val="24"/>
              </w:rPr>
              <w:t>( 1 op. = 12 fiolek)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5A1E36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5A1E36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5A1E36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A1E36" w:rsidRPr="004368AB" w:rsidTr="005A1E36">
        <w:trPr>
          <w:trHeight w:val="723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1E36" w:rsidRPr="004368AB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sz w:val="20"/>
                <w:lang w:eastAsia="zh-CN" w:bidi="hi-IN"/>
              </w:rPr>
              <w:t>AKCESORIA ZUŻYWALNE</w:t>
            </w:r>
          </w:p>
        </w:tc>
      </w:tr>
      <w:tr w:rsidR="00855F39" w:rsidRPr="004368AB" w:rsidTr="00F33FBA">
        <w:trPr>
          <w:trHeight w:val="98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855F39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3.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5A1E36" w:rsidRDefault="005A1E36" w:rsidP="005A1E36">
            <w:pPr>
              <w:pStyle w:val="Akapitzlist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P</w:t>
            </w:r>
            <w:r w:rsidRPr="00847D38">
              <w:rPr>
                <w:sz w:val="24"/>
              </w:rPr>
              <w:t xml:space="preserve">łytka do PCR 96-dołkowa, </w:t>
            </w:r>
            <w:r>
              <w:rPr>
                <w:sz w:val="24"/>
              </w:rPr>
              <w:t xml:space="preserve">niskoprofilowa, biała, PCR clean, przycięty narożnik H12, z certyfikatem IVD, do użycia z LightCycler z480   </w:t>
            </w:r>
            <w:r w:rsidRPr="00823880">
              <w:rPr>
                <w:sz w:val="24"/>
              </w:rPr>
              <w:t>( 1 op. = 50 szt.)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5A1E36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5A1E36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5A1E36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855F39" w:rsidRPr="004368AB" w:rsidTr="00F33FBA">
        <w:trPr>
          <w:trHeight w:val="127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855F39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4.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1E36" w:rsidRDefault="005A1E36" w:rsidP="005A1E36">
            <w:pPr>
              <w:suppressAutoHyphens/>
              <w:autoSpaceDN w:val="0"/>
              <w:spacing w:after="0" w:line="240" w:lineRule="auto"/>
              <w:rPr>
                <w:sz w:val="24"/>
              </w:rPr>
            </w:pPr>
            <w:r w:rsidRPr="002443CA">
              <w:rPr>
                <w:rFonts w:cs="Times New Roman"/>
                <w:sz w:val="24"/>
              </w:rPr>
              <w:t>Folia optyczna samoprzylepna do zamykania płytek PCR, przezro</w:t>
            </w:r>
            <w:r>
              <w:rPr>
                <w:rFonts w:cs="Times New Roman"/>
                <w:sz w:val="24"/>
              </w:rPr>
              <w:t xml:space="preserve">czysta, </w:t>
            </w:r>
            <w:r w:rsidRPr="002443CA">
              <w:rPr>
                <w:rFonts w:cs="Times New Roman"/>
                <w:sz w:val="24"/>
              </w:rPr>
              <w:t xml:space="preserve">rekomendowana do qPCR i zastosowań fluorescencyjnych, </w:t>
            </w:r>
            <w:r>
              <w:rPr>
                <w:sz w:val="24"/>
              </w:rPr>
              <w:t>do użycia</w:t>
            </w:r>
            <w:r>
              <w:rPr>
                <w:rFonts w:cs="Times New Roman"/>
                <w:sz w:val="24"/>
              </w:rPr>
              <w:t xml:space="preserve"> z </w:t>
            </w:r>
            <w:r>
              <w:rPr>
                <w:sz w:val="24"/>
              </w:rPr>
              <w:t>LightCycler z480</w:t>
            </w:r>
          </w:p>
          <w:p w:rsidR="00855F39" w:rsidRPr="004368AB" w:rsidRDefault="005A1E36" w:rsidP="005A1E36">
            <w:pPr>
              <w:suppressAutoHyphens/>
              <w:autoSpaceDN w:val="0"/>
              <w:spacing w:after="0" w:line="240" w:lineRule="auto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sz w:val="24"/>
              </w:rPr>
              <w:t xml:space="preserve"> </w:t>
            </w:r>
            <w:r w:rsidRPr="00823880">
              <w:rPr>
                <w:rFonts w:cs="Times New Roman"/>
                <w:sz w:val="24"/>
              </w:rPr>
              <w:t>(</w:t>
            </w:r>
            <w:r w:rsidR="00F33FBA" w:rsidRPr="00823880">
              <w:rPr>
                <w:rFonts w:cs="Times New Roman"/>
                <w:sz w:val="24"/>
              </w:rPr>
              <w:t xml:space="preserve"> 1 op.=</w:t>
            </w:r>
            <w:r w:rsidRPr="00823880">
              <w:rPr>
                <w:rFonts w:cs="Times New Roman"/>
                <w:sz w:val="24"/>
              </w:rPr>
              <w:t xml:space="preserve"> 50 szt.)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5A1E36" w:rsidRDefault="005A1E36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5A1E36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F33FBA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855F39" w:rsidRPr="004368AB" w:rsidTr="00BE4FAD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10223F" w:rsidRDefault="0010223F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5.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4BF3" w:rsidRDefault="00F33FBA" w:rsidP="00FF4BF3">
            <w:pPr>
              <w:suppressAutoHyphens/>
              <w:autoSpaceDN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Kartridże procesowe do izolacji DNA z krwi obwodowej, do równoczesnego przetwarzania 8 próbek, z certyfikatem IVD, do użycia na aparacie MagNA </w:t>
            </w:r>
            <w:r>
              <w:rPr>
                <w:sz w:val="24"/>
              </w:rPr>
              <w:tab/>
              <w:t xml:space="preserve">Pure 24 </w:t>
            </w:r>
          </w:p>
          <w:p w:rsidR="00855F39" w:rsidRPr="00F33FBA" w:rsidRDefault="00F33FBA" w:rsidP="00FF4BF3">
            <w:pPr>
              <w:suppressAutoHyphens/>
              <w:autoSpaceDN w:val="0"/>
              <w:spacing w:after="0" w:line="240" w:lineRule="auto"/>
              <w:rPr>
                <w:rFonts w:eastAsia="Times New Roman"/>
                <w:bCs w:val="0"/>
                <w:sz w:val="20"/>
                <w:lang w:eastAsia="zh-CN" w:bidi="hi-IN"/>
              </w:rPr>
            </w:pPr>
            <w:r>
              <w:rPr>
                <w:sz w:val="24"/>
              </w:rPr>
              <w:t xml:space="preserve"> </w:t>
            </w:r>
            <w:r w:rsidRPr="00BE4FAD">
              <w:rPr>
                <w:sz w:val="24"/>
              </w:rPr>
              <w:t>( 1 op. = 48 szt.)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623CD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F33FBA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855F39" w:rsidRPr="004368AB" w:rsidTr="00EC56BB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10223F" w:rsidRDefault="0010223F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6.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3FBA" w:rsidRDefault="00F33FBA" w:rsidP="00F33FBA">
            <w:pPr>
              <w:suppressAutoHyphens/>
              <w:autoSpaceDN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Statywy na końcówki pipetujące podczas izolacji DNA z próbek, do równoczesnego przetwarzania 8 próbek, z certyfikatem IVD, do użycia na aparacie MagNA Pure 24 </w:t>
            </w:r>
          </w:p>
          <w:p w:rsidR="00855F39" w:rsidRPr="00F33FBA" w:rsidRDefault="00F33FBA" w:rsidP="00F33FBA">
            <w:pPr>
              <w:suppressAutoHyphens/>
              <w:autoSpaceDN w:val="0"/>
              <w:spacing w:after="0" w:line="240" w:lineRule="auto"/>
              <w:rPr>
                <w:rFonts w:eastAsia="Times New Roman"/>
                <w:bCs w:val="0"/>
                <w:sz w:val="20"/>
                <w:lang w:eastAsia="zh-CN" w:bidi="hi-IN"/>
              </w:rPr>
            </w:pPr>
            <w:r>
              <w:rPr>
                <w:sz w:val="24"/>
              </w:rPr>
              <w:t xml:space="preserve"> </w:t>
            </w:r>
            <w:r w:rsidRPr="00BE4FAD">
              <w:rPr>
                <w:sz w:val="24"/>
              </w:rPr>
              <w:t>( 1 op. = 48 szt.)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623CD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F33FBA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855F39" w:rsidRPr="004368AB" w:rsidTr="00F33FBA">
        <w:trPr>
          <w:trHeight w:val="136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10223F" w:rsidRDefault="0010223F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7.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FF4BF3">
            <w:pPr>
              <w:suppressAutoHyphens/>
              <w:autoSpaceDN w:val="0"/>
              <w:spacing w:after="0" w:line="240" w:lineRule="auto"/>
              <w:rPr>
                <w:rFonts w:eastAsia="Times New Roman"/>
                <w:bCs w:val="0"/>
                <w:sz w:val="20"/>
                <w:lang w:eastAsia="zh-CN" w:bidi="hi-IN"/>
              </w:rPr>
            </w:pPr>
            <w:r>
              <w:rPr>
                <w:sz w:val="24"/>
              </w:rPr>
              <w:t xml:space="preserve">Końcówki pipetujące z filtrem o pojemności 1000 uL, wolne od nukleaz, z certyfikatem IVD, do użycia na aparacie MagNA Pure 24 </w:t>
            </w:r>
            <w:r w:rsidR="00FF4BF3">
              <w:rPr>
                <w:sz w:val="24"/>
              </w:rPr>
              <w:t xml:space="preserve">    </w:t>
            </w:r>
            <w:r w:rsidRPr="00BE4FAD">
              <w:rPr>
                <w:sz w:val="24"/>
              </w:rPr>
              <w:t>( 1 op. = 3 840 szt.)</w:t>
            </w:r>
            <w:r>
              <w:rPr>
                <w:sz w:val="24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623CD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F33FBA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855F39" w:rsidRPr="004368AB" w:rsidTr="00F33FBA">
        <w:trPr>
          <w:trHeight w:val="153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10223F" w:rsidRDefault="0010223F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8.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F33FBA">
            <w:pPr>
              <w:pStyle w:val="Akapitzlist"/>
              <w:spacing w:after="120"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Folia samoprzylepna do zabezpieczania kaset z odczynnikami po otwarciu, umożliwiająca bezpieczne przechowywanie odczynników, do użycia na aparacie MagNA Pure 24 </w:t>
            </w:r>
            <w:r w:rsidR="00FF4BF3">
              <w:rPr>
                <w:sz w:val="24"/>
              </w:rPr>
              <w:t xml:space="preserve">     </w:t>
            </w:r>
            <w:r w:rsidRPr="00BE4FAD">
              <w:rPr>
                <w:sz w:val="24"/>
              </w:rPr>
              <w:t>( 1 op. = 100 szt.)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623CD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F33FBA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855F39" w:rsidRPr="004368AB" w:rsidTr="00EC56BB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10223F" w:rsidRDefault="0010223F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9.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F4BF3" w:rsidRDefault="00F33FBA" w:rsidP="00F33FBA">
            <w:pPr>
              <w:suppressAutoHyphens/>
              <w:autoSpaceDN w:val="0"/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 xml:space="preserve">Probówki na DNA, pojemność 2,0 ml, do przechowywania i mrożenia wyizolowanego materiału, do użycia na aparacie MagNA Pure 24 </w:t>
            </w:r>
            <w:r w:rsidR="00FF4BF3">
              <w:rPr>
                <w:sz w:val="24"/>
              </w:rPr>
              <w:t xml:space="preserve">             </w:t>
            </w:r>
            <w:r w:rsidRPr="00BE4FAD">
              <w:rPr>
                <w:sz w:val="24"/>
              </w:rPr>
              <w:t>( 1 op. = 350 szt.)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623CD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 w:rsidRPr="00F33FBA"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F33FBA" w:rsidRDefault="00F33FBA" w:rsidP="00436F96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ascii="Calibri" w:eastAsia="Times New Roman" w:hAnsi="Calibri" w:cs="Calibri"/>
                <w:iCs w:val="0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30262A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55F39" w:rsidRPr="004368AB" w:rsidRDefault="00855F39" w:rsidP="00436F9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F33FBA" w:rsidRPr="00436F96" w:rsidTr="00F33FBA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55F39" w:rsidRPr="00986551" w:rsidRDefault="00520413" w:rsidP="00986551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BA" w:rsidRPr="00436F96" w:rsidRDefault="00F33FBA">
            <w:pPr>
              <w:spacing w:line="259" w:lineRule="auto"/>
            </w:pPr>
          </w:p>
        </w:tc>
      </w:tr>
    </w:tbl>
    <w:p w:rsidR="007F7172" w:rsidRDefault="007E2D20" w:rsidP="00EC56BB">
      <w:pPr>
        <w:spacing w:before="100" w:beforeAutospacing="1" w:after="100" w:afterAutospacing="1" w:line="360" w:lineRule="auto"/>
        <w:jc w:val="both"/>
        <w:rPr>
          <w:rFonts w:eastAsia="Times New Roman" w:cs="Times New Roman"/>
          <w:szCs w:val="24"/>
          <w:lang w:eastAsia="pl-PL"/>
        </w:rPr>
      </w:pPr>
      <w:r w:rsidRPr="009C7E11">
        <w:rPr>
          <w:rFonts w:eastAsia="Times New Roman" w:cs="Times New Roman"/>
          <w:szCs w:val="24"/>
          <w:lang w:eastAsia="pl-PL"/>
        </w:rPr>
        <w:t>* Wypełnia Wykonawca</w:t>
      </w:r>
    </w:p>
    <w:p w:rsidR="005A1E36" w:rsidRPr="005A1E36" w:rsidRDefault="005A1E36" w:rsidP="005A1E36">
      <w:pPr>
        <w:pStyle w:val="Akapitzlist"/>
        <w:spacing w:before="120" w:line="360" w:lineRule="auto"/>
        <w:ind w:left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Zamawiający wymaga aby o</w:t>
      </w:r>
      <w:r w:rsidRPr="00CE605B">
        <w:rPr>
          <w:b/>
          <w:sz w:val="24"/>
          <w:szCs w:val="24"/>
          <w:u w:val="single"/>
        </w:rPr>
        <w:t>dczynniki i akcesoria do izolacji DNA z krwi obwodowej</w:t>
      </w:r>
      <w:r>
        <w:rPr>
          <w:b/>
          <w:sz w:val="24"/>
          <w:szCs w:val="24"/>
          <w:u w:val="single"/>
        </w:rPr>
        <w:t xml:space="preserve"> były kompatybilne z  aparatem MagNA Pure 24</w:t>
      </w:r>
    </w:p>
    <w:p w:rsid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highlight w:val="yellow"/>
          <w:lang w:eastAsia="zh-CN" w:bidi="hi-IN"/>
        </w:rPr>
      </w:pPr>
    </w:p>
    <w:p w:rsid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highlight w:val="yellow"/>
          <w:lang w:eastAsia="zh-CN" w:bidi="hi-IN"/>
        </w:rPr>
      </w:pPr>
    </w:p>
    <w:p w:rsid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highlight w:val="yellow"/>
          <w:lang w:eastAsia="zh-CN" w:bidi="hi-IN"/>
        </w:rPr>
      </w:pP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4368AB">
        <w:rPr>
          <w:rFonts w:eastAsia="NSimSun" w:cs="Mangal"/>
          <w:b/>
          <w:lang w:eastAsia="zh-CN" w:bidi="hi-IN"/>
        </w:rPr>
        <w:t xml:space="preserve">UWAGA (jeżeli dotyczy): </w:t>
      </w: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4368AB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świadectwo jakości</w:t>
      </w:r>
      <w:r w:rsidRPr="004368AB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4368AB" w:rsidRPr="00384F68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kartę charakterystyki</w:t>
      </w:r>
      <w:r w:rsidRPr="004368AB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341DA2" w:rsidRDefault="00341DA2" w:rsidP="00EA6EC6">
      <w:pPr>
        <w:pStyle w:val="Standard"/>
        <w:jc w:val="both"/>
        <w:rPr>
          <w:spacing w:val="4"/>
          <w:sz w:val="22"/>
          <w:szCs w:val="22"/>
        </w:rPr>
      </w:pPr>
    </w:p>
    <w:p w:rsidR="004368AB" w:rsidRDefault="004368AB" w:rsidP="00EA6EC6">
      <w:pPr>
        <w:pStyle w:val="Standard"/>
        <w:jc w:val="both"/>
        <w:rPr>
          <w:spacing w:val="4"/>
          <w:sz w:val="22"/>
          <w:szCs w:val="22"/>
        </w:rPr>
      </w:pPr>
    </w:p>
    <w:p w:rsidR="004368AB" w:rsidRDefault="004368AB" w:rsidP="00EA6EC6">
      <w:pPr>
        <w:pStyle w:val="Standard"/>
        <w:jc w:val="both"/>
        <w:rPr>
          <w:spacing w:val="4"/>
          <w:sz w:val="22"/>
          <w:szCs w:val="22"/>
        </w:rPr>
      </w:pPr>
    </w:p>
    <w:p w:rsidR="004368AB" w:rsidRPr="00EA6EC6" w:rsidRDefault="004368AB" w:rsidP="00EA6EC6">
      <w:pPr>
        <w:pStyle w:val="Standard"/>
        <w:jc w:val="both"/>
        <w:rPr>
          <w:spacing w:val="4"/>
          <w:sz w:val="22"/>
          <w:szCs w:val="22"/>
        </w:rPr>
      </w:pPr>
    </w:p>
    <w:p w:rsidR="00EA6EC6" w:rsidRPr="00EA6EC6" w:rsidRDefault="00EA6EC6" w:rsidP="00EA6EC6">
      <w:pPr>
        <w:pStyle w:val="Tekstpodstawowy3"/>
        <w:ind w:left="4956" w:firstLine="708"/>
        <w:jc w:val="center"/>
        <w:rPr>
          <w:spacing w:val="4"/>
          <w:sz w:val="22"/>
          <w:szCs w:val="22"/>
        </w:rPr>
      </w:pPr>
      <w:r w:rsidRPr="00EA6EC6">
        <w:rPr>
          <w:spacing w:val="4"/>
          <w:sz w:val="22"/>
          <w:szCs w:val="22"/>
        </w:rPr>
        <w:t>............................................................................................................</w:t>
      </w:r>
    </w:p>
    <w:p w:rsidR="00402823" w:rsidRPr="00384F68" w:rsidRDefault="00EA6EC6" w:rsidP="00384F68">
      <w:pPr>
        <w:pStyle w:val="Tekstpodstawowy3"/>
        <w:ind w:left="4956"/>
        <w:jc w:val="center"/>
        <w:rPr>
          <w:spacing w:val="4"/>
          <w:sz w:val="22"/>
          <w:szCs w:val="22"/>
        </w:rPr>
      </w:pPr>
      <w:r w:rsidRPr="00EA6EC6">
        <w:rPr>
          <w:spacing w:val="4"/>
          <w:sz w:val="22"/>
          <w:szCs w:val="22"/>
        </w:rPr>
        <w:t xml:space="preserve">podpis osoby upoważnionej do reprezentowania </w:t>
      </w:r>
      <w:r w:rsidR="004E4632">
        <w:rPr>
          <w:spacing w:val="4"/>
          <w:sz w:val="22"/>
          <w:szCs w:val="22"/>
        </w:rPr>
        <w:t>W</w:t>
      </w:r>
      <w:r w:rsidRPr="00EA6EC6">
        <w:rPr>
          <w:spacing w:val="4"/>
          <w:sz w:val="22"/>
          <w:szCs w:val="22"/>
        </w:rPr>
        <w:t>ykonawcy</w:t>
      </w: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368AB" w:rsidRDefault="004368AB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F37B8" w:rsidRDefault="005F37B8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02823" w:rsidRDefault="00402823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lastRenderedPageBreak/>
        <w:t xml:space="preserve">Załącznik nr 2.2 – Kosztorys ofertowy </w:t>
      </w:r>
    </w:p>
    <w:p w:rsidR="00402823" w:rsidRDefault="00402823" w:rsidP="0040282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402823" w:rsidRPr="005F37B8" w:rsidRDefault="00402823" w:rsidP="005F37B8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>Część 2 – Zestawy do qPCR</w:t>
      </w: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402823" w:rsidRPr="00436F96" w:rsidTr="005F37B8">
        <w:trPr>
          <w:trHeight w:val="113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402823" w:rsidRPr="008928C4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5F37B8" w:rsidRPr="00436F96" w:rsidTr="00AC5F79">
        <w:trPr>
          <w:trHeight w:val="569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8928C4" w:rsidRDefault="005F37B8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lang w:eastAsia="zh-CN" w:bidi="hi-IN"/>
              </w:rPr>
              <w:t>ODCZYNNIKI  ZUŻYWALNE</w:t>
            </w:r>
          </w:p>
        </w:tc>
      </w:tr>
      <w:tr w:rsidR="00402823" w:rsidRPr="00436F96" w:rsidTr="00E66DE0">
        <w:trPr>
          <w:trHeight w:val="129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BD5CC9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BD5CC9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02823" w:rsidRDefault="00402823" w:rsidP="00402823">
            <w:pPr>
              <w:pStyle w:val="Standard"/>
              <w:jc w:val="both"/>
              <w:rPr>
                <w:rFonts w:cs="Arial Narrow"/>
                <w:bCs w:val="0"/>
                <w:sz w:val="22"/>
                <w:lang w:bidi="hi-IN"/>
              </w:rPr>
            </w:pPr>
            <w:r>
              <w:rPr>
                <w:rFonts w:cs="Arial Narrow"/>
                <w:bCs w:val="0"/>
                <w:sz w:val="22"/>
                <w:lang w:bidi="hi-IN"/>
              </w:rPr>
              <w:t>Zestaw do ustalania poziomu amplifikowanego DNA wyizolowanego z bloczków parafinowych, kompatybilny z aparatami Cobas z480, Rotor-Gene Q</w:t>
            </w:r>
            <w:r w:rsidR="00AA36FE">
              <w:rPr>
                <w:rFonts w:cs="Arial Narrow"/>
                <w:bCs w:val="0"/>
                <w:sz w:val="22"/>
                <w:lang w:bidi="hi-IN"/>
              </w:rPr>
              <w:t>, Bio-Rad CFX96. Zestaw na 50 reakcji, z kanałem odczytu dla fluoroforu VIC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855F39" w:rsidRDefault="00AA36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  <w:r w:rsidR="00402823">
              <w:rPr>
                <w:rFonts w:eastAsia="Times New Roman"/>
                <w:iCs w:val="0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BD5CC9" w:rsidRDefault="00AA36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 w:rsidRPr="00BD5CC9"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2823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402823" w:rsidRPr="00436F96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855F39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AA36FE" w:rsidP="00AA36FE">
            <w:pPr>
              <w:pStyle w:val="Standard"/>
              <w:jc w:val="both"/>
              <w:rPr>
                <w:rFonts w:cs="Arial Narrow"/>
                <w:b/>
                <w:bCs w:val="0"/>
                <w:lang w:bidi="hi-IN"/>
              </w:rPr>
            </w:pPr>
            <w:r>
              <w:rPr>
                <w:rFonts w:cs="Arial Narrow"/>
                <w:bCs w:val="0"/>
                <w:sz w:val="22"/>
                <w:lang w:bidi="hi-IN"/>
              </w:rPr>
              <w:t>Zestaw do Real-Time PCR, do wykrywania mutacji w genie KRAS (IVD), w eksonie 2, 3 i 4 ludzkiego genomowego DNA, zwalidowany na Cobas z480 i Bio-Rad CFX96, kompatybilny z Rotor-Gene Q. Zestaw na 50 reakcji, z kanałami odczytu VIC dla kontroli endogennej oraz FAM dla KRAS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AA36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  <w:r w:rsidR="00402823">
              <w:rPr>
                <w:rFonts w:eastAsia="Times New Roman"/>
                <w:iCs w:val="0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BD5CC9" w:rsidRDefault="00F33FB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 w:rsidRPr="00BD5CC9"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2823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402823" w:rsidRPr="00436F96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855F39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3.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AA36FE" w:rsidRDefault="00AA36FE" w:rsidP="0080227A">
            <w:pPr>
              <w:pStyle w:val="Standard"/>
              <w:jc w:val="both"/>
              <w:rPr>
                <w:rFonts w:cs="Arial Narrow"/>
                <w:bCs w:val="0"/>
                <w:sz w:val="22"/>
                <w:lang w:bidi="hi-IN"/>
              </w:rPr>
            </w:pP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Zestaw do Real-Time PCR, do wykrywania mutacji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somatycznych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w genie </w:t>
            </w:r>
            <w:r>
              <w:rPr>
                <w:rFonts w:cs="Arial Narrow"/>
                <w:bCs w:val="0"/>
                <w:sz w:val="22"/>
                <w:lang w:bidi="hi-IN"/>
              </w:rPr>
              <w:t>NRAS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(IVD), w eksonie 2, 3 i 4 ludzkiego genomowego DNA, zwalidowany na Cobas z480, kompatybilny z Rotor-Gene Q</w:t>
            </w:r>
            <w:r w:rsidR="0080227A" w:rsidRPr="00AA36FE">
              <w:rPr>
                <w:rFonts w:cs="Arial Narrow"/>
                <w:bCs w:val="0"/>
                <w:sz w:val="22"/>
                <w:lang w:bidi="hi-IN"/>
              </w:rPr>
              <w:t xml:space="preserve"> i Bio-Rad CFX96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. Zestaw na 50 reakcji, z kanałami odczytu VIC dla kontroli endogennej oraz FAM dla </w:t>
            </w:r>
            <w:r w:rsidR="0080227A">
              <w:rPr>
                <w:rFonts w:cs="Arial Narrow"/>
                <w:bCs w:val="0"/>
                <w:sz w:val="22"/>
                <w:lang w:bidi="hi-IN"/>
              </w:rPr>
              <w:t>N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>RAS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80227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  <w:r w:rsidR="00402823">
              <w:rPr>
                <w:rFonts w:eastAsia="Times New Roman"/>
                <w:iCs w:val="0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BD5CC9" w:rsidRDefault="00BD5CC9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2823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402823" w:rsidRPr="00436F96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855F39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4.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80227A" w:rsidP="0080227A">
            <w:pPr>
              <w:pStyle w:val="Standard"/>
              <w:jc w:val="both"/>
              <w:rPr>
                <w:rFonts w:cs="Arial Narrow"/>
                <w:b/>
                <w:bCs w:val="0"/>
                <w:lang w:bidi="hi-IN"/>
              </w:rPr>
            </w:pP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Zestaw do Real-Time PCR, do wykrywania mutacji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somatycznych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w genie </w:t>
            </w:r>
            <w:r>
              <w:rPr>
                <w:rFonts w:cs="Arial Narrow"/>
                <w:bCs w:val="0"/>
                <w:sz w:val="22"/>
                <w:lang w:bidi="hi-IN"/>
              </w:rPr>
              <w:t>BRAF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(IVD), w </w:t>
            </w:r>
            <w:r>
              <w:rPr>
                <w:rFonts w:cs="Arial Narrow"/>
                <w:bCs w:val="0"/>
                <w:sz w:val="22"/>
                <w:lang w:bidi="hi-IN"/>
              </w:rPr>
              <w:t>kodonie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</w:t>
            </w:r>
            <w:r>
              <w:rPr>
                <w:rFonts w:cs="Arial Narrow"/>
                <w:bCs w:val="0"/>
                <w:sz w:val="22"/>
                <w:lang w:bidi="hi-IN"/>
              </w:rPr>
              <w:t>600 eksonu 15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ludzkiego genomowego DNA, zwalidowany na Cobas z480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 i Rotor-Gene Q.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Zestaw na </w:t>
            </w:r>
            <w:r>
              <w:rPr>
                <w:rFonts w:cs="Arial Narrow"/>
                <w:bCs w:val="0"/>
                <w:sz w:val="22"/>
                <w:lang w:bidi="hi-IN"/>
              </w:rPr>
              <w:t>64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reakcj</w:t>
            </w:r>
            <w:r>
              <w:rPr>
                <w:rFonts w:cs="Arial Narrow"/>
                <w:bCs w:val="0"/>
                <w:sz w:val="22"/>
                <w:lang w:bidi="hi-IN"/>
              </w:rPr>
              <w:t>e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, z kanałami odczytu VIC dla kontroli endogennej oraz FAM dla </w:t>
            </w:r>
            <w:r>
              <w:rPr>
                <w:rFonts w:cs="Arial Narrow"/>
                <w:bCs w:val="0"/>
                <w:sz w:val="22"/>
                <w:lang w:bidi="hi-IN"/>
              </w:rPr>
              <w:t>BRAF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80227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  <w:r w:rsidR="00402823">
              <w:rPr>
                <w:rFonts w:eastAsia="Times New Roman"/>
                <w:iCs w:val="0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BD5CC9" w:rsidRDefault="00BD5CC9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2823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402823" w:rsidRPr="00436F96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10223F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5.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80227A" w:rsidP="0080227A">
            <w:pPr>
              <w:pStyle w:val="Standard"/>
              <w:jc w:val="both"/>
              <w:rPr>
                <w:rFonts w:cs="Arial Narrow"/>
                <w:b/>
                <w:bCs w:val="0"/>
                <w:lang w:bidi="hi-IN"/>
              </w:rPr>
            </w:pP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Zestaw do Real-Time PCR, do wykrywania mutacji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somatycznych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w genie </w:t>
            </w:r>
            <w:r>
              <w:rPr>
                <w:rFonts w:cs="Arial Narrow"/>
                <w:bCs w:val="0"/>
                <w:sz w:val="22"/>
                <w:lang w:bidi="hi-IN"/>
              </w:rPr>
              <w:t>EGFR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(IVD), w </w:t>
            </w:r>
            <w:r>
              <w:rPr>
                <w:rFonts w:cs="Arial Narrow"/>
                <w:bCs w:val="0"/>
                <w:sz w:val="22"/>
                <w:lang w:bidi="hi-IN"/>
              </w:rPr>
              <w:t>eksonie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18, 19, 20 i 21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ludzkiego genomowego DNA, zwalidowany na Cobas z480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, Rotor-Gene Q i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>Bio-Rad CFX96</w:t>
            </w:r>
            <w:r>
              <w:rPr>
                <w:rFonts w:cs="Arial Narrow"/>
                <w:bCs w:val="0"/>
                <w:sz w:val="22"/>
                <w:lang w:bidi="hi-IN"/>
              </w:rPr>
              <w:t>.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Zestaw na </w:t>
            </w:r>
            <w:r>
              <w:rPr>
                <w:rFonts w:cs="Arial Narrow"/>
                <w:bCs w:val="0"/>
                <w:sz w:val="22"/>
                <w:lang w:bidi="hi-IN"/>
              </w:rPr>
              <w:t>52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reakcj</w:t>
            </w:r>
            <w:r>
              <w:rPr>
                <w:rFonts w:cs="Arial Narrow"/>
                <w:bCs w:val="0"/>
                <w:sz w:val="22"/>
                <w:lang w:bidi="hi-IN"/>
              </w:rPr>
              <w:t>e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, z kanałami odczytu VIC dla kontroli endogennej oraz FAM dla </w:t>
            </w:r>
            <w:r>
              <w:rPr>
                <w:rFonts w:cs="Arial Narrow"/>
                <w:bCs w:val="0"/>
                <w:sz w:val="22"/>
                <w:lang w:bidi="hi-IN"/>
              </w:rPr>
              <w:t>EGFR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80227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  <w:r w:rsidR="00402823">
              <w:rPr>
                <w:rFonts w:eastAsia="Times New Roman"/>
                <w:iCs w:val="0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10223F" w:rsidRDefault="0080227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2823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402823" w:rsidRPr="00436F96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10223F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6.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80227A" w:rsidP="00E44A8C">
            <w:pPr>
              <w:pStyle w:val="Standard"/>
              <w:jc w:val="both"/>
              <w:rPr>
                <w:rFonts w:cs="Arial Narrow"/>
                <w:b/>
                <w:bCs w:val="0"/>
                <w:lang w:bidi="hi-IN"/>
              </w:rPr>
            </w:pP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Zestaw do Real-Time PCR,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panel do jednoczesnego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wykrywania mutacji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somatycznych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>w ge</w:t>
            </w:r>
            <w:r>
              <w:rPr>
                <w:rFonts w:cs="Arial Narrow"/>
                <w:bCs w:val="0"/>
                <w:sz w:val="22"/>
                <w:lang w:bidi="hi-IN"/>
              </w:rPr>
              <w:t>nach KRAS (w eksonie 2,</w:t>
            </w:r>
            <w:r w:rsidR="00F51427">
              <w:rPr>
                <w:rFonts w:cs="Arial Narrow"/>
                <w:bCs w:val="0"/>
                <w:sz w:val="22"/>
                <w:lang w:bidi="hi-IN"/>
              </w:rPr>
              <w:t xml:space="preserve"> </w:t>
            </w:r>
            <w:r>
              <w:rPr>
                <w:rFonts w:cs="Arial Narrow"/>
                <w:bCs w:val="0"/>
                <w:sz w:val="22"/>
                <w:lang w:bidi="hi-IN"/>
              </w:rPr>
              <w:t>3 i</w:t>
            </w:r>
            <w:r w:rsidR="00F51427">
              <w:rPr>
                <w:rFonts w:cs="Arial Narrow"/>
                <w:bCs w:val="0"/>
                <w:sz w:val="22"/>
                <w:lang w:bidi="hi-IN"/>
              </w:rPr>
              <w:t xml:space="preserve">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4), NRAS (w eksonie 2, 3 i 4), BRAF (w eksonie 15), PIK3CA ( w eksonie 9 i 20) oraz AKT1 (w eksonie 4)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ludzkiego genomowego DNA, zwalidowany na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Roche LightCycler 480, do użytku </w:t>
            </w:r>
            <w:r w:rsidR="00E44A8C">
              <w:rPr>
                <w:rFonts w:cs="Arial Narrow"/>
                <w:bCs w:val="0"/>
                <w:sz w:val="22"/>
                <w:lang w:bidi="hi-IN"/>
              </w:rPr>
              <w:t xml:space="preserve">z </w:t>
            </w:r>
            <w:r>
              <w:rPr>
                <w:rFonts w:cs="Arial Narrow"/>
                <w:bCs w:val="0"/>
                <w:sz w:val="22"/>
                <w:lang w:bidi="hi-IN"/>
              </w:rPr>
              <w:t xml:space="preserve"> 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>Bio-Rad CFX96</w:t>
            </w:r>
            <w:r>
              <w:rPr>
                <w:rFonts w:cs="Arial Narrow"/>
                <w:bCs w:val="0"/>
                <w:sz w:val="22"/>
                <w:lang w:bidi="hi-IN"/>
              </w:rPr>
              <w:t>.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Zestaw na </w:t>
            </w:r>
            <w:r w:rsidR="00E44A8C">
              <w:rPr>
                <w:rFonts w:cs="Arial Narrow"/>
                <w:bCs w:val="0"/>
                <w:sz w:val="22"/>
                <w:lang w:bidi="hi-IN"/>
              </w:rPr>
              <w:t>48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 reakcj</w:t>
            </w:r>
            <w:r w:rsidR="00E44A8C">
              <w:rPr>
                <w:rFonts w:cs="Arial Narrow"/>
                <w:bCs w:val="0"/>
                <w:sz w:val="22"/>
                <w:lang w:bidi="hi-IN"/>
              </w:rPr>
              <w:t>i</w:t>
            </w:r>
            <w:r w:rsidRPr="00AA36FE">
              <w:rPr>
                <w:rFonts w:cs="Arial Narrow"/>
                <w:bCs w:val="0"/>
                <w:sz w:val="22"/>
                <w:lang w:bidi="hi-IN"/>
              </w:rPr>
              <w:t xml:space="preserve">, z </w:t>
            </w:r>
            <w:r w:rsidR="00E44A8C">
              <w:rPr>
                <w:rFonts w:cs="Arial Narrow"/>
                <w:bCs w:val="0"/>
                <w:sz w:val="22"/>
                <w:lang w:bidi="hi-IN"/>
              </w:rPr>
              <w:t>czterokanałowym formatem detekcji dla VIC, FAM, ROX i CY5.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E44A8C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  <w:r w:rsidR="00402823">
              <w:rPr>
                <w:rFonts w:eastAsia="Times New Roman"/>
                <w:iCs w:val="0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E44A8C" w:rsidRDefault="00E44A8C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0"/>
                <w:lang w:eastAsia="zh-CN" w:bidi="hi-IN"/>
              </w:rPr>
            </w:pPr>
            <w:r w:rsidRPr="00E44A8C">
              <w:rPr>
                <w:rFonts w:eastAsia="Times New Roman"/>
                <w:iCs w:val="0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2823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402823" w:rsidRPr="00436F96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10223F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7.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E44A8C" w:rsidRDefault="00E44A8C" w:rsidP="00402823">
            <w:pPr>
              <w:pStyle w:val="Standard"/>
              <w:jc w:val="both"/>
              <w:rPr>
                <w:rFonts w:cs="Arial Narrow"/>
                <w:bCs w:val="0"/>
                <w:lang w:bidi="hi-IN"/>
              </w:rPr>
            </w:pPr>
            <w:r w:rsidRPr="00E44A8C">
              <w:rPr>
                <w:rFonts w:cs="Arial Narrow"/>
                <w:bCs w:val="0"/>
                <w:sz w:val="22"/>
                <w:lang w:bidi="hi-IN"/>
              </w:rPr>
              <w:t>Zestaw do Real-Time PCR, do wykrywania mutacji somatycznych w genie c-KIT (IVD), w eksonie 9, 11, 13 i 17 ludzkiego genomowego DNA, zwalidowany na LightCycler</w:t>
            </w:r>
            <w:r w:rsidRPr="00E44A8C">
              <w:rPr>
                <w:bCs w:val="0"/>
                <w:sz w:val="22"/>
                <w:lang w:bidi="hi-IN"/>
              </w:rPr>
              <w:t>®</w:t>
            </w:r>
            <w:r w:rsidRPr="00E44A8C">
              <w:rPr>
                <w:rFonts w:cs="Arial Narrow"/>
                <w:bCs w:val="0"/>
                <w:sz w:val="22"/>
                <w:lang w:bidi="hi-IN"/>
              </w:rPr>
              <w:t xml:space="preserve"> 480, do użytku z Bio-Rad CFX96. Zestaw na 44 reakcje, z trzykanałowym formatem detekcji dla FAM, ROX i CY5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  <w:r w:rsidR="00402823">
              <w:rPr>
                <w:rFonts w:eastAsia="Times New Roman"/>
                <w:iCs w:val="0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166763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436F96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2823" w:rsidRDefault="00402823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BD5CC9" w:rsidRPr="00436F96" w:rsidTr="00BD5CC9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02823" w:rsidRPr="00986551" w:rsidRDefault="00402823" w:rsidP="00E66DE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5CC9" w:rsidRPr="00436F96" w:rsidRDefault="00BD5CC9">
            <w:pPr>
              <w:spacing w:line="259" w:lineRule="auto"/>
            </w:pPr>
          </w:p>
        </w:tc>
      </w:tr>
    </w:tbl>
    <w:p w:rsidR="005F37B8" w:rsidRDefault="00402823" w:rsidP="005F37B8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C7E11">
        <w:rPr>
          <w:rFonts w:eastAsia="Times New Roman" w:cs="Times New Roman"/>
          <w:szCs w:val="24"/>
          <w:lang w:eastAsia="pl-PL"/>
        </w:rPr>
        <w:t>* Wypełnia Wykonawca</w:t>
      </w:r>
    </w:p>
    <w:p w:rsidR="00402823" w:rsidRPr="005F37B8" w:rsidRDefault="00402823" w:rsidP="005F37B8">
      <w:pPr>
        <w:spacing w:before="100" w:beforeAutospacing="1" w:after="0" w:line="24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4368AB">
        <w:rPr>
          <w:rFonts w:eastAsia="NSimSun" w:cs="Mangal"/>
          <w:b/>
          <w:lang w:eastAsia="zh-CN" w:bidi="hi-IN"/>
        </w:rPr>
        <w:t>UWAGA</w:t>
      </w:r>
      <w:r w:rsidR="004368AB" w:rsidRPr="004368AB">
        <w:rPr>
          <w:rFonts w:eastAsia="NSimSun" w:cs="Mangal"/>
          <w:b/>
          <w:lang w:eastAsia="zh-CN" w:bidi="hi-IN"/>
        </w:rPr>
        <w:t xml:space="preserve"> (jeżeli dotyczy)</w:t>
      </w:r>
      <w:r w:rsidRPr="004368AB">
        <w:rPr>
          <w:rFonts w:eastAsia="NSimSun" w:cs="Mangal"/>
          <w:b/>
          <w:lang w:eastAsia="zh-CN" w:bidi="hi-IN"/>
        </w:rPr>
        <w:t xml:space="preserve">: </w:t>
      </w:r>
    </w:p>
    <w:p w:rsidR="00402823" w:rsidRPr="005F37B8" w:rsidRDefault="00402823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4368AB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402823" w:rsidRPr="004368AB" w:rsidRDefault="00402823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świadectwo jakości</w:t>
      </w:r>
      <w:r w:rsidRPr="004368AB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402823" w:rsidRPr="00384F68" w:rsidRDefault="00402823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kartę charakterystyki</w:t>
      </w:r>
      <w:r w:rsidRPr="004368AB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402823" w:rsidRDefault="00402823" w:rsidP="005F37B8">
      <w:pPr>
        <w:pStyle w:val="Standard"/>
        <w:jc w:val="both"/>
        <w:rPr>
          <w:spacing w:val="4"/>
          <w:sz w:val="22"/>
          <w:szCs w:val="22"/>
        </w:rPr>
      </w:pPr>
    </w:p>
    <w:p w:rsidR="00402823" w:rsidRPr="00EA6EC6" w:rsidRDefault="00402823" w:rsidP="00402823">
      <w:pPr>
        <w:pStyle w:val="Standard"/>
        <w:jc w:val="both"/>
        <w:rPr>
          <w:spacing w:val="4"/>
          <w:sz w:val="22"/>
          <w:szCs w:val="22"/>
        </w:rPr>
      </w:pPr>
    </w:p>
    <w:p w:rsidR="00402823" w:rsidRPr="00EA6EC6" w:rsidRDefault="00402823" w:rsidP="00402823">
      <w:pPr>
        <w:pStyle w:val="Tekstpodstawowy3"/>
        <w:ind w:left="4956" w:firstLine="708"/>
        <w:jc w:val="center"/>
        <w:rPr>
          <w:spacing w:val="4"/>
          <w:sz w:val="22"/>
          <w:szCs w:val="22"/>
        </w:rPr>
      </w:pPr>
      <w:r w:rsidRPr="00EA6EC6">
        <w:rPr>
          <w:spacing w:val="4"/>
          <w:sz w:val="22"/>
          <w:szCs w:val="22"/>
        </w:rPr>
        <w:t>............................................................................................................</w:t>
      </w:r>
    </w:p>
    <w:p w:rsidR="00402823" w:rsidRPr="00402823" w:rsidRDefault="005F37B8" w:rsidP="00402823">
      <w:pPr>
        <w:pStyle w:val="Tekstpodstawowy3"/>
        <w:ind w:left="4956"/>
        <w:jc w:val="center"/>
        <w:rPr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      </w:t>
      </w:r>
      <w:r w:rsidR="00402823" w:rsidRPr="00EA6EC6">
        <w:rPr>
          <w:spacing w:val="4"/>
          <w:sz w:val="22"/>
          <w:szCs w:val="22"/>
        </w:rPr>
        <w:t xml:space="preserve">podpis osoby upoważnionej do reprezentowania </w:t>
      </w:r>
      <w:r w:rsidR="00402823">
        <w:rPr>
          <w:spacing w:val="4"/>
          <w:sz w:val="22"/>
          <w:szCs w:val="22"/>
        </w:rPr>
        <w:t>W</w:t>
      </w:r>
      <w:r w:rsidR="00402823" w:rsidRPr="00EA6EC6">
        <w:rPr>
          <w:spacing w:val="4"/>
          <w:sz w:val="22"/>
          <w:szCs w:val="22"/>
        </w:rPr>
        <w:t>ykonawcy</w:t>
      </w:r>
    </w:p>
    <w:p w:rsidR="005F37B8" w:rsidRPr="009D5F76" w:rsidRDefault="005F37B8" w:rsidP="005F37B8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>
        <w:rPr>
          <w:rFonts w:eastAsia="Times New Roman"/>
          <w:b/>
          <w:lang w:eastAsia="zh-CN"/>
        </w:rPr>
        <w:t>3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5F37B8" w:rsidRPr="009D5F76" w:rsidRDefault="005F37B8" w:rsidP="005F37B8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F37B8" w:rsidRPr="009D5F76" w:rsidRDefault="005F37B8" w:rsidP="005F37B8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>
        <w:rPr>
          <w:rFonts w:eastAsia="Times New Roman"/>
          <w:b/>
          <w:lang w:eastAsia="zh-CN"/>
        </w:rPr>
        <w:t>3</w:t>
      </w:r>
      <w:r w:rsidRPr="009D5F76">
        <w:rPr>
          <w:rFonts w:eastAsia="Times New Roman"/>
          <w:b/>
          <w:lang w:eastAsia="zh-CN"/>
        </w:rPr>
        <w:t xml:space="preserve"> – </w:t>
      </w:r>
      <w:r>
        <w:rPr>
          <w:rFonts w:eastAsia="Times New Roman"/>
          <w:b/>
          <w:lang w:eastAsia="zh-CN"/>
        </w:rPr>
        <w:t>Odczynniki i akcesoria do FISH, zestawy do qPCR</w:t>
      </w:r>
    </w:p>
    <w:p w:rsidR="005F37B8" w:rsidRPr="009D5F76" w:rsidRDefault="005F37B8" w:rsidP="005F37B8">
      <w:pPr>
        <w:autoSpaceDN w:val="0"/>
        <w:spacing w:after="0" w:line="240" w:lineRule="auto"/>
        <w:rPr>
          <w:rFonts w:eastAsia="Times New Roman" w:cs="Times New Roman"/>
          <w:sz w:val="20"/>
          <w:lang w:eastAsia="zh-CN"/>
        </w:rPr>
      </w:pP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5F37B8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5F37B8" w:rsidRPr="009D5F76" w:rsidTr="005F37B8">
        <w:trPr>
          <w:trHeight w:val="727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lang w:eastAsia="zh-CN" w:bidi="hi-IN"/>
              </w:rPr>
              <w:t>ODCZYNNIKI ZUŻYWALNE</w:t>
            </w:r>
          </w:p>
        </w:tc>
      </w:tr>
      <w:tr w:rsidR="005F37B8" w:rsidRPr="009D5F76" w:rsidTr="00AC5F79">
        <w:trPr>
          <w:trHeight w:val="129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 xml:space="preserve">Zestaw do detekcji amplifikacji genu HER-2 metodą FISH w bloczkach parafinowych, z sondą specyficzną dla locus HER-2 (17q11.2-q12) wyznakowaną barwnikiem w zakresie wzbudzania i emisji spectrum orange oraz sondą specyficzną dla regionu centrometrowego chromosomu 17 (17p11.1-q11.1) wyznakowaną fluoroforem w zakresie wzbudzenia i emisji spectrum green, zestaw na 20 oznaczeń (IVD)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5F37B8" w:rsidRDefault="005F37B8" w:rsidP="00FF4BF3">
            <w:pPr>
              <w:spacing w:line="276" w:lineRule="auto"/>
              <w:outlineLvl w:val="4"/>
              <w:rPr>
                <w:rFonts w:cs="Times New Roman"/>
                <w:bCs w:val="0"/>
                <w:szCs w:val="22"/>
                <w:lang w:eastAsia="pl-PL"/>
              </w:rPr>
            </w:pPr>
            <w:r w:rsidRPr="005F37B8">
              <w:rPr>
                <w:rFonts w:cs="Times New Roman"/>
                <w:szCs w:val="22"/>
                <w:lang w:eastAsia="pl-PL"/>
              </w:rPr>
              <w:t xml:space="preserve">Zestaw do przygotowania preparatów z bloczków parafinowych do procedury FISH, do deparafinizacji, trawienia i utrwalania preparatów, certyfikat CE, kompatybilny z zestawem sond HER-2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5F37B8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 w:rsidRPr="005F37B8"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5F37B8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3.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5F37B8" w:rsidP="00AC5F7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  <w:lang w:eastAsia="pl-PL"/>
              </w:rPr>
              <w:t>Zestaw do przygotowania preparatów tkanki pł</w:t>
            </w:r>
            <w:r w:rsidR="000D2016">
              <w:rPr>
                <w:rFonts w:cs="Times New Roman"/>
                <w:szCs w:val="22"/>
                <w:lang w:eastAsia="pl-PL"/>
              </w:rPr>
              <w:t xml:space="preserve">ucnej z bloczków parafinowych </w:t>
            </w:r>
            <w:r w:rsidR="000D2016">
              <w:rPr>
                <w:rFonts w:cs="Times New Roman"/>
                <w:szCs w:val="22"/>
                <w:lang w:eastAsia="pl-PL"/>
              </w:rPr>
              <w:tab/>
            </w:r>
            <w:r w:rsidRPr="000D2016">
              <w:rPr>
                <w:rFonts w:cs="Times New Roman"/>
                <w:szCs w:val="22"/>
                <w:lang w:eastAsia="pl-PL"/>
              </w:rPr>
              <w:t>do procedury FISH, do deparafinizacji, trawienia i utrwalania preparatów, kompatybilny z sondami ROS1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5F37B8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5F37B8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AC5F79">
        <w:trPr>
          <w:trHeight w:val="113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4.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</w:rPr>
              <w:t xml:space="preserve">Zestaw sond do detekcji rearanżacji genu </w:t>
            </w:r>
            <w:r w:rsidRPr="000D2016">
              <w:rPr>
                <w:rFonts w:cs="Times New Roman"/>
                <w:i/>
                <w:szCs w:val="22"/>
              </w:rPr>
              <w:t>ALK</w:t>
            </w:r>
            <w:r w:rsidRPr="000D2016">
              <w:rPr>
                <w:rFonts w:cs="Times New Roman"/>
                <w:szCs w:val="22"/>
              </w:rPr>
              <w:t xml:space="preserve"> metodą F</w:t>
            </w:r>
            <w:r>
              <w:rPr>
                <w:rFonts w:cs="Times New Roman"/>
                <w:szCs w:val="22"/>
              </w:rPr>
              <w:t xml:space="preserve">ISH w bloczkach </w:t>
            </w:r>
            <w:r w:rsidRPr="000D2016">
              <w:rPr>
                <w:rFonts w:cs="Times New Roman"/>
                <w:szCs w:val="22"/>
              </w:rPr>
              <w:t>parafinowych, z sondą typu break-apart, so</w:t>
            </w:r>
            <w:r>
              <w:rPr>
                <w:rFonts w:cs="Times New Roman"/>
                <w:szCs w:val="22"/>
              </w:rPr>
              <w:t xml:space="preserve">ndy specyficzne dla locus ALK </w:t>
            </w:r>
            <w:r w:rsidRPr="000D2016">
              <w:rPr>
                <w:rFonts w:cs="Times New Roman"/>
                <w:szCs w:val="22"/>
              </w:rPr>
              <w:t>(2p23) wyznakowane barwnikiem w zakresie</w:t>
            </w:r>
            <w:r>
              <w:rPr>
                <w:rFonts w:cs="Times New Roman"/>
                <w:szCs w:val="22"/>
              </w:rPr>
              <w:t xml:space="preserve"> wzbudzenia i emisji spectrum </w:t>
            </w:r>
            <w:r>
              <w:rPr>
                <w:rFonts w:cs="Times New Roman"/>
                <w:szCs w:val="22"/>
              </w:rPr>
              <w:tab/>
            </w:r>
            <w:r w:rsidRPr="000D2016">
              <w:rPr>
                <w:rFonts w:cs="Times New Roman"/>
                <w:szCs w:val="22"/>
              </w:rPr>
              <w:t>orange oraz spectrum green</w:t>
            </w:r>
            <w:r w:rsidRPr="000D2016">
              <w:rPr>
                <w:rFonts w:cs="Times New Roman"/>
                <w:szCs w:val="22"/>
                <w:lang w:eastAsia="pl-PL"/>
              </w:rPr>
              <w:t>, certyfikat CE-IVD, zestaw na 20 oznaczeń</w:t>
            </w:r>
            <w:r w:rsidRPr="000D2016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lastRenderedPageBreak/>
              <w:t>5.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</w:rPr>
              <w:t xml:space="preserve">Zestaw sond do detekcji rearanżacji genu </w:t>
            </w:r>
            <w:r w:rsidRPr="000D2016">
              <w:rPr>
                <w:rFonts w:cs="Times New Roman"/>
                <w:i/>
                <w:szCs w:val="22"/>
              </w:rPr>
              <w:t>ROS1</w:t>
            </w:r>
            <w:r w:rsidRPr="000D2016">
              <w:rPr>
                <w:rFonts w:cs="Times New Roman"/>
                <w:szCs w:val="22"/>
              </w:rPr>
              <w:t xml:space="preserve"> metodą F</w:t>
            </w:r>
            <w:r>
              <w:rPr>
                <w:rFonts w:cs="Times New Roman"/>
                <w:szCs w:val="22"/>
              </w:rPr>
              <w:t xml:space="preserve">ISH w bloczkach </w:t>
            </w:r>
            <w:r w:rsidRPr="000D2016">
              <w:rPr>
                <w:rFonts w:cs="Times New Roman"/>
                <w:szCs w:val="22"/>
              </w:rPr>
              <w:t>parafinowych, z sondą typu break-apart, sond</w:t>
            </w:r>
            <w:r>
              <w:rPr>
                <w:rFonts w:cs="Times New Roman"/>
                <w:szCs w:val="22"/>
              </w:rPr>
              <w:t xml:space="preserve">y specyficzne dla locus ROS-1 </w:t>
            </w:r>
            <w:r w:rsidRPr="000D2016">
              <w:rPr>
                <w:rFonts w:cs="Times New Roman"/>
                <w:szCs w:val="22"/>
              </w:rPr>
              <w:t>(6q22.1) wyznakowane barwnikiem w zakresie</w:t>
            </w:r>
            <w:r>
              <w:rPr>
                <w:rFonts w:cs="Times New Roman"/>
                <w:szCs w:val="22"/>
              </w:rPr>
              <w:t xml:space="preserve"> wzbudzenia i emisji spectrum </w:t>
            </w:r>
            <w:r>
              <w:rPr>
                <w:rFonts w:cs="Times New Roman"/>
                <w:szCs w:val="22"/>
              </w:rPr>
              <w:tab/>
            </w:r>
            <w:r w:rsidRPr="000D2016">
              <w:rPr>
                <w:rFonts w:cs="Times New Roman"/>
                <w:szCs w:val="22"/>
              </w:rPr>
              <w:t xml:space="preserve">orange oraz spectrum green, </w:t>
            </w:r>
            <w:r w:rsidRPr="000D2016">
              <w:rPr>
                <w:rFonts w:cs="Times New Roman"/>
                <w:szCs w:val="22"/>
                <w:lang w:eastAsia="pl-PL"/>
              </w:rPr>
              <w:t>szybka procedura FISH, certyfikat CE</w:t>
            </w:r>
            <w:r>
              <w:rPr>
                <w:rFonts w:cs="Times New Roman"/>
                <w:szCs w:val="22"/>
                <w:lang w:eastAsia="pl-PL"/>
              </w:rPr>
              <w:t xml:space="preserve">-IVD, </w:t>
            </w:r>
            <w:r w:rsidRPr="000D2016">
              <w:rPr>
                <w:rFonts w:cs="Times New Roman"/>
                <w:szCs w:val="22"/>
                <w:lang w:eastAsia="pl-PL"/>
              </w:rPr>
              <w:t>zestaw na 10 oznaczeń</w:t>
            </w:r>
            <w:r w:rsidRPr="000D2016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0D2016">
        <w:trPr>
          <w:trHeight w:val="79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6.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  <w:lang w:eastAsia="pl-PL"/>
              </w:rPr>
              <w:t>Szybki bufor hybrydyzacyjny w przebiegu badania</w:t>
            </w:r>
            <w:r>
              <w:rPr>
                <w:rFonts w:cs="Times New Roman"/>
                <w:szCs w:val="22"/>
                <w:lang w:eastAsia="pl-PL"/>
              </w:rPr>
              <w:t xml:space="preserve"> FISH, 5 x 250 µl, certyfikat </w:t>
            </w:r>
            <w:r w:rsidRPr="000D2016">
              <w:rPr>
                <w:rFonts w:cs="Times New Roman"/>
                <w:szCs w:val="22"/>
                <w:lang w:eastAsia="pl-PL"/>
              </w:rPr>
              <w:t xml:space="preserve">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7.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</w:rPr>
              <w:t>Uniwersalny zestaw odczynników</w:t>
            </w:r>
            <w:r w:rsidRPr="000D2016">
              <w:rPr>
                <w:rFonts w:cs="Times New Roman"/>
                <w:szCs w:val="22"/>
                <w:lang w:eastAsia="pl-PL"/>
              </w:rPr>
              <w:t xml:space="preserve"> do wstępnego przy</w:t>
            </w:r>
            <w:r>
              <w:rPr>
                <w:rFonts w:cs="Times New Roman"/>
                <w:szCs w:val="22"/>
                <w:lang w:eastAsia="pl-PL"/>
              </w:rPr>
              <w:t xml:space="preserve">gotowania preparatów z </w:t>
            </w:r>
            <w:r w:rsidRPr="000D2016">
              <w:rPr>
                <w:rFonts w:cs="Times New Roman"/>
                <w:szCs w:val="22"/>
                <w:lang w:eastAsia="pl-PL"/>
              </w:rPr>
              <w:t>bloczków parafinowych w procedurze FISH metodą manualną,</w:t>
            </w:r>
            <w:r>
              <w:rPr>
                <w:rFonts w:cs="Times New Roman"/>
                <w:szCs w:val="22"/>
                <w:lang w:eastAsia="pl-PL"/>
              </w:rPr>
              <w:t xml:space="preserve"> do zastosowana </w:t>
            </w:r>
            <w:r w:rsidRPr="000D2016">
              <w:rPr>
                <w:rFonts w:cs="Times New Roman"/>
                <w:szCs w:val="22"/>
                <w:lang w:eastAsia="pl-PL"/>
              </w:rPr>
              <w:t xml:space="preserve">z różnymi typami tkanki nowotworowej, certyfikat </w:t>
            </w:r>
            <w:r w:rsidRPr="000D2016">
              <w:rPr>
                <w:rFonts w:cs="Times New Roman"/>
                <w:szCs w:val="22"/>
              </w:rPr>
              <w:t>CE</w:t>
            </w:r>
            <w:r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8.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</w:rPr>
              <w:t>Proteaza do uniwersalnego zestawu odczynników</w:t>
            </w:r>
            <w:r w:rsidRPr="000D2016">
              <w:rPr>
                <w:rFonts w:cs="Times New Roman"/>
                <w:szCs w:val="22"/>
                <w:lang w:eastAsia="pl-PL"/>
              </w:rPr>
              <w:t xml:space="preserve"> niezbędnych do wstępne</w:t>
            </w:r>
            <w:r>
              <w:rPr>
                <w:rFonts w:cs="Times New Roman"/>
                <w:szCs w:val="22"/>
                <w:lang w:eastAsia="pl-PL"/>
              </w:rPr>
              <w:t xml:space="preserve">go </w:t>
            </w:r>
            <w:r w:rsidRPr="000D2016">
              <w:rPr>
                <w:rFonts w:cs="Times New Roman"/>
                <w:szCs w:val="22"/>
                <w:lang w:eastAsia="pl-PL"/>
              </w:rPr>
              <w:t>przy</w:t>
            </w:r>
            <w:r>
              <w:rPr>
                <w:rFonts w:cs="Times New Roman"/>
                <w:szCs w:val="22"/>
                <w:lang w:eastAsia="pl-PL"/>
              </w:rPr>
              <w:t xml:space="preserve">gotowania preparatów z </w:t>
            </w:r>
            <w:r w:rsidRPr="000D2016">
              <w:rPr>
                <w:rFonts w:cs="Times New Roman"/>
                <w:szCs w:val="22"/>
                <w:lang w:eastAsia="pl-PL"/>
              </w:rPr>
              <w:t>bloczków parafinowych w procedurze FISH</w:t>
            </w:r>
            <w:r>
              <w:rPr>
                <w:rFonts w:cs="Times New Roman"/>
                <w:szCs w:val="22"/>
                <w:lang w:eastAsia="pl-PL"/>
              </w:rPr>
              <w:t xml:space="preserve"> </w:t>
            </w:r>
            <w:r w:rsidRPr="000D2016">
              <w:rPr>
                <w:rFonts w:cs="Times New Roman"/>
                <w:szCs w:val="22"/>
                <w:lang w:eastAsia="pl-PL"/>
              </w:rPr>
              <w:t>metodą manualną</w:t>
            </w:r>
            <w:r w:rsidRPr="000D2016">
              <w:rPr>
                <w:rFonts w:cs="Times New Roman"/>
                <w:szCs w:val="22"/>
              </w:rPr>
              <w:t>,</w:t>
            </w:r>
            <w:r w:rsidRPr="000D2016">
              <w:rPr>
                <w:rFonts w:cs="Times New Roman"/>
                <w:szCs w:val="22"/>
                <w:lang w:eastAsia="pl-PL"/>
              </w:rPr>
              <w:t xml:space="preserve"> do zastosowana z różnymi typami tkanki nowotworowej,</w:t>
            </w:r>
            <w:r>
              <w:rPr>
                <w:rFonts w:cs="Times New Roman"/>
                <w:szCs w:val="22"/>
              </w:rPr>
              <w:t xml:space="preserve"> </w:t>
            </w:r>
            <w:r w:rsidRPr="000D2016">
              <w:rPr>
                <w:rFonts w:cs="Times New Roman"/>
                <w:szCs w:val="22"/>
              </w:rPr>
              <w:t xml:space="preserve">5x75 mg, certyfikat 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0D2016">
        <w:trPr>
          <w:trHeight w:val="89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9.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  <w:lang w:eastAsia="pl-PL"/>
              </w:rPr>
              <w:t xml:space="preserve">Barwnik kontrastowy DAPI do wizualizacji jąder w technice FISH, 1000 ng DAPI/mL, 500 µl x 2, kompatybilny z zestawem sond HER-2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0D2016">
        <w:trPr>
          <w:trHeight w:val="113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10.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  <w:lang w:eastAsia="pl-PL"/>
              </w:rPr>
              <w:t xml:space="preserve">Barwnik kontrastowy DAPI do wizualizacji jąder w </w:t>
            </w:r>
            <w:r>
              <w:rPr>
                <w:rFonts w:cs="Times New Roman"/>
                <w:szCs w:val="22"/>
                <w:lang w:eastAsia="pl-PL"/>
              </w:rPr>
              <w:t xml:space="preserve">technice FISH, do </w:t>
            </w:r>
            <w:r w:rsidRPr="000D2016">
              <w:rPr>
                <w:rFonts w:cs="Times New Roman"/>
                <w:szCs w:val="22"/>
                <w:lang w:eastAsia="pl-PL"/>
              </w:rPr>
              <w:t xml:space="preserve">preparatów z bloczków parafinowych, 300 µl x 1, </w:t>
            </w:r>
            <w:r w:rsidRPr="000D2016">
              <w:rPr>
                <w:rFonts w:cs="Times New Roman"/>
                <w:szCs w:val="22"/>
              </w:rPr>
              <w:t>certyfikat CE</w:t>
            </w:r>
            <w:r w:rsidRPr="000D2016">
              <w:rPr>
                <w:rFonts w:cs="Times New Roman"/>
                <w:szCs w:val="22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F37B8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  <w:lang w:eastAsia="pl-PL"/>
              </w:rPr>
              <w:t xml:space="preserve">Zestaw do wykrywania i kwantyfikacji mutacji somatycznej genu V617F JAK2 w ludzkim genomowym DNA, do reakcji PCR w czasie rzeczywistym z </w:t>
            </w:r>
            <w:r>
              <w:rPr>
                <w:rFonts w:cs="Times New Roman"/>
                <w:szCs w:val="22"/>
                <w:lang w:eastAsia="pl-PL"/>
              </w:rPr>
              <w:tab/>
            </w:r>
            <w:r w:rsidRPr="000D2016">
              <w:rPr>
                <w:rFonts w:cs="Times New Roman"/>
                <w:szCs w:val="22"/>
                <w:lang w:eastAsia="pl-PL"/>
              </w:rPr>
              <w:t xml:space="preserve">użyciem sond znakowanych fluorescencyjnie i starterów specyficznych dla </w:t>
            </w:r>
            <w:r>
              <w:rPr>
                <w:rFonts w:cs="Times New Roman"/>
                <w:szCs w:val="22"/>
                <w:lang w:eastAsia="pl-PL"/>
              </w:rPr>
              <w:tab/>
            </w:r>
            <w:r w:rsidRPr="000D2016">
              <w:rPr>
                <w:rFonts w:cs="Times New Roman"/>
                <w:szCs w:val="22"/>
                <w:lang w:eastAsia="pl-PL"/>
              </w:rPr>
              <w:t>alleli</w:t>
            </w:r>
            <w:r>
              <w:rPr>
                <w:rFonts w:cs="Times New Roman"/>
                <w:szCs w:val="22"/>
                <w:lang w:eastAsia="pl-PL"/>
              </w:rPr>
              <w:t xml:space="preserve">, </w:t>
            </w:r>
            <w:r w:rsidRPr="000D2016">
              <w:rPr>
                <w:rFonts w:cs="Times New Roman"/>
                <w:szCs w:val="22"/>
                <w:lang w:eastAsia="pl-PL"/>
              </w:rPr>
              <w:t>LOD 0,1% zmutowana JAK2 na tle WT przy 100 000 kopii w reakcji</w:t>
            </w:r>
            <w:r>
              <w:rPr>
                <w:rFonts w:cs="Times New Roman"/>
                <w:szCs w:val="22"/>
                <w:lang w:eastAsia="pl-PL"/>
              </w:rPr>
              <w:t xml:space="preserve">, </w:t>
            </w:r>
            <w:r w:rsidRPr="000D2016">
              <w:rPr>
                <w:rFonts w:cs="Times New Roman"/>
                <w:szCs w:val="22"/>
                <w:lang w:eastAsia="pl-PL"/>
              </w:rPr>
              <w:t>detekcja w kanale FAM, kompatybilny z aparatem CFX96, Cobas z480</w:t>
            </w:r>
            <w:r>
              <w:rPr>
                <w:rFonts w:cs="Times New Roman"/>
                <w:szCs w:val="22"/>
                <w:lang w:eastAsia="pl-PL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F37B8" w:rsidRPr="009D5F76" w:rsidRDefault="005F37B8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0D2016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12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0D2016" w:rsidRDefault="000D2016" w:rsidP="00AC5F7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  <w:lang w:eastAsia="pl-PL"/>
              </w:rPr>
              <w:t xml:space="preserve">Zestaw do wykrywania i oceny ilościowej mutacji somatycznych BRAF </w:t>
            </w:r>
            <w:r>
              <w:rPr>
                <w:rFonts w:cs="Times New Roman"/>
                <w:szCs w:val="22"/>
                <w:lang w:eastAsia="pl-PL"/>
              </w:rPr>
              <w:tab/>
            </w:r>
            <w:r w:rsidRPr="000D2016">
              <w:rPr>
                <w:rFonts w:cs="Times New Roman"/>
                <w:szCs w:val="22"/>
                <w:lang w:eastAsia="pl-PL"/>
              </w:rPr>
              <w:t xml:space="preserve">V600E, E2, D, D2, K, R oraz M w ludzkim genomowym DNA do reakcji </w:t>
            </w:r>
            <w:r>
              <w:rPr>
                <w:rFonts w:cs="Times New Roman"/>
                <w:szCs w:val="22"/>
                <w:lang w:eastAsia="pl-PL"/>
              </w:rPr>
              <w:tab/>
            </w:r>
            <w:r w:rsidRPr="000D2016">
              <w:rPr>
                <w:rFonts w:cs="Times New Roman"/>
                <w:szCs w:val="22"/>
                <w:lang w:eastAsia="pl-PL"/>
              </w:rPr>
              <w:t xml:space="preserve">łańcuchowej polimerazy w czasie rzeczywistym (qPCR) z użyciem sond </w:t>
            </w:r>
            <w:r>
              <w:rPr>
                <w:rFonts w:cs="Times New Roman"/>
                <w:szCs w:val="22"/>
                <w:lang w:eastAsia="pl-PL"/>
              </w:rPr>
              <w:tab/>
            </w:r>
            <w:r w:rsidRPr="000D2016">
              <w:rPr>
                <w:rFonts w:cs="Times New Roman"/>
                <w:szCs w:val="22"/>
                <w:lang w:eastAsia="pl-PL"/>
              </w:rPr>
              <w:t>znakowanych fluorescencyjnie i starterów specyficznych dla alleli, LOD 0,2% zmutowany BRAF na tle WT przy 100 000 kopii w reakcji, detekcja w kanale FAM, kompatybilny z aparatem CFX96, Cob</w:t>
            </w:r>
            <w:r w:rsidR="00FF4BF3">
              <w:rPr>
                <w:rFonts w:cs="Times New Roman"/>
                <w:szCs w:val="22"/>
                <w:lang w:eastAsia="pl-PL"/>
              </w:rPr>
              <w:t xml:space="preserve">as z480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0D2016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0D2016" w:rsidRDefault="000D2016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0D2016">
              <w:rPr>
                <w:rFonts w:cs="Times New Roman"/>
                <w:szCs w:val="22"/>
                <w:lang w:eastAsia="pl-PL"/>
              </w:rPr>
              <w:t>Zestaw do wykrywania i oceny ilościowej mutacji somatycznych BRAF V600E, E2, D i D2 w ludzkim genomowym DNA do reakcji łańcuchowej polimerazy w czasie rzeczywistym (qPCR) z użyciem sond znakowanych fluorescencyjnie i starterów specyficznych dla alleli</w:t>
            </w:r>
            <w:r>
              <w:rPr>
                <w:rFonts w:cs="Times New Roman"/>
                <w:szCs w:val="22"/>
                <w:lang w:eastAsia="pl-PL"/>
              </w:rPr>
              <w:t xml:space="preserve">, kompatybilny z aparatem </w:t>
            </w:r>
            <w:r w:rsidRPr="000D2016">
              <w:rPr>
                <w:rFonts w:cs="Times New Roman"/>
                <w:szCs w:val="22"/>
                <w:lang w:eastAsia="pl-PL"/>
              </w:rPr>
              <w:t xml:space="preserve">CFX96, Cobas z480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0D2016" w:rsidRPr="009D5F76" w:rsidTr="000D2016">
        <w:trPr>
          <w:trHeight w:val="619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sz w:val="20"/>
                <w:lang w:eastAsia="zh-CN" w:bidi="hi-IN"/>
              </w:rPr>
              <w:t>AKCESORIA ZUŻYWALNE</w:t>
            </w:r>
          </w:p>
        </w:tc>
      </w:tr>
      <w:tr w:rsidR="000D2016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5A2D92" w:rsidRDefault="005A2D92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5A2D92">
              <w:rPr>
                <w:rFonts w:cs="Times New Roman"/>
                <w:szCs w:val="22"/>
                <w:lang w:eastAsia="pl-PL"/>
              </w:rPr>
              <w:t>Zestaw szkiełek kontrolnych do procedury FISH,</w:t>
            </w:r>
            <w:r w:rsidRPr="005A2D92">
              <w:rPr>
                <w:szCs w:val="22"/>
              </w:rPr>
              <w:t xml:space="preserve"> </w:t>
            </w:r>
            <w:r w:rsidRPr="005A2D92">
              <w:rPr>
                <w:rFonts w:cs="Times New Roman"/>
                <w:szCs w:val="22"/>
                <w:lang w:eastAsia="pl-PL"/>
              </w:rPr>
              <w:t>do oceny warunków</w:t>
            </w:r>
            <w:r>
              <w:rPr>
                <w:rFonts w:cs="Times New Roman"/>
                <w:szCs w:val="22"/>
                <w:lang w:eastAsia="pl-PL"/>
              </w:rPr>
              <w:t xml:space="preserve"> </w:t>
            </w:r>
            <w:r w:rsidRPr="005A2D92">
              <w:rPr>
                <w:rFonts w:cs="Times New Roman"/>
                <w:szCs w:val="22"/>
                <w:lang w:eastAsia="pl-PL"/>
              </w:rPr>
              <w:t>hybrydyzacji oraz kontroli przygotowania odczynników podczas rutynowego stosowania sond HER-2 do określania poziomu o</w:t>
            </w:r>
            <w:r>
              <w:rPr>
                <w:rFonts w:cs="Times New Roman"/>
                <w:szCs w:val="22"/>
                <w:lang w:eastAsia="pl-PL"/>
              </w:rPr>
              <w:t xml:space="preserve">dcięcia sygnałów, 5 szkiełek, </w:t>
            </w:r>
            <w:r w:rsidRPr="005A2D92">
              <w:rPr>
                <w:rFonts w:cs="Times New Roman"/>
                <w:szCs w:val="22"/>
                <w:lang w:eastAsia="pl-PL"/>
              </w:rPr>
              <w:t xml:space="preserve">certyfikat 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D2016" w:rsidRPr="009D5F76" w:rsidRDefault="000D2016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A2D92" w:rsidRPr="009D5F76" w:rsidTr="00AC5F79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2D92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2D92" w:rsidRPr="005A2D92" w:rsidRDefault="005A2D92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5A2D92">
              <w:rPr>
                <w:rFonts w:cs="Times New Roman"/>
                <w:szCs w:val="22"/>
                <w:lang w:eastAsia="pl-PL"/>
              </w:rPr>
              <w:t>Zestaw szkiełek kontrolnych do procedury FISH,</w:t>
            </w:r>
            <w:r w:rsidRPr="005A2D92">
              <w:rPr>
                <w:szCs w:val="22"/>
              </w:rPr>
              <w:t xml:space="preserve"> </w:t>
            </w:r>
            <w:r w:rsidRPr="005A2D92">
              <w:rPr>
                <w:rFonts w:cs="Times New Roman"/>
                <w:szCs w:val="22"/>
                <w:lang w:eastAsia="pl-PL"/>
              </w:rPr>
              <w:t>do oceny warunków</w:t>
            </w:r>
            <w:r>
              <w:rPr>
                <w:rFonts w:cs="Times New Roman"/>
                <w:szCs w:val="22"/>
                <w:lang w:eastAsia="pl-PL"/>
              </w:rPr>
              <w:t xml:space="preserve"> </w:t>
            </w:r>
            <w:r w:rsidRPr="005A2D92">
              <w:rPr>
                <w:rFonts w:cs="Times New Roman"/>
                <w:szCs w:val="22"/>
                <w:lang w:eastAsia="pl-PL"/>
              </w:rPr>
              <w:t>hybrydyzacji oraz kontroli przygotowania odczynników podczas rutynowego stosowania sond ALK do określania poziomu o</w:t>
            </w:r>
            <w:r>
              <w:rPr>
                <w:rFonts w:cs="Times New Roman"/>
                <w:szCs w:val="22"/>
                <w:lang w:eastAsia="pl-PL"/>
              </w:rPr>
              <w:t xml:space="preserve">dcięcia sygnałów, 5 szkiełek, </w:t>
            </w:r>
            <w:r w:rsidRPr="005A2D92">
              <w:rPr>
                <w:rFonts w:cs="Times New Roman"/>
                <w:szCs w:val="22"/>
                <w:lang w:eastAsia="pl-PL"/>
              </w:rPr>
              <w:t xml:space="preserve">certyfikat CE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2D92" w:rsidRPr="009D5F7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2D92" w:rsidRPr="009D5F7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2D92" w:rsidRPr="009D5F7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2D92" w:rsidRPr="009D5F7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A2D92" w:rsidRPr="009D5F76" w:rsidRDefault="005A2D92" w:rsidP="00AC5F79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A2D92" w:rsidRPr="009D5F76" w:rsidTr="005A2D92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F37B8" w:rsidRPr="009D5F76" w:rsidRDefault="005F37B8" w:rsidP="00AC5F79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92" w:rsidRPr="009D5F76" w:rsidRDefault="005A2D92">
            <w:pPr>
              <w:spacing w:line="259" w:lineRule="auto"/>
            </w:pPr>
          </w:p>
        </w:tc>
      </w:tr>
    </w:tbl>
    <w:p w:rsidR="005F37B8" w:rsidRPr="009D5F76" w:rsidRDefault="005F37B8" w:rsidP="005F37B8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5F37B8" w:rsidRPr="0088692B" w:rsidRDefault="005F37B8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88692B">
        <w:rPr>
          <w:rFonts w:eastAsia="NSimSun" w:cs="Mangal"/>
          <w:b/>
          <w:lang w:eastAsia="zh-CN" w:bidi="hi-IN"/>
        </w:rPr>
        <w:t>UWAGA</w:t>
      </w:r>
      <w:r>
        <w:rPr>
          <w:rFonts w:eastAsia="NSimSun" w:cs="Mangal"/>
          <w:b/>
          <w:lang w:eastAsia="zh-CN" w:bidi="hi-IN"/>
        </w:rPr>
        <w:t xml:space="preserve"> (jeżeli dotyczy)</w:t>
      </w:r>
      <w:r w:rsidRPr="0088692B">
        <w:rPr>
          <w:rFonts w:eastAsia="NSimSun" w:cs="Mangal"/>
          <w:b/>
          <w:lang w:eastAsia="zh-CN" w:bidi="hi-IN"/>
        </w:rPr>
        <w:t xml:space="preserve">: </w:t>
      </w:r>
    </w:p>
    <w:p w:rsidR="005F37B8" w:rsidRPr="0088692B" w:rsidRDefault="005F37B8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</w:p>
    <w:p w:rsidR="005F37B8" w:rsidRPr="0088692B" w:rsidRDefault="005F37B8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88692B">
        <w:rPr>
          <w:rFonts w:eastAsia="NSimSun" w:cs="Mangal"/>
          <w:lang w:eastAsia="zh-CN" w:bidi="hi-IN"/>
        </w:rPr>
        <w:lastRenderedPageBreak/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5F37B8" w:rsidRPr="0088692B" w:rsidRDefault="005F37B8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5F37B8" w:rsidRPr="0088692B" w:rsidRDefault="005F37B8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88692B">
        <w:rPr>
          <w:rFonts w:eastAsia="NSimSun" w:cs="Mangal"/>
          <w:lang w:eastAsia="zh-CN" w:bidi="hi-IN"/>
        </w:rPr>
        <w:t xml:space="preserve">-Wykonawca jest zobowiązany dostarczyć </w:t>
      </w:r>
      <w:r w:rsidRPr="0088692B">
        <w:rPr>
          <w:rFonts w:eastAsia="NSimSun" w:cs="Mangal"/>
          <w:b/>
          <w:lang w:eastAsia="zh-CN" w:bidi="hi-IN"/>
        </w:rPr>
        <w:t>świadectwo jakości</w:t>
      </w:r>
      <w:r w:rsidRPr="0088692B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5F37B8" w:rsidRPr="0088692B" w:rsidRDefault="005F37B8" w:rsidP="005F37B8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88692B">
        <w:rPr>
          <w:rFonts w:eastAsia="NSimSun" w:cs="Mangal"/>
          <w:lang w:eastAsia="zh-CN" w:bidi="hi-IN"/>
        </w:rPr>
        <w:t xml:space="preserve">-Wykonawca jest zobowiązany dostarczyć </w:t>
      </w:r>
      <w:r w:rsidRPr="0088692B">
        <w:rPr>
          <w:rFonts w:eastAsia="NSimSun" w:cs="Mangal"/>
          <w:b/>
          <w:lang w:eastAsia="zh-CN" w:bidi="hi-IN"/>
        </w:rPr>
        <w:t>kartę charakterystyki</w:t>
      </w:r>
      <w:r w:rsidRPr="0088692B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5F37B8" w:rsidRPr="009D5F76" w:rsidRDefault="005F37B8" w:rsidP="005F37B8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5F37B8" w:rsidRDefault="005F37B8" w:rsidP="005F37B8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5F37B8" w:rsidRPr="009D5F76" w:rsidRDefault="005F37B8" w:rsidP="005F37B8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5F37B8" w:rsidRPr="009D5F76" w:rsidRDefault="005F37B8" w:rsidP="005F37B8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5F37B8" w:rsidRPr="009D5F76" w:rsidRDefault="005F37B8" w:rsidP="005F37B8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upoważnionej do reprezentowania Wykonawcy</w:t>
      </w:r>
    </w:p>
    <w:p w:rsidR="005F37B8" w:rsidRDefault="005F37B8" w:rsidP="005F37B8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5F37B8" w:rsidRDefault="005F37B8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F37B8" w:rsidRDefault="005F37B8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F37B8" w:rsidRDefault="005F37B8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F37B8" w:rsidRDefault="005F37B8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F37B8" w:rsidRDefault="005F37B8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F37B8" w:rsidRDefault="005F37B8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F37B8" w:rsidRDefault="005F37B8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F4BF3" w:rsidRDefault="00FF4BF3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5A2D92" w:rsidRDefault="005A2D92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8928C4" w:rsidRDefault="005A2D92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lastRenderedPageBreak/>
        <w:t>Załącznik nr 2.4</w:t>
      </w:r>
      <w:r w:rsidR="008928C4">
        <w:rPr>
          <w:rFonts w:eastAsia="Times New Roman"/>
          <w:b/>
          <w:lang w:eastAsia="zh-CN"/>
        </w:rPr>
        <w:t xml:space="preserve"> – Kosztorys ofertowy </w:t>
      </w:r>
    </w:p>
    <w:p w:rsidR="008928C4" w:rsidRDefault="008928C4" w:rsidP="008928C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8928C4" w:rsidRPr="005A2D92" w:rsidRDefault="005A2D92" w:rsidP="005A2D92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>
        <w:rPr>
          <w:rFonts w:eastAsia="Times New Roman"/>
          <w:b/>
          <w:lang w:eastAsia="zh-CN"/>
        </w:rPr>
        <w:t>Część 4</w:t>
      </w:r>
      <w:r w:rsidR="008928C4">
        <w:rPr>
          <w:rFonts w:eastAsia="Times New Roman"/>
          <w:b/>
          <w:lang w:eastAsia="zh-CN"/>
        </w:rPr>
        <w:t xml:space="preserve"> – </w:t>
      </w:r>
      <w:r>
        <w:rPr>
          <w:rFonts w:eastAsia="Times New Roman"/>
          <w:b/>
          <w:lang w:eastAsia="zh-CN"/>
        </w:rPr>
        <w:t>Szkiełka podstawowe i nakrywkowe do FISH</w:t>
      </w: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8928C4" w:rsidRPr="00436F96" w:rsidTr="005A2D92">
        <w:trPr>
          <w:trHeight w:val="93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8928C4" w:rsidRP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8928C4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5A2D92" w:rsidRPr="00436F96" w:rsidTr="005A2D92">
        <w:trPr>
          <w:trHeight w:val="510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A2D92" w:rsidRPr="008928C4" w:rsidRDefault="005A2D92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lang w:eastAsia="zh-CN" w:bidi="hi-IN"/>
              </w:rPr>
              <w:t>AKCESORIA  ZUŻYWALNE</w:t>
            </w:r>
          </w:p>
        </w:tc>
      </w:tr>
      <w:tr w:rsidR="008928C4" w:rsidRPr="00436F96" w:rsidTr="00E66DE0">
        <w:trPr>
          <w:trHeight w:val="129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855F39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lang w:eastAsia="zh-CN" w:bidi="hi-IN"/>
              </w:rPr>
              <w:t>1</w:t>
            </w:r>
            <w:r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FF4BF3" w:rsidRDefault="005A2D92" w:rsidP="008928C4">
            <w:pPr>
              <w:pStyle w:val="Standard"/>
              <w:jc w:val="both"/>
              <w:rPr>
                <w:sz w:val="22"/>
                <w:szCs w:val="22"/>
              </w:rPr>
            </w:pPr>
            <w:r w:rsidRPr="005A2D92">
              <w:rPr>
                <w:sz w:val="22"/>
                <w:szCs w:val="22"/>
              </w:rPr>
              <w:t>Szkiełka podstawowe typu superfro</w:t>
            </w:r>
            <w:r>
              <w:rPr>
                <w:sz w:val="22"/>
                <w:szCs w:val="22"/>
              </w:rPr>
              <w:t>st, wykonane ze szkła sodowo-</w:t>
            </w:r>
            <w:r w:rsidRPr="005A2D92">
              <w:rPr>
                <w:sz w:val="22"/>
                <w:szCs w:val="22"/>
              </w:rPr>
              <w:t xml:space="preserve">wapniowego, o podwyższonej przezierności </w:t>
            </w:r>
            <w:r>
              <w:rPr>
                <w:sz w:val="22"/>
                <w:szCs w:val="22"/>
              </w:rPr>
              <w:t xml:space="preserve">i niskiej zawartości żelaza, </w:t>
            </w:r>
            <w:r w:rsidRPr="005A2D92">
              <w:rPr>
                <w:sz w:val="22"/>
                <w:szCs w:val="22"/>
              </w:rPr>
              <w:t xml:space="preserve">z krawędziami szlifowanymi 90°, z polem do opisu </w:t>
            </w:r>
            <w:r w:rsidR="00FF4BF3">
              <w:rPr>
                <w:sz w:val="22"/>
                <w:szCs w:val="22"/>
              </w:rPr>
              <w:t xml:space="preserve">  </w:t>
            </w:r>
            <w:r w:rsidRPr="00BE4FAD">
              <w:rPr>
                <w:sz w:val="22"/>
                <w:szCs w:val="22"/>
              </w:rPr>
              <w:t>( 72 szt. = 1 op.)</w:t>
            </w:r>
            <w:r w:rsidRPr="005A2D9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5A2D92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 w:rsidRPr="005A2D92"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5A2D92" w:rsidRDefault="005A2D92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436F96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436F96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8928C4" w:rsidRPr="00436F96" w:rsidTr="005A2D92">
        <w:trPr>
          <w:trHeight w:val="94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855F39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5A2D92" w:rsidRDefault="005A2D92" w:rsidP="00FF4BF3">
            <w:pPr>
              <w:pStyle w:val="Standard"/>
              <w:jc w:val="both"/>
              <w:rPr>
                <w:rFonts w:cs="Arial Narrow"/>
                <w:b/>
                <w:bCs w:val="0"/>
                <w:sz w:val="22"/>
                <w:szCs w:val="22"/>
                <w:lang w:bidi="hi-IN"/>
              </w:rPr>
            </w:pPr>
            <w:r w:rsidRPr="005A2D92">
              <w:rPr>
                <w:sz w:val="22"/>
                <w:szCs w:val="22"/>
                <w:lang w:eastAsia="pl-PL"/>
              </w:rPr>
              <w:t xml:space="preserve">Szkiełka nakrywkowe mikroskopowe, wymiary 22x22 mm, o </w:t>
            </w:r>
            <w:r>
              <w:rPr>
                <w:sz w:val="22"/>
                <w:szCs w:val="22"/>
                <w:lang w:eastAsia="pl-PL"/>
              </w:rPr>
              <w:t xml:space="preserve">grubości </w:t>
            </w:r>
            <w:r w:rsidRPr="005A2D92">
              <w:rPr>
                <w:sz w:val="22"/>
                <w:szCs w:val="22"/>
                <w:lang w:eastAsia="pl-PL"/>
              </w:rPr>
              <w:t xml:space="preserve">0,13-0,16 mm, pakowane po 100 szt. </w:t>
            </w:r>
            <w:r>
              <w:rPr>
                <w:sz w:val="22"/>
                <w:szCs w:val="22"/>
                <w:lang w:eastAsia="pl-PL"/>
              </w:rPr>
              <w:t>( 100 szt. = 1</w:t>
            </w:r>
            <w:r w:rsidRPr="005A2D92">
              <w:rPr>
                <w:sz w:val="22"/>
                <w:szCs w:val="22"/>
                <w:lang w:eastAsia="pl-PL"/>
              </w:rPr>
              <w:t xml:space="preserve"> op.)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5A2D92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sz w:val="24"/>
                <w:szCs w:val="24"/>
                <w:lang w:eastAsia="zh-CN" w:bidi="hi-IN"/>
              </w:rPr>
            </w:pPr>
            <w:r w:rsidRPr="005A2D92"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5A2D92" w:rsidRDefault="005A2D92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</w:pPr>
            <w:r>
              <w:rPr>
                <w:rFonts w:eastAsia="Times New Roman"/>
                <w:iCs w:val="0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436F96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436F96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28C4" w:rsidRDefault="008928C4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5A2D92" w:rsidRPr="00436F96" w:rsidTr="005A2D92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928C4" w:rsidRPr="00986551" w:rsidRDefault="008928C4" w:rsidP="00E66DE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D92" w:rsidRPr="00436F96" w:rsidRDefault="005A2D92">
            <w:pPr>
              <w:spacing w:line="259" w:lineRule="auto"/>
            </w:pPr>
          </w:p>
        </w:tc>
      </w:tr>
    </w:tbl>
    <w:p w:rsidR="008928C4" w:rsidRPr="008928C4" w:rsidRDefault="008928C4" w:rsidP="005A2D92">
      <w:pPr>
        <w:tabs>
          <w:tab w:val="left" w:pos="11880"/>
        </w:tabs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C7E11">
        <w:rPr>
          <w:rFonts w:eastAsia="Times New Roman" w:cs="Times New Roman"/>
          <w:szCs w:val="24"/>
          <w:lang w:eastAsia="pl-PL"/>
        </w:rPr>
        <w:t>* Wypełnia Wykonawca</w:t>
      </w:r>
      <w:r w:rsidR="005A2D92">
        <w:rPr>
          <w:rFonts w:eastAsia="Times New Roman" w:cs="Times New Roman"/>
          <w:szCs w:val="24"/>
          <w:lang w:eastAsia="pl-PL"/>
        </w:rPr>
        <w:tab/>
      </w:r>
    </w:p>
    <w:p w:rsidR="008928C4" w:rsidRPr="004368AB" w:rsidRDefault="008928C4" w:rsidP="008928C4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4368AB">
        <w:rPr>
          <w:rFonts w:eastAsia="NSimSun" w:cs="Mangal"/>
          <w:b/>
          <w:lang w:eastAsia="zh-CN" w:bidi="hi-IN"/>
        </w:rPr>
        <w:t>UWAGA</w:t>
      </w:r>
      <w:r w:rsidR="004368AB" w:rsidRPr="004368AB">
        <w:rPr>
          <w:rFonts w:eastAsia="NSimSun" w:cs="Mangal"/>
          <w:b/>
          <w:lang w:eastAsia="zh-CN" w:bidi="hi-IN"/>
        </w:rPr>
        <w:t xml:space="preserve"> (jeżeli dotyczy)</w:t>
      </w:r>
      <w:r w:rsidRPr="004368AB">
        <w:rPr>
          <w:rFonts w:eastAsia="NSimSun" w:cs="Mangal"/>
          <w:b/>
          <w:lang w:eastAsia="zh-CN" w:bidi="hi-IN"/>
        </w:rPr>
        <w:t xml:space="preserve">: </w:t>
      </w:r>
    </w:p>
    <w:p w:rsidR="008928C4" w:rsidRPr="004368AB" w:rsidRDefault="008928C4" w:rsidP="008928C4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4368AB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8928C4" w:rsidRPr="004368AB" w:rsidRDefault="008928C4" w:rsidP="008928C4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8928C4" w:rsidRPr="004368AB" w:rsidRDefault="008928C4" w:rsidP="008928C4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świadectwo jakości</w:t>
      </w:r>
      <w:r w:rsidRPr="004368AB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8928C4" w:rsidRPr="00384F68" w:rsidRDefault="008928C4" w:rsidP="008928C4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kartę charakterystyki</w:t>
      </w:r>
      <w:r w:rsidRPr="004368AB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8928C4" w:rsidRDefault="008928C4" w:rsidP="008928C4">
      <w:pPr>
        <w:pStyle w:val="Standard"/>
        <w:jc w:val="both"/>
        <w:rPr>
          <w:spacing w:val="4"/>
          <w:sz w:val="22"/>
          <w:szCs w:val="22"/>
        </w:rPr>
      </w:pPr>
    </w:p>
    <w:p w:rsidR="008928C4" w:rsidRPr="00EA6EC6" w:rsidRDefault="008928C4" w:rsidP="008928C4">
      <w:pPr>
        <w:pStyle w:val="Standard"/>
        <w:jc w:val="both"/>
        <w:rPr>
          <w:spacing w:val="4"/>
          <w:sz w:val="22"/>
          <w:szCs w:val="22"/>
        </w:rPr>
      </w:pPr>
    </w:p>
    <w:p w:rsidR="008928C4" w:rsidRPr="00EA6EC6" w:rsidRDefault="008928C4" w:rsidP="008928C4">
      <w:pPr>
        <w:pStyle w:val="Tekstpodstawowy3"/>
        <w:ind w:left="4956" w:firstLine="708"/>
        <w:jc w:val="center"/>
        <w:rPr>
          <w:spacing w:val="4"/>
          <w:sz w:val="22"/>
          <w:szCs w:val="22"/>
        </w:rPr>
      </w:pPr>
      <w:r w:rsidRPr="00EA6EC6">
        <w:rPr>
          <w:spacing w:val="4"/>
          <w:sz w:val="22"/>
          <w:szCs w:val="22"/>
        </w:rPr>
        <w:t>............................................................................................................</w:t>
      </w:r>
    </w:p>
    <w:p w:rsidR="005A2D92" w:rsidRDefault="008928C4" w:rsidP="005A2D92">
      <w:pPr>
        <w:pStyle w:val="Tekstpodstawowy3"/>
        <w:ind w:left="4956"/>
        <w:jc w:val="center"/>
        <w:rPr>
          <w:spacing w:val="4"/>
          <w:sz w:val="22"/>
          <w:szCs w:val="22"/>
        </w:rPr>
      </w:pPr>
      <w:r w:rsidRPr="00EA6EC6">
        <w:rPr>
          <w:spacing w:val="4"/>
          <w:sz w:val="22"/>
          <w:szCs w:val="22"/>
        </w:rPr>
        <w:t xml:space="preserve">podpis osoby upoważnionej do reprezentowania </w:t>
      </w:r>
      <w:r>
        <w:rPr>
          <w:spacing w:val="4"/>
          <w:sz w:val="22"/>
          <w:szCs w:val="22"/>
        </w:rPr>
        <w:t>W</w:t>
      </w:r>
      <w:r w:rsidRPr="00EA6EC6">
        <w:rPr>
          <w:spacing w:val="4"/>
          <w:sz w:val="22"/>
          <w:szCs w:val="22"/>
        </w:rPr>
        <w:t>ykonawcy</w:t>
      </w:r>
    </w:p>
    <w:p w:rsidR="009D5F76" w:rsidRPr="005A2D92" w:rsidRDefault="009D5F76" w:rsidP="005A2D92">
      <w:pPr>
        <w:pStyle w:val="Tekstpodstawowy3"/>
        <w:rPr>
          <w:spacing w:val="4"/>
          <w:sz w:val="22"/>
          <w:szCs w:val="22"/>
        </w:rPr>
      </w:pPr>
      <w:r w:rsidRPr="009D5F76">
        <w:rPr>
          <w:b/>
        </w:rPr>
        <w:lastRenderedPageBreak/>
        <w:t>Załącznik nr 2.</w:t>
      </w:r>
      <w:r w:rsidR="005A2D92">
        <w:rPr>
          <w:b/>
        </w:rPr>
        <w:t>5</w:t>
      </w:r>
      <w:r w:rsidRPr="009D5F76">
        <w:rPr>
          <w:b/>
        </w:rPr>
        <w:t xml:space="preserve"> – Kosztorys ofertowy </w:t>
      </w:r>
    </w:p>
    <w:p w:rsidR="009D5F76" w:rsidRPr="009D5F76" w:rsidRDefault="009D5F76" w:rsidP="009D5F76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9D5F76" w:rsidRPr="009D5F76" w:rsidRDefault="009D5F76" w:rsidP="009D5F76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 w:rsidR="005A2D92">
        <w:rPr>
          <w:rFonts w:eastAsia="Times New Roman"/>
          <w:b/>
          <w:lang w:eastAsia="zh-CN"/>
        </w:rPr>
        <w:t>5 – Synteza oligonukleotydów</w:t>
      </w:r>
    </w:p>
    <w:p w:rsidR="009D5F76" w:rsidRPr="009D5F76" w:rsidRDefault="009D5F76" w:rsidP="009D5F76">
      <w:pPr>
        <w:autoSpaceDN w:val="0"/>
        <w:spacing w:after="0" w:line="240" w:lineRule="auto"/>
        <w:rPr>
          <w:rFonts w:eastAsia="Times New Roman" w:cs="Times New Roman"/>
          <w:sz w:val="20"/>
          <w:lang w:eastAsia="zh-CN"/>
        </w:rPr>
      </w:pP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9D5F76" w:rsidRPr="009D5F76" w:rsidTr="00AC5F79">
        <w:trPr>
          <w:trHeight w:val="124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9D5F76" w:rsidRPr="0088692B" w:rsidTr="00E66DE0">
        <w:trPr>
          <w:trHeight w:val="129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5F76" w:rsidRPr="009D5F76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5F76" w:rsidRPr="0088692B" w:rsidRDefault="00AC5F79" w:rsidP="009D5F76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>
              <w:rPr>
                <w:rFonts w:cs="Times New Roman"/>
                <w:sz w:val="24"/>
              </w:rPr>
              <w:t xml:space="preserve">Synteza oligonukleotydów, 100 par starterów DNA, ok. 22-nukleotydowe, niemodyfikowane, skala syntezy 0,02 µmoli, oczyszczanie HPLC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5F76" w:rsidRPr="00653A13" w:rsidRDefault="00653A13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653A13">
              <w:rPr>
                <w:rFonts w:eastAsia="Times New Roman" w:cs="Times New Roman"/>
                <w:iCs w:val="0"/>
                <w:szCs w:val="22"/>
                <w:lang w:eastAsia="zh-CN" w:bidi="hi-IN"/>
              </w:rPr>
              <w:t>1 para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5F76" w:rsidRPr="00653A13" w:rsidRDefault="00653A13" w:rsidP="0088692B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653A13">
              <w:rPr>
                <w:rFonts w:eastAsia="Times New Roman" w:cs="Times New Roman"/>
                <w:iCs w:val="0"/>
                <w:szCs w:val="22"/>
                <w:lang w:eastAsia="zh-CN" w:bidi="hi-IN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5F76" w:rsidRPr="0088692B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5F76" w:rsidRPr="0088692B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5F76" w:rsidRPr="0088692B" w:rsidRDefault="009D5F76" w:rsidP="009D5F76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AC5F79" w:rsidRPr="009D5F76" w:rsidTr="00AC5F79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D5F76" w:rsidRPr="009D5F76" w:rsidRDefault="009D5F76" w:rsidP="009D5F76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F79" w:rsidRPr="009D5F76" w:rsidRDefault="00AC5F79">
            <w:pPr>
              <w:spacing w:line="259" w:lineRule="auto"/>
            </w:pPr>
          </w:p>
        </w:tc>
      </w:tr>
    </w:tbl>
    <w:p w:rsidR="004368AB" w:rsidRPr="005A2D92" w:rsidRDefault="005A2D92" w:rsidP="005A2D92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* Wypełnia Wykonawca</w:t>
      </w:r>
    </w:p>
    <w:p w:rsid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lang w:eastAsia="zh-CN" w:bidi="hi-IN"/>
        </w:rPr>
      </w:pP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4368AB">
        <w:rPr>
          <w:rFonts w:eastAsia="NSimSun" w:cs="Mangal"/>
          <w:b/>
          <w:lang w:eastAsia="zh-CN" w:bidi="hi-IN"/>
        </w:rPr>
        <w:t xml:space="preserve">UWAGA (jeżeli dotyczy): </w:t>
      </w: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4368AB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4368AB" w:rsidRPr="004368AB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świadectwo jakości</w:t>
      </w:r>
      <w:r w:rsidRPr="004368AB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4368AB" w:rsidRPr="00384F68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kartę charakterystyki</w:t>
      </w:r>
      <w:r w:rsidRPr="004368AB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9D5F76" w:rsidRDefault="009D5F76" w:rsidP="009D5F76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4368AB" w:rsidRDefault="004368AB" w:rsidP="009D5F76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4368AB" w:rsidRDefault="004368AB" w:rsidP="009D5F76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4368AB" w:rsidRPr="009D5F76" w:rsidRDefault="004368AB" w:rsidP="009D5F76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9D5F76" w:rsidRPr="009D5F76" w:rsidRDefault="009D5F76" w:rsidP="009D5F76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E66DE0" w:rsidRPr="0088692B" w:rsidRDefault="009D5F76" w:rsidP="0088692B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upoważnionej do reprezentowania Wykonawcy</w:t>
      </w:r>
    </w:p>
    <w:p w:rsidR="005A2D92" w:rsidRDefault="005A2D92" w:rsidP="00E66DE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E66DE0" w:rsidRPr="009D5F76" w:rsidRDefault="00E66DE0" w:rsidP="00E66DE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>
        <w:rPr>
          <w:rFonts w:eastAsia="Times New Roman"/>
          <w:b/>
          <w:lang w:eastAsia="zh-CN"/>
        </w:rPr>
        <w:t>6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E66DE0" w:rsidRPr="009D5F76" w:rsidRDefault="00E66DE0" w:rsidP="00E66DE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E66DE0" w:rsidRPr="009D5F76" w:rsidRDefault="00E66DE0" w:rsidP="00E66DE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>
        <w:rPr>
          <w:rFonts w:eastAsia="Times New Roman"/>
          <w:b/>
          <w:lang w:eastAsia="zh-CN"/>
        </w:rPr>
        <w:t>6</w:t>
      </w:r>
      <w:r w:rsidRPr="009D5F76">
        <w:rPr>
          <w:rFonts w:eastAsia="Times New Roman"/>
          <w:b/>
          <w:lang w:eastAsia="zh-CN"/>
        </w:rPr>
        <w:t xml:space="preserve"> – </w:t>
      </w:r>
      <w:r>
        <w:rPr>
          <w:rFonts w:eastAsia="Times New Roman"/>
          <w:b/>
          <w:lang w:eastAsia="zh-CN"/>
        </w:rPr>
        <w:t>Odczynniki i akcesoria do NGS</w:t>
      </w:r>
    </w:p>
    <w:p w:rsidR="00E66DE0" w:rsidRPr="009D5F76" w:rsidRDefault="00E66DE0" w:rsidP="00E66DE0">
      <w:pPr>
        <w:autoSpaceDN w:val="0"/>
        <w:spacing w:after="0" w:line="240" w:lineRule="auto"/>
        <w:rPr>
          <w:rFonts w:eastAsia="Times New Roman" w:cs="Times New Roman"/>
          <w:sz w:val="20"/>
          <w:lang w:eastAsia="zh-CN"/>
        </w:rPr>
      </w:pP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E66DE0" w:rsidRPr="009D5F76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E66DE0" w:rsidRPr="00FC17B4" w:rsidTr="009121CB">
        <w:trPr>
          <w:trHeight w:val="86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121CB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bCs w:val="0"/>
                <w:szCs w:val="22"/>
                <w:lang w:eastAsia="zh-CN" w:bidi="hi-IN"/>
              </w:rPr>
              <w:t>Zestaw do automatycz</w:t>
            </w:r>
            <w:r w:rsidR="00E66DE0" w:rsidRPr="00FC17B4">
              <w:rPr>
                <w:rFonts w:eastAsia="Times New Roman" w:cs="Times New Roman"/>
                <w:bCs w:val="0"/>
                <w:szCs w:val="22"/>
                <w:lang w:eastAsia="zh-CN" w:bidi="hi-IN"/>
              </w:rPr>
              <w:t xml:space="preserve">nego przygotowywania bibliotek NGS genów BRCA1 i BRCA2, </w:t>
            </w:r>
            <w:r>
              <w:rPr>
                <w:rFonts w:eastAsia="Times New Roman" w:cs="Times New Roman"/>
                <w:bCs w:val="0"/>
                <w:szCs w:val="22"/>
                <w:lang w:eastAsia="zh-CN" w:bidi="hi-IN"/>
              </w:rPr>
              <w:t xml:space="preserve">zestaw na 32 reakcje, </w:t>
            </w:r>
            <w:r w:rsidR="00E66DE0" w:rsidRPr="00FC17B4">
              <w:rPr>
                <w:rFonts w:eastAsia="Times New Roman" w:cs="Times New Roman"/>
                <w:bCs w:val="0"/>
                <w:szCs w:val="22"/>
                <w:lang w:eastAsia="zh-CN" w:bidi="hi-IN"/>
              </w:rPr>
              <w:t xml:space="preserve">kompatybilny do IonTorrent, do użycia </w:t>
            </w:r>
            <w:r w:rsidR="00EE38E0">
              <w:rPr>
                <w:rFonts w:eastAsia="Times New Roman" w:cs="Times New Roman"/>
                <w:bCs w:val="0"/>
                <w:szCs w:val="22"/>
                <w:lang w:eastAsia="zh-CN" w:bidi="hi-IN"/>
              </w:rPr>
              <w:t>z Ion GeneStudio S5 Plus System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121CB" w:rsidRDefault="009121CB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121CB">
              <w:rPr>
                <w:rFonts w:cs="Times New Roman"/>
                <w:szCs w:val="22"/>
              </w:rPr>
              <w:t>Zestaw starterów oligonukleotydowych do a</w:t>
            </w:r>
            <w:r>
              <w:rPr>
                <w:rFonts w:cs="Times New Roman"/>
                <w:szCs w:val="22"/>
              </w:rPr>
              <w:t xml:space="preserve">utomatycznego przygotowywania </w:t>
            </w:r>
            <w:r w:rsidRPr="009121CB">
              <w:rPr>
                <w:rFonts w:cs="Times New Roman"/>
                <w:szCs w:val="22"/>
              </w:rPr>
              <w:t>bibliotek NGS genów BRCA1 i BRCA2, zesta</w:t>
            </w:r>
            <w:r>
              <w:rPr>
                <w:rFonts w:cs="Times New Roman"/>
                <w:szCs w:val="22"/>
              </w:rPr>
              <w:t xml:space="preserve">w na 32 reakcje, kompatybilny </w:t>
            </w:r>
            <w:r w:rsidRPr="009121CB">
              <w:rPr>
                <w:rFonts w:cs="Times New Roman"/>
                <w:szCs w:val="22"/>
              </w:rPr>
              <w:t>do IonTorrent, do użycia z Ion Chef i Ion GeneStudio S5 Plus System</w:t>
            </w:r>
            <w:r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E66DE0"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40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9121CB">
        <w:trPr>
          <w:trHeight w:val="115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3.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Zestaw 8 chipów z barkodami, do sekwencjo</w:t>
            </w:r>
            <w:r>
              <w:rPr>
                <w:rFonts w:cs="Times New Roman"/>
                <w:szCs w:val="22"/>
              </w:rPr>
              <w:t xml:space="preserve">nowania DNA metodą NGS, ilość </w:t>
            </w:r>
            <w:r w:rsidRPr="009B1DA5">
              <w:rPr>
                <w:rFonts w:cs="Times New Roman"/>
                <w:szCs w:val="22"/>
              </w:rPr>
              <w:t>odczytów z chipa 6-8 M, długość odczytó</w:t>
            </w:r>
            <w:r>
              <w:rPr>
                <w:rFonts w:cs="Times New Roman"/>
                <w:szCs w:val="22"/>
              </w:rPr>
              <w:t xml:space="preserve">w do 600 pz, kompatybilny do </w:t>
            </w:r>
            <w:r w:rsidRPr="009B1DA5">
              <w:rPr>
                <w:rFonts w:cs="Times New Roman"/>
                <w:szCs w:val="22"/>
              </w:rPr>
              <w:t xml:space="preserve">IonTorrent, do użycia z Ion Chef i Ion GeneStudio S5 Plus System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9121CB">
        <w:trPr>
          <w:trHeight w:val="97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4.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Zestaw odczynników do manualnego przygot</w:t>
            </w:r>
            <w:r>
              <w:rPr>
                <w:rFonts w:cs="Times New Roman"/>
                <w:szCs w:val="22"/>
              </w:rPr>
              <w:t xml:space="preserve">owania amplikonów i bibliotek </w:t>
            </w:r>
            <w:r>
              <w:rPr>
                <w:rFonts w:cs="Times New Roman"/>
                <w:szCs w:val="22"/>
              </w:rPr>
              <w:tab/>
            </w:r>
            <w:r w:rsidRPr="009B1DA5">
              <w:rPr>
                <w:rFonts w:cs="Times New Roman"/>
                <w:szCs w:val="22"/>
              </w:rPr>
              <w:t>metodą NGS genów BRCA1 i BRCA2, zestaw n</w:t>
            </w:r>
            <w:r>
              <w:rPr>
                <w:rFonts w:cs="Times New Roman"/>
                <w:szCs w:val="22"/>
              </w:rPr>
              <w:t xml:space="preserve">a 24 reakcje, kompatybilny do </w:t>
            </w:r>
            <w:r>
              <w:rPr>
                <w:rFonts w:cs="Times New Roman"/>
                <w:szCs w:val="22"/>
              </w:rPr>
              <w:tab/>
            </w:r>
            <w:r w:rsidRPr="009B1DA5">
              <w:rPr>
                <w:rFonts w:cs="Times New Roman"/>
                <w:szCs w:val="22"/>
              </w:rPr>
              <w:t>IonTorrent, do użycia z Ion Chef i Ion GeneStudio S5 Plus System</w:t>
            </w:r>
            <w:r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2C62C8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E66DE0"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9121CB">
        <w:trPr>
          <w:trHeight w:val="114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5</w:t>
            </w:r>
            <w:r w:rsidR="00E66DE0" w:rsidRPr="009D5F76"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 xml:space="preserve">Zestaw starterów oligonukleotydowych </w:t>
            </w:r>
            <w:r>
              <w:rPr>
                <w:rFonts w:cs="Times New Roman"/>
                <w:szCs w:val="22"/>
              </w:rPr>
              <w:t xml:space="preserve">do manualnego przygotowywania </w:t>
            </w:r>
            <w:r w:rsidRPr="009B1DA5">
              <w:rPr>
                <w:rFonts w:cs="Times New Roman"/>
                <w:szCs w:val="22"/>
              </w:rPr>
              <w:t xml:space="preserve">bibliotek NGS genów BRCA1 i BRCA2, zestaw na 24 reakcje, </w:t>
            </w:r>
            <w:r>
              <w:rPr>
                <w:rFonts w:cs="Times New Roman"/>
                <w:szCs w:val="22"/>
              </w:rPr>
              <w:t xml:space="preserve">kompatybilny </w:t>
            </w:r>
            <w:r w:rsidRPr="009B1DA5">
              <w:rPr>
                <w:rFonts w:cs="Times New Roman"/>
                <w:szCs w:val="22"/>
              </w:rPr>
              <w:t>do IonTorrent, do użycia z Ion Chef i Ion GeneStudio S5 Plus System</w:t>
            </w:r>
            <w:r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0A017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E66DE0"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9B1DA5">
        <w:trPr>
          <w:trHeight w:val="99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6</w:t>
            </w:r>
            <w:r w:rsidR="00E66DE0" w:rsidRPr="009D5F76"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Zestaw 16 adapterów 1-16 do łączenia bibliot</w:t>
            </w:r>
            <w:r>
              <w:rPr>
                <w:rFonts w:cs="Times New Roman"/>
                <w:szCs w:val="22"/>
              </w:rPr>
              <w:t xml:space="preserve">ek DNA podczas badania metodą </w:t>
            </w:r>
            <w:r w:rsidRPr="009B1DA5">
              <w:rPr>
                <w:rFonts w:cs="Times New Roman"/>
                <w:szCs w:val="22"/>
              </w:rPr>
              <w:t xml:space="preserve">NGS, zwalidowane do pracy z Ion Torrent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0A017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E66DE0"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9B1DA5">
        <w:trPr>
          <w:trHeight w:val="112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7</w:t>
            </w:r>
            <w:r w:rsidR="00E66DE0" w:rsidRPr="009D5F76"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Zestaw 8 chipów z barkodami, do sekwencjo</w:t>
            </w:r>
            <w:r>
              <w:rPr>
                <w:rFonts w:cs="Times New Roman"/>
                <w:szCs w:val="22"/>
              </w:rPr>
              <w:t xml:space="preserve">nowania DNA metodą NGS, ilość </w:t>
            </w:r>
            <w:r w:rsidRPr="009B1DA5">
              <w:rPr>
                <w:rFonts w:cs="Times New Roman"/>
                <w:szCs w:val="22"/>
              </w:rPr>
              <w:t>odczytów z chipa 2-3 M, długość odczytó</w:t>
            </w:r>
            <w:r>
              <w:rPr>
                <w:rFonts w:cs="Times New Roman"/>
                <w:szCs w:val="22"/>
              </w:rPr>
              <w:t xml:space="preserve">w do 400 pz, kompatybilny do </w:t>
            </w:r>
            <w:r w:rsidRPr="009B1DA5">
              <w:rPr>
                <w:rFonts w:cs="Times New Roman"/>
                <w:szCs w:val="22"/>
              </w:rPr>
              <w:t xml:space="preserve">IonTorrent, do użycia z Ion Chef i Ion GeneStudio S5 Plus System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0A017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E66DE0"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8</w:t>
            </w:r>
            <w:r w:rsidR="00E66DE0" w:rsidRPr="009D5F76"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Zestaw odczynników do pomiaru stęż</w:t>
            </w:r>
            <w:r>
              <w:rPr>
                <w:rFonts w:cs="Times New Roman"/>
                <w:szCs w:val="22"/>
              </w:rPr>
              <w:t xml:space="preserve">enia dwuniciowego DNA metodą </w:t>
            </w:r>
            <w:r>
              <w:rPr>
                <w:rFonts w:cs="Times New Roman"/>
                <w:szCs w:val="22"/>
              </w:rPr>
              <w:tab/>
            </w:r>
            <w:r w:rsidRPr="009B1DA5">
              <w:rPr>
                <w:rFonts w:cs="Times New Roman"/>
                <w:szCs w:val="22"/>
              </w:rPr>
              <w:t>fluorymetryczną, z wyznaczaniem krzywej w</w:t>
            </w:r>
            <w:r>
              <w:rPr>
                <w:rFonts w:cs="Times New Roman"/>
                <w:szCs w:val="22"/>
              </w:rPr>
              <w:t xml:space="preserve">zorcowej, do pomiaru stężenia </w:t>
            </w:r>
            <w:r w:rsidRPr="009B1DA5">
              <w:rPr>
                <w:rFonts w:cs="Times New Roman"/>
                <w:szCs w:val="22"/>
              </w:rPr>
              <w:t>DNA w zakresie 0,1-120 ng</w:t>
            </w:r>
            <w:r w:rsidRPr="00823880">
              <w:rPr>
                <w:rFonts w:cs="Times New Roman"/>
                <w:szCs w:val="22"/>
              </w:rPr>
              <w:t xml:space="preserve">, zestaw na 500 oznaczeń, kompatybilny z aparatem Qubit 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6C6F89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E66DE0"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9</w:t>
            </w:r>
            <w:r w:rsidR="00E66DE0"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Zestaw odczynników do pomiaru stęż</w:t>
            </w:r>
            <w:r>
              <w:rPr>
                <w:rFonts w:cs="Times New Roman"/>
                <w:szCs w:val="22"/>
              </w:rPr>
              <w:t xml:space="preserve">enia dwuniciowego DNA metodą </w:t>
            </w:r>
            <w:r>
              <w:rPr>
                <w:rFonts w:cs="Times New Roman"/>
                <w:szCs w:val="22"/>
              </w:rPr>
              <w:tab/>
            </w:r>
            <w:r w:rsidRPr="009B1DA5">
              <w:rPr>
                <w:rFonts w:cs="Times New Roman"/>
                <w:szCs w:val="22"/>
              </w:rPr>
              <w:t>fluorymetryczną, z wyznaczaniem krzywej wzorcowej, do pomia</w:t>
            </w:r>
            <w:r>
              <w:rPr>
                <w:rFonts w:cs="Times New Roman"/>
                <w:szCs w:val="22"/>
              </w:rPr>
              <w:t xml:space="preserve">ru stężenia </w:t>
            </w:r>
            <w:r w:rsidRPr="009B1DA5">
              <w:rPr>
                <w:rFonts w:cs="Times New Roman"/>
                <w:szCs w:val="22"/>
              </w:rPr>
              <w:t xml:space="preserve">DNA w zakresie 0,1-120 ng, </w:t>
            </w:r>
            <w:r w:rsidRPr="00823880">
              <w:rPr>
                <w:rFonts w:cs="Times New Roman"/>
                <w:szCs w:val="22"/>
              </w:rPr>
              <w:t xml:space="preserve">zestaw na 100 oznaczeń, kompatybilny z aparatem Qubit 4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80CE8" w:rsidP="009121CB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9B1DA5">
        <w:trPr>
          <w:trHeight w:val="74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</w:t>
            </w:r>
            <w:r w:rsidR="00B661A0">
              <w:rPr>
                <w:rFonts w:eastAsia="Times New Roman"/>
                <w:bCs w:val="0"/>
                <w:lang w:eastAsia="zh-CN" w:bidi="hi-IN"/>
              </w:rPr>
              <w:t>0</w:t>
            </w:r>
            <w:r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Probówki polipropylenowe cienkościenne do</w:t>
            </w:r>
            <w:r>
              <w:rPr>
                <w:rFonts w:cs="Times New Roman"/>
                <w:szCs w:val="22"/>
              </w:rPr>
              <w:t xml:space="preserve"> fluorymetru Qubit, pojemność </w:t>
            </w:r>
            <w:r w:rsidRPr="009B1DA5">
              <w:rPr>
                <w:rFonts w:cs="Times New Roman"/>
                <w:szCs w:val="22"/>
              </w:rPr>
              <w:t xml:space="preserve">500 µl </w:t>
            </w:r>
            <w:r w:rsidR="00FF4BF3">
              <w:rPr>
                <w:rFonts w:cs="Times New Roman"/>
                <w:szCs w:val="22"/>
              </w:rPr>
              <w:t xml:space="preserve"> </w:t>
            </w:r>
            <w:r w:rsidRPr="00BE4FAD">
              <w:rPr>
                <w:rFonts w:cs="Times New Roman"/>
                <w:szCs w:val="22"/>
              </w:rPr>
              <w:t>( 1 op. = 500 szt.)</w:t>
            </w:r>
            <w:r>
              <w:rPr>
                <w:rFonts w:cs="Times New Roman"/>
                <w:sz w:val="24"/>
              </w:rPr>
              <w:t xml:space="preserve">   </w:t>
            </w:r>
            <w:r w:rsidRPr="009B1DA5">
              <w:rPr>
                <w:rFonts w:eastAsia="Times New Roman" w:cs="Times New Roman"/>
                <w:bCs w:val="0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80CE8" w:rsidP="009121CB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173C1E"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980CE8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</w:t>
            </w:r>
            <w:r w:rsidR="00B661A0">
              <w:rPr>
                <w:rFonts w:eastAsia="Times New Roman"/>
                <w:bCs w:val="0"/>
                <w:lang w:eastAsia="zh-CN" w:bidi="hi-IN"/>
              </w:rPr>
              <w:t>1</w:t>
            </w:r>
            <w:r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Zestaw odczynników do automatyczne</w:t>
            </w:r>
            <w:r>
              <w:rPr>
                <w:rFonts w:cs="Times New Roman"/>
                <w:szCs w:val="22"/>
              </w:rPr>
              <w:t xml:space="preserve">go przygotowywania matrycy i </w:t>
            </w:r>
            <w:r w:rsidRPr="009B1DA5">
              <w:rPr>
                <w:rFonts w:cs="Times New Roman"/>
                <w:szCs w:val="22"/>
              </w:rPr>
              <w:t>sekwencjonowania, do użycia z Ion Chef System i Ion S5</w:t>
            </w:r>
            <w:r>
              <w:rPr>
                <w:rFonts w:cs="Times New Roman"/>
                <w:szCs w:val="22"/>
              </w:rPr>
              <w:t xml:space="preserve"> System, </w:t>
            </w:r>
            <w:r w:rsidRPr="009B1DA5">
              <w:rPr>
                <w:rFonts w:cs="Times New Roman"/>
                <w:szCs w:val="22"/>
              </w:rPr>
              <w:t xml:space="preserve">kompatybilny z chipami Ion 510, Ion 520, and Ion 530, 2 przebiegi sekwencjonowania na inicjalizację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173C1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9B1DA5">
        <w:trPr>
          <w:trHeight w:val="96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</w:t>
            </w:r>
            <w:r w:rsidR="00B661A0">
              <w:rPr>
                <w:rFonts w:eastAsia="Times New Roman"/>
                <w:bCs w:val="0"/>
                <w:lang w:eastAsia="zh-CN" w:bidi="hi-IN"/>
              </w:rPr>
              <w:t>2</w:t>
            </w:r>
            <w:r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 xml:space="preserve">Zestaw do przygotowania bibliotek DNA, przygotowany przez COZL, w zakresie wybranych 1-50 genów, zestaw na 8 reakcji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173C1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FC17B4" w:rsidTr="009B1DA5">
        <w:trPr>
          <w:trHeight w:val="141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</w:t>
            </w:r>
            <w:r w:rsidR="00B661A0">
              <w:rPr>
                <w:rFonts w:eastAsia="Times New Roman"/>
                <w:bCs w:val="0"/>
                <w:lang w:eastAsia="zh-CN" w:bidi="hi-IN"/>
              </w:rPr>
              <w:t>3</w:t>
            </w:r>
            <w:r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B1DA5" w:rsidRDefault="009B1DA5" w:rsidP="00FF4BF3">
            <w:pPr>
              <w:spacing w:line="276" w:lineRule="auto"/>
              <w:rPr>
                <w:rFonts w:cs="Times New Roman"/>
                <w:szCs w:val="22"/>
              </w:rPr>
            </w:pPr>
            <w:r w:rsidRPr="009B1DA5">
              <w:rPr>
                <w:rFonts w:cs="Times New Roman"/>
                <w:szCs w:val="22"/>
              </w:rPr>
              <w:t xml:space="preserve">Zestaw sond typu TaqMan do wykrywania mutacji w </w:t>
            </w:r>
            <w:r>
              <w:rPr>
                <w:rFonts w:cs="Times New Roman"/>
                <w:szCs w:val="22"/>
              </w:rPr>
              <w:t xml:space="preserve">zakresie wybranych </w:t>
            </w:r>
            <w:r w:rsidRPr="009B1DA5">
              <w:rPr>
                <w:rFonts w:cs="Times New Roman"/>
                <w:szCs w:val="22"/>
              </w:rPr>
              <w:t>genów w ludzkim genomowym DNA, wyz</w:t>
            </w:r>
            <w:r>
              <w:rPr>
                <w:rFonts w:cs="Times New Roman"/>
                <w:szCs w:val="22"/>
              </w:rPr>
              <w:t xml:space="preserve">nakowane fluorescencyjnie FAM </w:t>
            </w:r>
            <w:r w:rsidRPr="009B1DA5">
              <w:rPr>
                <w:rFonts w:cs="Times New Roman"/>
                <w:szCs w:val="22"/>
              </w:rPr>
              <w:t xml:space="preserve">oraz VIC, zestaw na 300 reakcji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2131BF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FC17B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30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FC17B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B661A0" w:rsidRPr="00FC17B4" w:rsidTr="009B1DA5">
        <w:trPr>
          <w:trHeight w:val="111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Default="00B661A0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14.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9B1DA5" w:rsidRDefault="009B1DA5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9B1DA5">
              <w:rPr>
                <w:rFonts w:cs="Times New Roman"/>
                <w:szCs w:val="22"/>
              </w:rPr>
              <w:t>Zestaw odczynników do przygotowania reakcji PCR, zawierający polimerazę</w:t>
            </w:r>
            <w:r>
              <w:rPr>
                <w:rFonts w:cs="Times New Roman"/>
                <w:szCs w:val="22"/>
              </w:rPr>
              <w:t xml:space="preserve"> </w:t>
            </w:r>
            <w:r w:rsidRPr="009B1DA5">
              <w:rPr>
                <w:rFonts w:cs="Times New Roman"/>
                <w:szCs w:val="22"/>
              </w:rPr>
              <w:t xml:space="preserve">DNA typu hot-start, bufor i dNTP, 2x stężony, zestaw na 200 reakcji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0B5A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9B1DA5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B661A0" w:rsidRPr="00FC17B4" w:rsidTr="00442FFE">
        <w:trPr>
          <w:trHeight w:val="112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Default="00B661A0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15.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442FFE" w:rsidRDefault="00442FFE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 xml:space="preserve">Zestaw odczynników do przygotowania reakcji PCR, zawierający polimerazę DNA w zoptymalizowanym buforze do PCR z magnezem i dNTP, </w:t>
            </w:r>
            <w:r>
              <w:rPr>
                <w:rFonts w:cs="Times New Roman"/>
                <w:szCs w:val="22"/>
              </w:rPr>
              <w:t xml:space="preserve">zestaw na </w:t>
            </w:r>
            <w:r w:rsidRPr="00442FFE">
              <w:rPr>
                <w:rFonts w:cs="Times New Roman"/>
                <w:szCs w:val="22"/>
              </w:rPr>
              <w:t xml:space="preserve">200 reakcji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0B5A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B661A0" w:rsidRPr="00FC17B4" w:rsidTr="00442FFE">
        <w:trPr>
          <w:trHeight w:val="112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Default="000B5A3A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16.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442FFE" w:rsidRDefault="00442FFE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>Wysoko zdejonizowany formamid ze stabilizatorem, gotowy do użycia jako rozpuszczalnik do iniekcji na sekwenatorze kapilarnym</w:t>
            </w:r>
            <w:r>
              <w:rPr>
                <w:rFonts w:cs="Times New Roman"/>
                <w:szCs w:val="22"/>
              </w:rPr>
              <w:t xml:space="preserve">, w porcjach po 5 ml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0B5A3A" w:rsidP="009121CB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 xml:space="preserve">op.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61A0" w:rsidRPr="00FC17B4" w:rsidRDefault="00B661A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E66DE0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17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>Zestaw odczynników do sekwencjonowania metodą Sangera z terminacją łańcucha z wykorzystaniem fluorescencyjnie znakowanych nukleotydów</w:t>
            </w:r>
            <w:r>
              <w:rPr>
                <w:rFonts w:cs="Times New Roman"/>
                <w:szCs w:val="22"/>
              </w:rPr>
              <w:t xml:space="preserve">, </w:t>
            </w:r>
            <w:r w:rsidRPr="00442FFE">
              <w:rPr>
                <w:rFonts w:cs="Times New Roman"/>
                <w:szCs w:val="22"/>
              </w:rPr>
              <w:t xml:space="preserve">zestaw na 100 reakcji, do użycia z 3130 Genetic Analyzer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442FFE">
        <w:trPr>
          <w:trHeight w:val="88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18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FF4BF3">
            <w:pPr>
              <w:spacing w:line="276" w:lineRule="auto"/>
              <w:rPr>
                <w:rFonts w:cs="Times New Roman"/>
                <w:szCs w:val="22"/>
              </w:rPr>
            </w:pPr>
            <w:r w:rsidRPr="00442FFE">
              <w:rPr>
                <w:rFonts w:cs="Times New Roman"/>
                <w:szCs w:val="22"/>
              </w:rPr>
              <w:t>Skoncentrowany bufor do sekwencjonowania kapilarnego, w porcjach po</w:t>
            </w:r>
            <w:r>
              <w:rPr>
                <w:rFonts w:cs="Times New Roman"/>
                <w:szCs w:val="22"/>
              </w:rPr>
              <w:t xml:space="preserve"> </w:t>
            </w:r>
            <w:r w:rsidRPr="00442FFE">
              <w:rPr>
                <w:rFonts w:cs="Times New Roman"/>
                <w:szCs w:val="22"/>
              </w:rPr>
              <w:t xml:space="preserve">25 ml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442FFE">
        <w:trPr>
          <w:trHeight w:val="82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19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>Zestaw do enzymatycznego oczyszczania produktu PCR, zestaw na 500 reakcji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442FFE">
        <w:trPr>
          <w:trHeight w:val="99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20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>Płytki 384-dołkowe, optyczne do sekwencjonowania, kompat</w:t>
            </w:r>
            <w:r>
              <w:rPr>
                <w:rFonts w:cs="Times New Roman"/>
                <w:szCs w:val="22"/>
              </w:rPr>
              <w:t xml:space="preserve">ybilne z 3130 </w:t>
            </w:r>
            <w:r w:rsidRPr="00442FFE">
              <w:rPr>
                <w:rFonts w:cs="Times New Roman"/>
                <w:szCs w:val="22"/>
              </w:rPr>
              <w:t xml:space="preserve">Genetic Analyzer, w opakowaniach po 50 szt.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442FFE">
        <w:trPr>
          <w:trHeight w:val="99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21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 xml:space="preserve">Płytki 96-dołkowe, optyczne, do sekwencjonowania, kompatybilne z 3130 Genetic Analyzer, w opakowaniach po 20 szt.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442FFE">
        <w:trPr>
          <w:trHeight w:val="126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22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E66D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>Zestaw 4 kapilar (wewnętrznie niepowlekane) do sekwenatora 3130 Genetic Analyzer do sekwencjonowania i analizy fragmentów, wymiary 47 cm x 50 um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szCs w:val="22"/>
              </w:rPr>
              <w:tab/>
            </w:r>
            <w:r w:rsidRPr="00442FFE">
              <w:rPr>
                <w:rFonts w:cs="Times New Roman"/>
                <w:szCs w:val="22"/>
              </w:rPr>
              <w:t>(3130/3100-Avant Genetic Analyzer 4-Capillary Array, 36 cm)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442FFE">
        <w:trPr>
          <w:trHeight w:val="112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>Zestaw 4 kapilar (wewnętrznie niepowlekane) do sekwenatora 3130 Genetic Analyzer do sekwencjonowania i analizy fragmentów, wymiary 61 cm x 50 um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szCs w:val="22"/>
              </w:rPr>
              <w:tab/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9E60F4">
        <w:trPr>
          <w:trHeight w:val="112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 xml:space="preserve">Macierz do separacji i analizy długości fragmentów DNA </w:t>
            </w:r>
            <w:r>
              <w:rPr>
                <w:rFonts w:cs="Times New Roman"/>
                <w:szCs w:val="22"/>
              </w:rPr>
              <w:t xml:space="preserve">o długości do ok. </w:t>
            </w:r>
            <w:r>
              <w:rPr>
                <w:rFonts w:cs="Times New Roman"/>
                <w:szCs w:val="22"/>
              </w:rPr>
              <w:tab/>
            </w:r>
            <w:r w:rsidRPr="00442FFE">
              <w:rPr>
                <w:rFonts w:cs="Times New Roman"/>
                <w:szCs w:val="22"/>
              </w:rPr>
              <w:t>250 pz w przebiegu sekwencjonowania kapilarnego, w opakowaniach 3,5 ml</w:t>
            </w:r>
            <w:r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9E60F4">
        <w:trPr>
          <w:trHeight w:val="100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 xml:space="preserve">Macierz do separacji i analizy długości fragmentów DNA </w:t>
            </w:r>
            <w:r>
              <w:rPr>
                <w:rFonts w:cs="Times New Roman"/>
                <w:szCs w:val="22"/>
              </w:rPr>
              <w:t xml:space="preserve">o długości do ok. </w:t>
            </w:r>
            <w:r>
              <w:rPr>
                <w:rFonts w:cs="Times New Roman"/>
                <w:szCs w:val="22"/>
              </w:rPr>
              <w:tab/>
            </w:r>
            <w:r w:rsidRPr="00442FFE">
              <w:rPr>
                <w:rFonts w:cs="Times New Roman"/>
                <w:szCs w:val="22"/>
              </w:rPr>
              <w:t>500 pz w przebiegu sekwencjonowania kapilarnego, w opakowaniach 3,5 ml</w:t>
            </w:r>
            <w:r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442FFE">
        <w:trPr>
          <w:trHeight w:val="125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26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>Bufor do sekwencjonowania, zoptymalizo</w:t>
            </w:r>
            <w:r>
              <w:rPr>
                <w:rFonts w:cs="Times New Roman"/>
                <w:szCs w:val="22"/>
              </w:rPr>
              <w:t xml:space="preserve">wany do użytku z zestawami do </w:t>
            </w:r>
            <w:r w:rsidRPr="00442FFE">
              <w:rPr>
                <w:rFonts w:cs="Times New Roman"/>
                <w:szCs w:val="22"/>
              </w:rPr>
              <w:t>sekwencjonowania BigDye Terminator v1.1 i v3.</w:t>
            </w:r>
            <w:r>
              <w:rPr>
                <w:rFonts w:cs="Times New Roman"/>
                <w:szCs w:val="22"/>
              </w:rPr>
              <w:t xml:space="preserve">1, objętość 1 ml, stężony 5x, </w:t>
            </w:r>
            <w:r w:rsidRPr="00442FFE">
              <w:rPr>
                <w:rFonts w:cs="Times New Roman"/>
                <w:szCs w:val="22"/>
              </w:rPr>
              <w:t xml:space="preserve">do użycia z Veriti Thermal Cycler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9E60F4">
        <w:trPr>
          <w:trHeight w:val="114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27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442FFE" w:rsidRDefault="00442FFE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442FFE">
              <w:rPr>
                <w:rFonts w:cs="Times New Roman"/>
                <w:szCs w:val="22"/>
              </w:rPr>
              <w:t>Zestaw 16 wzorców wielkości wyznakowanych barwnikiem LIZ do wyznaczania krzywej standardowej podczas określania długości fragmentów DNA 35-500 nt w przebiegu sekwencjonowa</w:t>
            </w:r>
            <w:r>
              <w:rPr>
                <w:rFonts w:cs="Times New Roman"/>
                <w:szCs w:val="22"/>
              </w:rPr>
              <w:t xml:space="preserve">nia kapilarnego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442FFE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9E60F4">
        <w:trPr>
          <w:trHeight w:val="116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28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C9793A" w:rsidRDefault="00C9793A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C9793A">
              <w:rPr>
                <w:rFonts w:cs="Times New Roman"/>
                <w:szCs w:val="22"/>
              </w:rPr>
              <w:t>Zestaw 36 wzorców wielkości wyznakowanych barwnikiem LIZ do wyznaczania krzywej standardowej podczas określania długości fragmentów DNA 20-600nt w przebiegu sekwencjonowa</w:t>
            </w:r>
            <w:r>
              <w:rPr>
                <w:rFonts w:cs="Times New Roman"/>
                <w:szCs w:val="22"/>
              </w:rPr>
              <w:t xml:space="preserve">nia kapilarnego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9E60F4">
        <w:trPr>
          <w:trHeight w:val="99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29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C9793A" w:rsidRDefault="00C9793A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C9793A">
              <w:rPr>
                <w:rFonts w:cs="Times New Roman"/>
                <w:szCs w:val="22"/>
              </w:rPr>
              <w:t>Bufor obciążający do wizualizacji DNA podcza</w:t>
            </w:r>
            <w:r>
              <w:rPr>
                <w:rFonts w:cs="Times New Roman"/>
                <w:szCs w:val="22"/>
              </w:rPr>
              <w:t xml:space="preserve">s rozdziału na elektroforezie </w:t>
            </w:r>
            <w:r w:rsidRPr="00C9793A">
              <w:rPr>
                <w:rFonts w:cs="Times New Roman"/>
                <w:szCs w:val="22"/>
              </w:rPr>
              <w:t>agarozowej, zawierający błękit bromofeno</w:t>
            </w:r>
            <w:r>
              <w:rPr>
                <w:rFonts w:cs="Times New Roman"/>
                <w:szCs w:val="22"/>
              </w:rPr>
              <w:t xml:space="preserve">lowy i cyjanol ksylenu FF, w </w:t>
            </w:r>
            <w:r>
              <w:rPr>
                <w:rFonts w:cs="Times New Roman"/>
                <w:szCs w:val="22"/>
              </w:rPr>
              <w:tab/>
            </w:r>
            <w:r w:rsidRPr="00C9793A">
              <w:rPr>
                <w:rFonts w:cs="Times New Roman"/>
                <w:szCs w:val="22"/>
              </w:rPr>
              <w:t xml:space="preserve">porcjach po 1,0 mL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9121CB" w:rsidRPr="00FC17B4" w:rsidTr="009E60F4">
        <w:trPr>
          <w:trHeight w:val="66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9121CB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30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C9793A" w:rsidRDefault="00C9793A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C9793A">
              <w:rPr>
                <w:rFonts w:cs="Times New Roman"/>
                <w:szCs w:val="22"/>
              </w:rPr>
              <w:t>Kulki magnetyczne do oczyszczania DNA, do</w:t>
            </w:r>
            <w:r>
              <w:rPr>
                <w:rFonts w:cs="Times New Roman"/>
                <w:szCs w:val="22"/>
              </w:rPr>
              <w:t xml:space="preserve"> zastosowania w metodzie NGS, </w:t>
            </w:r>
            <w:r>
              <w:rPr>
                <w:rFonts w:cs="Times New Roman"/>
                <w:szCs w:val="22"/>
              </w:rPr>
              <w:tab/>
            </w:r>
            <w:r w:rsidRPr="00C9793A">
              <w:rPr>
                <w:rFonts w:cs="Times New Roman"/>
                <w:szCs w:val="22"/>
              </w:rPr>
              <w:t xml:space="preserve">forma płynna, opakowanie 60 ml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21CB" w:rsidRPr="00FC17B4" w:rsidRDefault="009121C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823880" w:rsidRPr="00FC17B4" w:rsidTr="00C9793A">
        <w:trPr>
          <w:trHeight w:val="97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Default="00823880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31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Pr="00693A90" w:rsidRDefault="00693A90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="Times New Roman"/>
                <w:szCs w:val="22"/>
              </w:rPr>
            </w:pPr>
            <w:r w:rsidRPr="00693A90">
              <w:rPr>
                <w:rFonts w:cs="Times New Roman"/>
                <w:szCs w:val="22"/>
              </w:rPr>
              <w:t>Master miks do reakcji qPCR 2x stężony, zawierający polimerazę</w:t>
            </w:r>
            <w:r>
              <w:rPr>
                <w:rFonts w:cs="Times New Roman"/>
                <w:szCs w:val="22"/>
              </w:rPr>
              <w:t xml:space="preserve"> DNA typu </w:t>
            </w:r>
            <w:r w:rsidRPr="00693A90">
              <w:rPr>
                <w:rFonts w:cs="Times New Roman"/>
                <w:szCs w:val="22"/>
              </w:rPr>
              <w:t>hot-start, zoptymalizowany do wykrywania fluorescencji w punkcie końcowym w zastosowaniu genotypowania SNP oraz sond typu TaqMan</w:t>
            </w:r>
            <w:r>
              <w:rPr>
                <w:rFonts w:cs="Times New Roman"/>
                <w:szCs w:val="22"/>
              </w:rPr>
              <w:t xml:space="preserve">, do użycia w </w:t>
            </w:r>
            <w:r w:rsidRPr="00693A90">
              <w:rPr>
                <w:rFonts w:cs="Times New Roman"/>
                <w:szCs w:val="22"/>
              </w:rPr>
              <w:t xml:space="preserve">standardowych warunkach reakcji PCR, opakowanie 10 ml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Default="00693A9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Default="00693A9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88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823880" w:rsidRPr="00FC17B4" w:rsidTr="00C9793A">
        <w:trPr>
          <w:trHeight w:val="97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Default="00823880" w:rsidP="00B661A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32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Pr="00693A90" w:rsidRDefault="00693A90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="Times New Roman"/>
                <w:szCs w:val="22"/>
              </w:rPr>
            </w:pPr>
            <w:r w:rsidRPr="00693A90">
              <w:rPr>
                <w:rFonts w:cs="Times New Roman"/>
                <w:szCs w:val="22"/>
              </w:rPr>
              <w:t xml:space="preserve">Zestaw odczynników do oceny ilości amplifikowalnej biblioteki do </w:t>
            </w:r>
            <w:r w:rsidRPr="00693A90">
              <w:rPr>
                <w:rFonts w:cs="Times New Roman"/>
                <w:szCs w:val="22"/>
              </w:rPr>
              <w:tab/>
              <w:t xml:space="preserve">sekwencjonowania metodą NGS w technologii IonTorrent, zestaw na 250 reakcji, do użycia z Ion GeneStudio S5 Plus System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Default="00693A9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Default="00693A9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2388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23880" w:rsidRPr="00FC17B4" w:rsidRDefault="0082388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C9793A" w:rsidRPr="009D5F76" w:rsidTr="00C9793A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3A" w:rsidRPr="009D5F76" w:rsidRDefault="00C9793A">
            <w:pPr>
              <w:spacing w:line="259" w:lineRule="auto"/>
            </w:pPr>
          </w:p>
        </w:tc>
      </w:tr>
    </w:tbl>
    <w:p w:rsidR="00E66DE0" w:rsidRPr="009D5F76" w:rsidRDefault="00E66DE0" w:rsidP="00E66DE0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E66DE0" w:rsidRPr="00FC17B4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FC17B4">
        <w:rPr>
          <w:rFonts w:eastAsia="NSimSun" w:cs="Mangal"/>
          <w:b/>
          <w:lang w:eastAsia="zh-CN" w:bidi="hi-IN"/>
        </w:rPr>
        <w:t>UWAGA</w:t>
      </w:r>
      <w:r w:rsidR="004368AB">
        <w:rPr>
          <w:rFonts w:eastAsia="NSimSun" w:cs="Mangal"/>
          <w:b/>
          <w:lang w:eastAsia="zh-CN" w:bidi="hi-IN"/>
        </w:rPr>
        <w:t xml:space="preserve"> (jeżeli dotyczy)</w:t>
      </w:r>
      <w:r w:rsidRPr="00FC17B4">
        <w:rPr>
          <w:rFonts w:eastAsia="NSimSun" w:cs="Mangal"/>
          <w:b/>
          <w:lang w:eastAsia="zh-CN" w:bidi="hi-IN"/>
        </w:rPr>
        <w:t xml:space="preserve">: </w:t>
      </w:r>
    </w:p>
    <w:p w:rsidR="00E66DE0" w:rsidRPr="00FC17B4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</w:p>
    <w:p w:rsidR="00E66DE0" w:rsidRPr="00FC17B4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FC17B4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E66DE0" w:rsidRPr="00FC17B4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E66DE0" w:rsidRPr="00FC17B4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FC17B4">
        <w:rPr>
          <w:rFonts w:eastAsia="NSimSun" w:cs="Mangal"/>
          <w:lang w:eastAsia="zh-CN" w:bidi="hi-IN"/>
        </w:rPr>
        <w:t xml:space="preserve">-Wykonawca jest zobowiązany dostarczyć </w:t>
      </w:r>
      <w:r w:rsidRPr="00FC17B4">
        <w:rPr>
          <w:rFonts w:eastAsia="NSimSun" w:cs="Mangal"/>
          <w:b/>
          <w:lang w:eastAsia="zh-CN" w:bidi="hi-IN"/>
        </w:rPr>
        <w:t>świadectwo jakości</w:t>
      </w:r>
      <w:r w:rsidRPr="00FC17B4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E66DE0" w:rsidRPr="00FC17B4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FC17B4">
        <w:rPr>
          <w:rFonts w:eastAsia="NSimSun" w:cs="Mangal"/>
          <w:lang w:eastAsia="zh-CN" w:bidi="hi-IN"/>
        </w:rPr>
        <w:t xml:space="preserve">-Wykonawca jest zobowiązany dostarczyć </w:t>
      </w:r>
      <w:r w:rsidRPr="00FC17B4">
        <w:rPr>
          <w:rFonts w:eastAsia="NSimSun" w:cs="Mangal"/>
          <w:b/>
          <w:lang w:eastAsia="zh-CN" w:bidi="hi-IN"/>
        </w:rPr>
        <w:t>kartę charakterystyki</w:t>
      </w:r>
      <w:r w:rsidRPr="00FC17B4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E66DE0" w:rsidRDefault="00E66DE0" w:rsidP="00E66DE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C9793A" w:rsidRPr="009D5F76" w:rsidRDefault="00C9793A" w:rsidP="00E66DE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66DE0" w:rsidRPr="009D5F76" w:rsidRDefault="00E66DE0" w:rsidP="00E66DE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66DE0" w:rsidRPr="009D5F76" w:rsidRDefault="00E66DE0" w:rsidP="00E66DE0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693A90" w:rsidRPr="009E60F4" w:rsidRDefault="00E66DE0" w:rsidP="009E60F4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</w:t>
      </w:r>
      <w:r w:rsidR="00C9793A">
        <w:rPr>
          <w:rFonts w:eastAsia="Times New Roman" w:cs="Times New Roman"/>
          <w:spacing w:val="4"/>
          <w:szCs w:val="22"/>
          <w:lang w:eastAsia="zh-CN"/>
        </w:rPr>
        <w:t>ej do reprezentowania Wykona</w:t>
      </w:r>
      <w:r w:rsidR="009E60F4">
        <w:rPr>
          <w:rFonts w:eastAsia="Times New Roman" w:cs="Times New Roman"/>
          <w:spacing w:val="4"/>
          <w:szCs w:val="22"/>
          <w:lang w:eastAsia="zh-CN"/>
        </w:rPr>
        <w:t>wcy</w:t>
      </w:r>
    </w:p>
    <w:p w:rsidR="00C9793A" w:rsidRPr="00C9793A" w:rsidRDefault="00C9793A" w:rsidP="00C9793A">
      <w:pPr>
        <w:suppressAutoHyphens/>
        <w:autoSpaceDN w:val="0"/>
        <w:spacing w:after="0" w:line="100" w:lineRule="atLeast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>
        <w:rPr>
          <w:rFonts w:eastAsia="Times New Roman"/>
          <w:b/>
          <w:lang w:eastAsia="zh-CN"/>
        </w:rPr>
        <w:t>7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E66DE0" w:rsidRPr="009D5F76" w:rsidRDefault="00E66DE0" w:rsidP="00E66DE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E66DE0" w:rsidRPr="00C9793A" w:rsidRDefault="00E66DE0" w:rsidP="00C9793A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 w:rsidR="002131BF">
        <w:rPr>
          <w:rFonts w:eastAsia="Times New Roman"/>
          <w:b/>
          <w:lang w:eastAsia="zh-CN"/>
        </w:rPr>
        <w:t>7</w:t>
      </w:r>
      <w:r w:rsidRPr="009D5F76">
        <w:rPr>
          <w:rFonts w:eastAsia="Times New Roman"/>
          <w:b/>
          <w:lang w:eastAsia="zh-CN"/>
        </w:rPr>
        <w:t xml:space="preserve"> – </w:t>
      </w:r>
      <w:r w:rsidR="002131BF">
        <w:rPr>
          <w:rFonts w:eastAsia="Times New Roman"/>
          <w:b/>
          <w:lang w:eastAsia="zh-CN"/>
        </w:rPr>
        <w:t>Zestaw</w:t>
      </w:r>
      <w:r w:rsidR="00C9793A">
        <w:rPr>
          <w:rFonts w:eastAsia="Times New Roman"/>
          <w:b/>
          <w:lang w:eastAsia="zh-CN"/>
        </w:rPr>
        <w:t>y</w:t>
      </w:r>
      <w:r w:rsidR="002131BF">
        <w:rPr>
          <w:rFonts w:eastAsia="Times New Roman"/>
          <w:b/>
          <w:lang w:eastAsia="zh-CN"/>
        </w:rPr>
        <w:t xml:space="preserve"> do automatycznej izolacji DNA</w:t>
      </w:r>
      <w:r w:rsidR="00C9793A">
        <w:rPr>
          <w:rFonts w:eastAsia="Times New Roman"/>
          <w:b/>
          <w:lang w:eastAsia="zh-CN"/>
        </w:rPr>
        <w:t xml:space="preserve"> </w:t>
      </w: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E66DE0" w:rsidRPr="009D5F76" w:rsidTr="00C9793A">
        <w:trPr>
          <w:trHeight w:val="121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C9793A" w:rsidRPr="009D5F76" w:rsidTr="00C9793A">
        <w:trPr>
          <w:trHeight w:val="585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9793A" w:rsidRPr="009D5F76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lang w:eastAsia="zh-CN" w:bidi="hi-IN"/>
              </w:rPr>
              <w:t>ODCZYNNIKI ZUŻYWALNE</w:t>
            </w:r>
          </w:p>
        </w:tc>
      </w:tr>
      <w:tr w:rsidR="00E66DE0" w:rsidRPr="009D5F76" w:rsidTr="00C9793A">
        <w:trPr>
          <w:trHeight w:val="97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2131BF" w:rsidP="00E66D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Zestaw do automatycznej izolacji DNA z bloczków parafinowych, do użycia na aparacie Maxwell CSC. Zestaw (odczynniki i kartridże) na 48 izolacji, bez stosowania ksylenu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2131BF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  <w:r w:rsidR="00E66DE0">
              <w:rPr>
                <w:rFonts w:eastAsia="Times New Roman"/>
                <w:iCs w:val="0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C9793A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EE38E0" w:rsidRPr="009D5F76" w:rsidTr="00C9793A">
        <w:trPr>
          <w:trHeight w:val="95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38E0" w:rsidRPr="009D5F76" w:rsidRDefault="00EE38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38E0" w:rsidRDefault="00EE38E0" w:rsidP="00E66D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lang w:eastAsia="zh-CN" w:bidi="hi-IN"/>
              </w:rPr>
            </w:pPr>
            <w:r w:rsidRPr="0050537E">
              <w:rPr>
                <w:rFonts w:eastAsia="Times New Roman"/>
                <w:bCs w:val="0"/>
                <w:lang w:eastAsia="zh-CN" w:bidi="hi-IN"/>
              </w:rPr>
              <w:t>Zestaw do automatycznej izolacji RNA z krwi pełnej, do użycia na aparacie Maxwell CSC. Zestaw (odczynniki i</w:t>
            </w:r>
            <w:r w:rsidR="00C9793A">
              <w:rPr>
                <w:rFonts w:eastAsia="Times New Roman"/>
                <w:bCs w:val="0"/>
                <w:lang w:eastAsia="zh-CN" w:bidi="hi-IN"/>
              </w:rPr>
              <w:t xml:space="preserve"> kartridże) na 48 izolacji, bez stosowania ksylenu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38E0" w:rsidRDefault="00EE38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38E0" w:rsidRDefault="00EE38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38E0" w:rsidRPr="009D5F76" w:rsidRDefault="00EE38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E38E0" w:rsidRPr="009D5F76" w:rsidRDefault="00EE38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38E0" w:rsidRPr="009D5F76" w:rsidRDefault="00EE38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C9793A" w:rsidRPr="009D5F76" w:rsidTr="00C9793A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93A" w:rsidRPr="009D5F76" w:rsidRDefault="00C9793A">
            <w:pPr>
              <w:spacing w:line="259" w:lineRule="auto"/>
            </w:pPr>
          </w:p>
        </w:tc>
      </w:tr>
    </w:tbl>
    <w:p w:rsidR="00E66DE0" w:rsidRPr="009D5F76" w:rsidRDefault="00E66DE0" w:rsidP="00E66DE0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E66DE0" w:rsidRPr="004368AB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4368AB">
        <w:rPr>
          <w:rFonts w:eastAsia="NSimSun" w:cs="Mangal"/>
          <w:b/>
          <w:lang w:eastAsia="zh-CN" w:bidi="hi-IN"/>
        </w:rPr>
        <w:t>UWAGA</w:t>
      </w:r>
      <w:r w:rsidR="004368AB" w:rsidRPr="004368AB">
        <w:rPr>
          <w:rFonts w:eastAsia="NSimSun" w:cs="Mangal"/>
          <w:b/>
          <w:lang w:eastAsia="zh-CN" w:bidi="hi-IN"/>
        </w:rPr>
        <w:t xml:space="preserve"> (jeżeli dotyczy)</w:t>
      </w:r>
      <w:r w:rsidRPr="004368AB">
        <w:rPr>
          <w:rFonts w:eastAsia="NSimSun" w:cs="Mangal"/>
          <w:b/>
          <w:lang w:eastAsia="zh-CN" w:bidi="hi-IN"/>
        </w:rPr>
        <w:t xml:space="preserve">: </w:t>
      </w:r>
    </w:p>
    <w:p w:rsidR="00E66DE0" w:rsidRPr="004368AB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4368AB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E66DE0" w:rsidRPr="004368AB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E66DE0" w:rsidRPr="004368AB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świadectwo jakości</w:t>
      </w:r>
      <w:r w:rsidRPr="004368AB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E66DE0" w:rsidRPr="00FC17B4" w:rsidRDefault="00E66DE0" w:rsidP="00E66DE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4368AB">
        <w:rPr>
          <w:rFonts w:eastAsia="NSimSun" w:cs="Mangal"/>
          <w:lang w:eastAsia="zh-CN" w:bidi="hi-IN"/>
        </w:rPr>
        <w:t xml:space="preserve">-Wykonawca jest zobowiązany dostarczyć </w:t>
      </w:r>
      <w:r w:rsidRPr="004368AB">
        <w:rPr>
          <w:rFonts w:eastAsia="NSimSun" w:cs="Mangal"/>
          <w:b/>
          <w:lang w:eastAsia="zh-CN" w:bidi="hi-IN"/>
        </w:rPr>
        <w:t>kartę charakterystyki</w:t>
      </w:r>
      <w:r w:rsidRPr="004368AB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E66DE0" w:rsidRPr="009D5F76" w:rsidRDefault="00E66DE0" w:rsidP="00E66DE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66DE0" w:rsidRPr="009D5F76" w:rsidRDefault="00E66DE0" w:rsidP="00E66DE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66DE0" w:rsidRPr="009D5F76" w:rsidRDefault="00E66DE0" w:rsidP="00E66DE0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E66DE0" w:rsidRPr="00EE38E0" w:rsidRDefault="00E66DE0" w:rsidP="00EE38E0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upoważnionej do reprezentowania Wykonawcy</w:t>
      </w:r>
    </w:p>
    <w:p w:rsidR="00C9793A" w:rsidRDefault="00C9793A" w:rsidP="00E66DE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E66DE0" w:rsidRPr="009D5F76" w:rsidRDefault="00E66DE0" w:rsidP="00E66DE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 w:rsidR="002131BF">
        <w:rPr>
          <w:rFonts w:eastAsia="Times New Roman"/>
          <w:b/>
          <w:lang w:eastAsia="zh-CN"/>
        </w:rPr>
        <w:t>8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E66DE0" w:rsidRPr="009D5F76" w:rsidRDefault="00E66DE0" w:rsidP="00E66DE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E66DE0" w:rsidRPr="00AC5F79" w:rsidRDefault="00E66DE0" w:rsidP="00AC5F79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 w:rsidR="002131BF">
        <w:rPr>
          <w:rFonts w:eastAsia="Times New Roman"/>
          <w:b/>
          <w:lang w:eastAsia="zh-CN"/>
        </w:rPr>
        <w:t>8</w:t>
      </w:r>
      <w:r w:rsidRPr="009D5F76">
        <w:rPr>
          <w:rFonts w:eastAsia="Times New Roman"/>
          <w:b/>
          <w:lang w:eastAsia="zh-CN"/>
        </w:rPr>
        <w:t xml:space="preserve"> – </w:t>
      </w:r>
      <w:r w:rsidR="00AC5F79">
        <w:rPr>
          <w:rFonts w:eastAsia="Times New Roman"/>
          <w:b/>
          <w:lang w:eastAsia="zh-CN"/>
        </w:rPr>
        <w:t xml:space="preserve"> zestawy do manualnej izolacji i oczyszczania DNA</w:t>
      </w: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E66DE0" w:rsidRPr="009D5F76" w:rsidTr="00AC5F79">
        <w:trPr>
          <w:trHeight w:val="99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AC5F79" w:rsidRPr="009D5F76" w:rsidTr="00AC5F79">
        <w:trPr>
          <w:trHeight w:val="443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5F79" w:rsidRPr="009D5F76" w:rsidRDefault="00AC5F79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lang w:eastAsia="zh-CN" w:bidi="hi-IN"/>
              </w:rPr>
              <w:t>ODCZYNNIKI ZUŻYWALNE</w:t>
            </w:r>
          </w:p>
        </w:tc>
      </w:tr>
      <w:tr w:rsidR="00E66DE0" w:rsidRPr="009204E4" w:rsidTr="00AC5F79">
        <w:trPr>
          <w:trHeight w:val="101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AC5F79" w:rsidRDefault="00AC5F79" w:rsidP="00E66DE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AC5F79">
              <w:rPr>
                <w:rFonts w:cs="Times New Roman"/>
                <w:szCs w:val="22"/>
              </w:rPr>
              <w:t>Zestaw do izolacji genomowego DNA z krwi na minikolumnach, wielkość próbki: do 1000 µl krwi świeżej, do 100 µl ml krwi mrożonej, na 50 izolacji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204E4" w:rsidRDefault="00FC1C3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9204E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E66DE0" w:rsidRPr="009204E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204E4" w:rsidRDefault="00AC5F79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204E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204E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9204E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E66DE0" w:rsidRPr="009204E4" w:rsidTr="00AC5F79">
        <w:trPr>
          <w:trHeight w:val="112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AC5F79" w:rsidRDefault="00AC5F79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AC5F79">
              <w:rPr>
                <w:rFonts w:cs="Times New Roman"/>
                <w:szCs w:val="22"/>
              </w:rPr>
              <w:t>Zestaw do usuwania terminatorów po reakcji sekwenc</w:t>
            </w:r>
            <w:r>
              <w:rPr>
                <w:rFonts w:cs="Times New Roman"/>
                <w:szCs w:val="22"/>
              </w:rPr>
              <w:t xml:space="preserve">jonowania, </w:t>
            </w:r>
            <w:r w:rsidRPr="00AC5F79">
              <w:rPr>
                <w:rFonts w:cs="Times New Roman"/>
                <w:szCs w:val="22"/>
              </w:rPr>
              <w:t xml:space="preserve">minikolumny, </w:t>
            </w:r>
            <w:r w:rsidRPr="00AC5F79">
              <w:rPr>
                <w:rFonts w:cs="Times New Roman"/>
                <w:szCs w:val="22"/>
              </w:rPr>
              <w:tab/>
              <w:t>wielkość próbki do 20 µl, pojemność złoża 10 µg DNA</w:t>
            </w:r>
            <w:r>
              <w:rPr>
                <w:rFonts w:cs="Times New Roman"/>
                <w:szCs w:val="22"/>
              </w:rPr>
              <w:t xml:space="preserve">, roztwór </w:t>
            </w:r>
            <w:r>
              <w:rPr>
                <w:rFonts w:cs="Times New Roman"/>
                <w:szCs w:val="22"/>
              </w:rPr>
              <w:tab/>
            </w:r>
            <w:r w:rsidRPr="00AC5F79">
              <w:rPr>
                <w:rFonts w:cs="Times New Roman"/>
                <w:szCs w:val="22"/>
              </w:rPr>
              <w:t xml:space="preserve">elucyjny: woda, odczynnik TSR, na 250 reakcji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204E4" w:rsidRDefault="00FC1C3B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9204E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op</w:t>
            </w:r>
            <w:r w:rsidR="00E66DE0" w:rsidRPr="009204E4">
              <w:rPr>
                <w:rFonts w:eastAsia="Times New Roman" w:cs="Times New Roman"/>
                <w:iCs w:val="0"/>
                <w:szCs w:val="22"/>
                <w:lang w:eastAsia="zh-CN" w:bidi="hi-IN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204E4" w:rsidRDefault="00AC5F79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204E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204E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66DE0" w:rsidRPr="009204E4" w:rsidRDefault="00E66DE0" w:rsidP="00E66DE0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</w:p>
        </w:tc>
      </w:tr>
      <w:tr w:rsidR="00AC5F79" w:rsidRPr="009D5F76" w:rsidTr="00AC5F79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6DE0" w:rsidRPr="009D5F76" w:rsidRDefault="00E66DE0" w:rsidP="00E66DE0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F79" w:rsidRPr="009D5F76" w:rsidRDefault="00AC5F79">
            <w:pPr>
              <w:spacing w:line="259" w:lineRule="auto"/>
            </w:pPr>
          </w:p>
        </w:tc>
      </w:tr>
    </w:tbl>
    <w:p w:rsidR="00AC5F79" w:rsidRDefault="00E66DE0" w:rsidP="00AC5F79">
      <w:pPr>
        <w:spacing w:before="100" w:beforeAutospacing="1" w:after="0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E66DE0" w:rsidRPr="00AC5F79" w:rsidRDefault="00E66DE0" w:rsidP="00AC5F79">
      <w:pPr>
        <w:spacing w:before="100" w:beforeAutospacing="1" w:after="0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204E4">
        <w:rPr>
          <w:rFonts w:eastAsia="NSimSun" w:cs="Mangal"/>
          <w:b/>
          <w:lang w:eastAsia="zh-CN" w:bidi="hi-IN"/>
        </w:rPr>
        <w:t>UWAGA</w:t>
      </w:r>
      <w:r w:rsidR="004368AB">
        <w:rPr>
          <w:rFonts w:eastAsia="NSimSun" w:cs="Mangal"/>
          <w:b/>
          <w:lang w:eastAsia="zh-CN" w:bidi="hi-IN"/>
        </w:rPr>
        <w:t xml:space="preserve"> (jeżeli dotyczy)</w:t>
      </w:r>
      <w:r w:rsidR="00AC5F79">
        <w:rPr>
          <w:rFonts w:eastAsia="NSimSun" w:cs="Mangal"/>
          <w:b/>
          <w:lang w:eastAsia="zh-CN" w:bidi="hi-IN"/>
        </w:rPr>
        <w:t>:</w:t>
      </w:r>
    </w:p>
    <w:p w:rsidR="00E66DE0" w:rsidRPr="009204E4" w:rsidRDefault="00E66DE0" w:rsidP="00AC5F79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9204E4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E66DE0" w:rsidRPr="009204E4" w:rsidRDefault="00E66DE0" w:rsidP="00AC5F79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E66DE0" w:rsidRPr="009204E4" w:rsidRDefault="00E66DE0" w:rsidP="00AC5F79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9204E4">
        <w:rPr>
          <w:rFonts w:eastAsia="NSimSun" w:cs="Mangal"/>
          <w:lang w:eastAsia="zh-CN" w:bidi="hi-IN"/>
        </w:rPr>
        <w:t xml:space="preserve">-Wykonawca jest zobowiązany dostarczyć </w:t>
      </w:r>
      <w:r w:rsidRPr="009204E4">
        <w:rPr>
          <w:rFonts w:eastAsia="NSimSun" w:cs="Mangal"/>
          <w:b/>
          <w:lang w:eastAsia="zh-CN" w:bidi="hi-IN"/>
        </w:rPr>
        <w:t>świadectwo jakości</w:t>
      </w:r>
      <w:r w:rsidRPr="009204E4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E66DE0" w:rsidRPr="009204E4" w:rsidRDefault="00E66DE0" w:rsidP="00AC5F79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9204E4">
        <w:rPr>
          <w:rFonts w:eastAsia="NSimSun" w:cs="Mangal"/>
          <w:lang w:eastAsia="zh-CN" w:bidi="hi-IN"/>
        </w:rPr>
        <w:t xml:space="preserve">-Wykonawca jest zobowiązany dostarczyć </w:t>
      </w:r>
      <w:r w:rsidRPr="009204E4">
        <w:rPr>
          <w:rFonts w:eastAsia="NSimSun" w:cs="Mangal"/>
          <w:b/>
          <w:lang w:eastAsia="zh-CN" w:bidi="hi-IN"/>
        </w:rPr>
        <w:t>kartę charakterystyki</w:t>
      </w:r>
      <w:r w:rsidRPr="009204E4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E66DE0" w:rsidRPr="009D5F76" w:rsidRDefault="00E66DE0" w:rsidP="00E66DE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66DE0" w:rsidRPr="009D5F76" w:rsidRDefault="00E66DE0" w:rsidP="00E66DE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66DE0" w:rsidRPr="009D5F76" w:rsidRDefault="00E66DE0" w:rsidP="00E66DE0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F25954" w:rsidRPr="00AC5F79" w:rsidRDefault="00E66DE0" w:rsidP="00AC5F79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 xml:space="preserve">podpis osoby upoważnionej do reprezentowania </w:t>
      </w:r>
      <w:r w:rsidR="00AC5F79">
        <w:rPr>
          <w:rFonts w:eastAsia="Times New Roman" w:cs="Times New Roman"/>
          <w:spacing w:val="4"/>
          <w:szCs w:val="22"/>
          <w:lang w:eastAsia="zh-CN"/>
        </w:rPr>
        <w:t>Wykonawcy</w:t>
      </w:r>
    </w:p>
    <w:p w:rsidR="00F25954" w:rsidRPr="009D5F76" w:rsidRDefault="00F25954" w:rsidP="00F2595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>
        <w:rPr>
          <w:rFonts w:eastAsia="Times New Roman"/>
          <w:b/>
          <w:lang w:eastAsia="zh-CN"/>
        </w:rPr>
        <w:t>9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F25954" w:rsidRPr="009D5F76" w:rsidRDefault="00F25954" w:rsidP="00F25954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F25954" w:rsidRDefault="00F25954" w:rsidP="008E37C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>
        <w:rPr>
          <w:rFonts w:eastAsia="Times New Roman"/>
          <w:b/>
          <w:lang w:eastAsia="zh-CN"/>
        </w:rPr>
        <w:t>9</w:t>
      </w:r>
      <w:r w:rsidRPr="009D5F76">
        <w:rPr>
          <w:rFonts w:eastAsia="Times New Roman"/>
          <w:b/>
          <w:lang w:eastAsia="zh-CN"/>
        </w:rPr>
        <w:t xml:space="preserve"> – </w:t>
      </w:r>
      <w:r w:rsidR="00AC5F79">
        <w:rPr>
          <w:rFonts w:eastAsia="Times New Roman"/>
          <w:b/>
          <w:lang w:eastAsia="zh-CN"/>
        </w:rPr>
        <w:t>Aparat do elektroforezy horyzontalnej</w:t>
      </w:r>
    </w:p>
    <w:p w:rsidR="008E37C3" w:rsidRPr="008E37C3" w:rsidRDefault="008E37C3" w:rsidP="008E37C3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F25954" w:rsidRPr="009D5F76" w:rsidTr="00AC5F79">
        <w:trPr>
          <w:trHeight w:val="113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AC5F79" w:rsidRPr="009D5F76" w:rsidTr="008E37C3">
        <w:trPr>
          <w:trHeight w:val="652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5F79" w:rsidRPr="009D5F76" w:rsidRDefault="00AC5F7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lang w:eastAsia="zh-CN" w:bidi="hi-IN"/>
              </w:rPr>
              <w:t>AKCESORIA NIEZUŻYWALNE</w:t>
            </w:r>
          </w:p>
        </w:tc>
      </w:tr>
      <w:tr w:rsidR="00F25954" w:rsidRPr="00994777" w:rsidTr="008E37C3">
        <w:trPr>
          <w:trHeight w:val="226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AC5F79" w:rsidRDefault="00AC5F79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AC5F79">
              <w:rPr>
                <w:rFonts w:cs="Times New Roman"/>
                <w:szCs w:val="22"/>
              </w:rPr>
              <w:t>Aparat do szybkiej elektroforezy horyzon</w:t>
            </w:r>
            <w:r>
              <w:rPr>
                <w:rFonts w:cs="Times New Roman"/>
                <w:szCs w:val="22"/>
              </w:rPr>
              <w:t xml:space="preserve">talnej fragmentów DNA/RNA, na </w:t>
            </w:r>
            <w:r>
              <w:rPr>
                <w:rFonts w:cs="Times New Roman"/>
                <w:szCs w:val="22"/>
              </w:rPr>
              <w:tab/>
            </w:r>
            <w:r w:rsidRPr="00AC5F79">
              <w:rPr>
                <w:rFonts w:cs="Times New Roman"/>
                <w:szCs w:val="22"/>
              </w:rPr>
              <w:t>rozmiar żelu 8,5 x 10 cm, grzebienie max 3 szt w saneczkach 8,5 x 10 cm</w:t>
            </w:r>
            <w:r>
              <w:rPr>
                <w:rFonts w:cs="Times New Roman"/>
                <w:szCs w:val="22"/>
              </w:rPr>
              <w:t xml:space="preserve">, </w:t>
            </w:r>
            <w:r w:rsidRPr="00AC5F79">
              <w:rPr>
                <w:rFonts w:cs="Times New Roman"/>
                <w:szCs w:val="22"/>
              </w:rPr>
              <w:t>objętość buforu elektrodowego do 500 ml, w zestawie z: komor</w:t>
            </w:r>
            <w:r>
              <w:rPr>
                <w:rFonts w:cs="Times New Roman"/>
                <w:szCs w:val="22"/>
              </w:rPr>
              <w:t xml:space="preserve">ą z Pt </w:t>
            </w:r>
            <w:r w:rsidRPr="00AC5F79">
              <w:rPr>
                <w:rFonts w:cs="Times New Roman"/>
                <w:szCs w:val="22"/>
              </w:rPr>
              <w:t xml:space="preserve">elektrodami, pokrywą z kablami zasilania, saneczkami UV transparent </w:t>
            </w:r>
            <w:r>
              <w:rPr>
                <w:rFonts w:cs="Times New Roman"/>
                <w:szCs w:val="22"/>
              </w:rPr>
              <w:t xml:space="preserve">8,5 x 10 </w:t>
            </w:r>
            <w:r>
              <w:rPr>
                <w:rFonts w:cs="Times New Roman"/>
                <w:szCs w:val="22"/>
              </w:rPr>
              <w:tab/>
            </w:r>
            <w:r w:rsidRPr="00AC5F79">
              <w:rPr>
                <w:rFonts w:cs="Times New Roman"/>
                <w:szCs w:val="22"/>
              </w:rPr>
              <w:t xml:space="preserve">cm, uszczelkami do wylewania żeli - 2 szt, grzebieniem na 9 studzienek o grubości 1,5 mm - 2 szt, wymiennym uchwytem do </w:t>
            </w:r>
            <w:r>
              <w:rPr>
                <w:rFonts w:cs="Times New Roman"/>
                <w:szCs w:val="22"/>
              </w:rPr>
              <w:t xml:space="preserve">mocowania grzebienia - 2 </w:t>
            </w:r>
            <w:r w:rsidRPr="00AC5F79">
              <w:rPr>
                <w:rFonts w:cs="Times New Roman"/>
                <w:szCs w:val="22"/>
              </w:rPr>
              <w:t>szt. i instrukcją ( 1 szt.)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BE4FAD" w:rsidRDefault="00AC5F7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BE4FAD">
              <w:rPr>
                <w:rFonts w:eastAsia="Times New Roman" w:cs="Times New Roman"/>
                <w:iCs w:val="0"/>
                <w:szCs w:val="22"/>
                <w:lang w:eastAsia="zh-CN" w:bidi="hi-IN"/>
              </w:rPr>
              <w:t>aparat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BE4FAD" w:rsidRDefault="00AC5F7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BE4FAD">
              <w:rPr>
                <w:rFonts w:eastAsia="Times New Roman" w:cs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994777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994777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5954" w:rsidRPr="00994777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 w:val="0"/>
                <w:szCs w:val="22"/>
                <w:lang w:eastAsia="zh-CN" w:bidi="hi-IN"/>
              </w:rPr>
            </w:pPr>
          </w:p>
        </w:tc>
      </w:tr>
      <w:tr w:rsidR="00F25954" w:rsidRPr="00994777" w:rsidTr="008E37C3">
        <w:trPr>
          <w:trHeight w:val="64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9D5F76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8E37C3" w:rsidRDefault="008E37C3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 w:cs="Times New Roman"/>
                <w:bCs w:val="0"/>
                <w:szCs w:val="22"/>
                <w:lang w:eastAsia="zh-CN" w:bidi="hi-IN"/>
              </w:rPr>
            </w:pPr>
            <w:r w:rsidRPr="008E37C3">
              <w:rPr>
                <w:rFonts w:cs="Times New Roman"/>
                <w:szCs w:val="22"/>
              </w:rPr>
              <w:t>Grzebień do elektroforezy na 10 studzienek, szer. 1,5 mm, do użycia z poz.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8E37C3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 w:rsidRPr="008E37C3">
              <w:rPr>
                <w:rFonts w:eastAsia="Times New Roman" w:cs="Times New Roman"/>
                <w:iCs w:val="0"/>
                <w:szCs w:val="22"/>
                <w:lang w:eastAsia="zh-CN" w:bidi="hi-I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994777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 w:cs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994777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 w:val="0"/>
                <w:szCs w:val="22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994777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 w:val="0"/>
                <w:szCs w:val="22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5954" w:rsidRPr="00994777" w:rsidRDefault="00F25954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 w:val="0"/>
                <w:szCs w:val="22"/>
                <w:lang w:eastAsia="zh-CN" w:bidi="hi-IN"/>
              </w:rPr>
            </w:pPr>
          </w:p>
        </w:tc>
      </w:tr>
      <w:tr w:rsidR="00AC5F79" w:rsidRPr="009D5F76" w:rsidTr="00AC5F79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25954" w:rsidRPr="009D5F76" w:rsidRDefault="00F25954" w:rsidP="007D210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F79" w:rsidRPr="009D5F76" w:rsidRDefault="00AC5F79">
            <w:pPr>
              <w:spacing w:line="259" w:lineRule="auto"/>
            </w:pPr>
          </w:p>
        </w:tc>
      </w:tr>
    </w:tbl>
    <w:p w:rsidR="00F25954" w:rsidRPr="009D5F76" w:rsidRDefault="00F25954" w:rsidP="00F25954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F25954" w:rsidRPr="00994777" w:rsidRDefault="00F25954" w:rsidP="00F25954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994777">
        <w:rPr>
          <w:rFonts w:eastAsia="NSimSun" w:cs="Mangal"/>
          <w:b/>
          <w:lang w:eastAsia="zh-CN" w:bidi="hi-IN"/>
        </w:rPr>
        <w:t>UWAGA</w:t>
      </w:r>
      <w:r w:rsidR="004368AB">
        <w:rPr>
          <w:rFonts w:eastAsia="NSimSun" w:cs="Mangal"/>
          <w:b/>
          <w:lang w:eastAsia="zh-CN" w:bidi="hi-IN"/>
        </w:rPr>
        <w:t xml:space="preserve"> (jeżeli dotyczy)</w:t>
      </w:r>
      <w:r w:rsidRPr="00994777">
        <w:rPr>
          <w:rFonts w:eastAsia="NSimSun" w:cs="Mangal"/>
          <w:b/>
          <w:lang w:eastAsia="zh-CN" w:bidi="hi-IN"/>
        </w:rPr>
        <w:t xml:space="preserve">: </w:t>
      </w:r>
    </w:p>
    <w:p w:rsidR="00F25954" w:rsidRPr="00994777" w:rsidRDefault="00F25954" w:rsidP="00F25954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</w:p>
    <w:p w:rsidR="00F25954" w:rsidRPr="00994777" w:rsidRDefault="00F25954" w:rsidP="00F25954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994777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F25954" w:rsidRPr="00994777" w:rsidRDefault="00F25954" w:rsidP="00F25954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F25954" w:rsidRPr="00994777" w:rsidRDefault="00F25954" w:rsidP="00F25954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994777">
        <w:rPr>
          <w:rFonts w:eastAsia="NSimSun" w:cs="Mangal"/>
          <w:lang w:eastAsia="zh-CN" w:bidi="hi-IN"/>
        </w:rPr>
        <w:t xml:space="preserve">-Wykonawca jest zobowiązany dostarczyć </w:t>
      </w:r>
      <w:r w:rsidRPr="00994777">
        <w:rPr>
          <w:rFonts w:eastAsia="NSimSun" w:cs="Mangal"/>
          <w:b/>
          <w:lang w:eastAsia="zh-CN" w:bidi="hi-IN"/>
        </w:rPr>
        <w:t>świadectwo jakości</w:t>
      </w:r>
      <w:r w:rsidRPr="00994777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F25954" w:rsidRPr="00994777" w:rsidRDefault="00F25954" w:rsidP="00F25954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994777">
        <w:rPr>
          <w:rFonts w:eastAsia="NSimSun" w:cs="Mangal"/>
          <w:lang w:eastAsia="zh-CN" w:bidi="hi-IN"/>
        </w:rPr>
        <w:lastRenderedPageBreak/>
        <w:t xml:space="preserve">-Wykonawca jest zobowiązany dostarczyć </w:t>
      </w:r>
      <w:r w:rsidRPr="00994777">
        <w:rPr>
          <w:rFonts w:eastAsia="NSimSun" w:cs="Mangal"/>
          <w:b/>
          <w:lang w:eastAsia="zh-CN" w:bidi="hi-IN"/>
        </w:rPr>
        <w:t>kartę charakterystyki</w:t>
      </w:r>
      <w:r w:rsidRPr="00994777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F25954" w:rsidRPr="009D5F76" w:rsidRDefault="00F25954" w:rsidP="00F25954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F25954" w:rsidRDefault="00F25954" w:rsidP="00F25954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22059F" w:rsidRDefault="0022059F" w:rsidP="00F25954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22059F" w:rsidRPr="009D5F76" w:rsidRDefault="0022059F" w:rsidP="00F25954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F25954" w:rsidRPr="009D5F76" w:rsidRDefault="00F25954" w:rsidP="00F25954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F25954" w:rsidRPr="009D5F76" w:rsidRDefault="00F25954" w:rsidP="00F25954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upoważnionej do reprezentowania Wykonawcy</w:t>
      </w:r>
    </w:p>
    <w:p w:rsidR="00F25954" w:rsidRDefault="00F25954" w:rsidP="00F25954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F25954" w:rsidRDefault="00F25954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22059F" w:rsidRDefault="0022059F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22059F" w:rsidRDefault="0022059F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AC5F79" w:rsidRDefault="00AC5F79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AC5F79" w:rsidRDefault="00AC5F79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AC5F79" w:rsidRDefault="00AC5F79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AC5F79" w:rsidRDefault="00AC5F79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AC5F79" w:rsidRDefault="00AC5F79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AC5F79" w:rsidRDefault="00AC5F79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22059F" w:rsidRPr="009D5F76" w:rsidRDefault="0022059F" w:rsidP="0022059F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 w:rsidR="000A451F">
        <w:rPr>
          <w:rFonts w:eastAsia="Times New Roman"/>
          <w:b/>
          <w:lang w:eastAsia="zh-CN"/>
        </w:rPr>
        <w:t>10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22059F" w:rsidRPr="009D5F76" w:rsidRDefault="0022059F" w:rsidP="0022059F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22059F" w:rsidRPr="009D5F76" w:rsidRDefault="0022059F" w:rsidP="0022059F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 w:rsidR="000A451F">
        <w:rPr>
          <w:rFonts w:eastAsia="Times New Roman"/>
          <w:b/>
          <w:lang w:eastAsia="zh-CN"/>
        </w:rPr>
        <w:t>10</w:t>
      </w:r>
      <w:r w:rsidRPr="009D5F76">
        <w:rPr>
          <w:rFonts w:eastAsia="Times New Roman"/>
          <w:b/>
          <w:lang w:eastAsia="zh-CN"/>
        </w:rPr>
        <w:t xml:space="preserve"> – </w:t>
      </w:r>
      <w:r w:rsidR="00906F9D">
        <w:rPr>
          <w:rFonts w:eastAsia="Times New Roman"/>
          <w:b/>
          <w:lang w:eastAsia="zh-CN"/>
        </w:rPr>
        <w:t>Materiały kontrolne i odczynniki do NGS, probówki do PCR, akcesoria do FISH</w:t>
      </w:r>
    </w:p>
    <w:p w:rsidR="0022059F" w:rsidRPr="009D5F76" w:rsidRDefault="0022059F" w:rsidP="0022059F">
      <w:pPr>
        <w:autoSpaceDN w:val="0"/>
        <w:spacing w:after="0" w:line="240" w:lineRule="auto"/>
        <w:rPr>
          <w:rFonts w:eastAsia="Times New Roman" w:cs="Times New Roman"/>
          <w:sz w:val="20"/>
          <w:lang w:eastAsia="zh-CN"/>
        </w:rPr>
      </w:pP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22059F" w:rsidRPr="009D5F76" w:rsidTr="007D210D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AC5F79" w:rsidRPr="009D5F76" w:rsidTr="008E37C3">
        <w:trPr>
          <w:trHeight w:val="585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5F79" w:rsidRPr="008E37C3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 w:rsidRPr="008E37C3">
              <w:rPr>
                <w:rFonts w:eastAsia="Times New Roman"/>
                <w:b/>
                <w:bCs w:val="0"/>
                <w:sz w:val="20"/>
                <w:lang w:eastAsia="zh-CN" w:bidi="hi-IN"/>
              </w:rPr>
              <w:t>ODCZYNNIKI ZUŻYWALNE</w:t>
            </w:r>
          </w:p>
        </w:tc>
      </w:tr>
      <w:tr w:rsidR="0022059F" w:rsidRPr="009D5F76" w:rsidTr="008E37C3">
        <w:trPr>
          <w:trHeight w:val="168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8E37C3" w:rsidRDefault="008E37C3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E37C3">
              <w:rPr>
                <w:rFonts w:cs="Times New Roman"/>
                <w:szCs w:val="22"/>
              </w:rPr>
              <w:t xml:space="preserve">Zestaw materiałów kontrolnych do oceny przebiegu badań mutacji somatycznych (EGFR, KRAS, NRAS, PI3KCA) wolnokrążącego DNA metodami qPCR i NGS, 350 ng cfDNA w stężeniu 20 ng/µl, długość </w:t>
            </w:r>
            <w:r w:rsidRPr="008E37C3">
              <w:rPr>
                <w:rFonts w:cs="Times New Roman"/>
                <w:szCs w:val="22"/>
              </w:rPr>
              <w:tab/>
              <w:t xml:space="preserve">fragmentów DNA 160 pz, cfDNA typu dzikiego w stężeniach: 100%, 5%, 1%, </w:t>
            </w:r>
            <w:r w:rsidRPr="008E37C3">
              <w:rPr>
                <w:rFonts w:cs="Times New Roman"/>
                <w:szCs w:val="22"/>
              </w:rPr>
              <w:tab/>
              <w:t xml:space="preserve">0.1%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22059F" w:rsidRPr="009D5F76" w:rsidTr="007D210D">
        <w:trPr>
          <w:trHeight w:val="9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94777" w:rsidRDefault="008E37C3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>
              <w:rPr>
                <w:rFonts w:cs="Times New Roman"/>
                <w:sz w:val="24"/>
              </w:rPr>
              <w:t>Agaroza do elektroforezy preparatywnej</w:t>
            </w:r>
            <w:r w:rsidRPr="00DF127B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 xml:space="preserve">fragmentów DNA, do analizy </w:t>
            </w:r>
            <w:r w:rsidRPr="00DF127B">
              <w:rPr>
                <w:rFonts w:cs="Times New Roman"/>
                <w:sz w:val="24"/>
              </w:rPr>
              <w:t>produktów PCR</w:t>
            </w:r>
            <w:r>
              <w:rPr>
                <w:rFonts w:cs="Times New Roman"/>
                <w:sz w:val="24"/>
              </w:rPr>
              <w:t xml:space="preserve"> </w:t>
            </w:r>
            <w:r w:rsidRPr="00DF127B">
              <w:rPr>
                <w:rFonts w:cs="Times New Roman"/>
                <w:sz w:val="24"/>
              </w:rPr>
              <w:t>w zakresie wielkości 200-800</w:t>
            </w:r>
            <w:r>
              <w:rPr>
                <w:rFonts w:cs="Times New Roman"/>
                <w:sz w:val="24"/>
              </w:rPr>
              <w:t xml:space="preserve"> pz, 100 g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8E37C3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 w:rsidRPr="008E37C3"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2059F" w:rsidRPr="009D5F76" w:rsidRDefault="0022059F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7D210D">
        <w:trPr>
          <w:trHeight w:val="9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94777" w:rsidRDefault="008E37C3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E37C3">
              <w:rPr>
                <w:rFonts w:cs="Times New Roman"/>
                <w:szCs w:val="22"/>
              </w:rPr>
              <w:t xml:space="preserve">Barwnik do wizualizacji DNA i RNA  na żelach agarozowych w świetle UV, nietoksyczny, niemutagenny, 2x1 ml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E37C3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 w:rsidRPr="008E37C3"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7D210D">
        <w:trPr>
          <w:trHeight w:val="9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E37C3" w:rsidRDefault="008E37C3" w:rsidP="009E60F4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E37C3">
              <w:rPr>
                <w:rFonts w:cs="Times New Roman"/>
                <w:szCs w:val="22"/>
              </w:rPr>
              <w:t>Marker wielkości DNA do elektrofore</w:t>
            </w:r>
            <w:r>
              <w:rPr>
                <w:rFonts w:cs="Times New Roman"/>
                <w:szCs w:val="22"/>
              </w:rPr>
              <w:t xml:space="preserve">zy agarozowej, mieszanina 11 </w:t>
            </w:r>
            <w:r>
              <w:rPr>
                <w:rFonts w:cs="Times New Roman"/>
                <w:szCs w:val="22"/>
              </w:rPr>
              <w:tab/>
            </w:r>
            <w:r w:rsidRPr="008E37C3">
              <w:rPr>
                <w:rFonts w:cs="Times New Roman"/>
                <w:szCs w:val="22"/>
              </w:rPr>
              <w:t xml:space="preserve">fragmentów DNA o wielkości 50-1000 pz, stężenie 0,2 µg/µl w buforze Tris-HCl, EDTA, NaCl, pH 8.0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E37C3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 w:rsidRPr="008E37C3"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8E37C3">
        <w:trPr>
          <w:trHeight w:val="581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sz w:val="20"/>
                <w:lang w:eastAsia="zh-CN" w:bidi="hi-IN"/>
              </w:rPr>
              <w:t>AKCESORIA ZUŻYWALNE</w:t>
            </w:r>
          </w:p>
        </w:tc>
      </w:tr>
      <w:tr w:rsidR="00906F9D" w:rsidRPr="009D5F76" w:rsidTr="008E37C3">
        <w:trPr>
          <w:trHeight w:val="8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E37C3" w:rsidRDefault="008E37C3" w:rsidP="00B661A0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E37C3">
              <w:rPr>
                <w:rFonts w:cs="Times New Roman"/>
                <w:szCs w:val="22"/>
              </w:rPr>
              <w:t>Probówki PCR 0,1 ml w paskach, kompatybilne do Rotor-Gene Q, z zatyczkami, po 4 w pasku, PCR clean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E37C3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 w:rsidRPr="008E37C3"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7D210D">
        <w:trPr>
          <w:trHeight w:val="9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6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94777" w:rsidRDefault="008E37C3" w:rsidP="003D5AC5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>
              <w:rPr>
                <w:rFonts w:cs="Times New Roman"/>
                <w:sz w:val="24"/>
              </w:rPr>
              <w:t xml:space="preserve">Klej gumowy do uszczelniania </w:t>
            </w:r>
            <w:r w:rsidRPr="00DD71B6">
              <w:rPr>
                <w:rFonts w:cs="Times New Roman"/>
                <w:sz w:val="24"/>
              </w:rPr>
              <w:t>szkiełka nakrywkowego podczas hybrydyzacji sondy FISH</w:t>
            </w:r>
            <w:r>
              <w:rPr>
                <w:rFonts w:cs="Times New Roman"/>
                <w:sz w:val="24"/>
              </w:rPr>
              <w:t xml:space="preserve">, 125 ml 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E37C3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 w:rsidRPr="008E37C3"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906F9D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2059F" w:rsidRPr="009D5F76" w:rsidRDefault="0022059F" w:rsidP="007D210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F9D" w:rsidRPr="009D5F76" w:rsidRDefault="00906F9D">
            <w:pPr>
              <w:spacing w:line="259" w:lineRule="auto"/>
            </w:pPr>
          </w:p>
        </w:tc>
      </w:tr>
    </w:tbl>
    <w:p w:rsidR="0022059F" w:rsidRPr="009D5F76" w:rsidRDefault="0022059F" w:rsidP="0022059F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22059F" w:rsidRPr="00994777" w:rsidRDefault="0022059F" w:rsidP="0022059F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994777">
        <w:rPr>
          <w:rFonts w:eastAsia="NSimSun" w:cs="Mangal"/>
          <w:b/>
          <w:lang w:eastAsia="zh-CN" w:bidi="hi-IN"/>
        </w:rPr>
        <w:t>UWAGA</w:t>
      </w:r>
      <w:r w:rsidR="004368AB">
        <w:rPr>
          <w:rFonts w:eastAsia="NSimSun" w:cs="Mangal"/>
          <w:b/>
          <w:lang w:eastAsia="zh-CN" w:bidi="hi-IN"/>
        </w:rPr>
        <w:t xml:space="preserve"> (jeżeli dotyczy) </w:t>
      </w:r>
      <w:r w:rsidRPr="00994777">
        <w:rPr>
          <w:rFonts w:eastAsia="NSimSun" w:cs="Mangal"/>
          <w:b/>
          <w:lang w:eastAsia="zh-CN" w:bidi="hi-IN"/>
        </w:rPr>
        <w:t xml:space="preserve">: </w:t>
      </w:r>
    </w:p>
    <w:p w:rsidR="0022059F" w:rsidRPr="00994777" w:rsidRDefault="0022059F" w:rsidP="0022059F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</w:p>
    <w:p w:rsidR="0022059F" w:rsidRPr="00994777" w:rsidRDefault="0022059F" w:rsidP="0022059F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994777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22059F" w:rsidRPr="00994777" w:rsidRDefault="0022059F" w:rsidP="0022059F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22059F" w:rsidRPr="00994777" w:rsidRDefault="0022059F" w:rsidP="0022059F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994777">
        <w:rPr>
          <w:rFonts w:eastAsia="NSimSun" w:cs="Mangal"/>
          <w:lang w:eastAsia="zh-CN" w:bidi="hi-IN"/>
        </w:rPr>
        <w:t xml:space="preserve">-Wykonawca jest zobowiązany dostarczyć </w:t>
      </w:r>
      <w:r w:rsidRPr="00994777">
        <w:rPr>
          <w:rFonts w:eastAsia="NSimSun" w:cs="Mangal"/>
          <w:b/>
          <w:lang w:eastAsia="zh-CN" w:bidi="hi-IN"/>
        </w:rPr>
        <w:t>świadectwo jakości</w:t>
      </w:r>
      <w:r w:rsidRPr="00994777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22059F" w:rsidRPr="00994777" w:rsidRDefault="0022059F" w:rsidP="0022059F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994777">
        <w:rPr>
          <w:rFonts w:eastAsia="NSimSun" w:cs="Mangal"/>
          <w:lang w:eastAsia="zh-CN" w:bidi="hi-IN"/>
        </w:rPr>
        <w:t xml:space="preserve">-Wykonawca jest zobowiązany dostarczyć </w:t>
      </w:r>
      <w:r w:rsidRPr="00994777">
        <w:rPr>
          <w:rFonts w:eastAsia="NSimSun" w:cs="Mangal"/>
          <w:b/>
          <w:lang w:eastAsia="zh-CN" w:bidi="hi-IN"/>
        </w:rPr>
        <w:t>kartę charakterystyki</w:t>
      </w:r>
      <w:r w:rsidRPr="00994777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22059F" w:rsidRPr="009D5F76" w:rsidRDefault="0022059F" w:rsidP="0022059F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22059F" w:rsidRDefault="0022059F" w:rsidP="0022059F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22059F" w:rsidRPr="009D5F76" w:rsidRDefault="0022059F" w:rsidP="0022059F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22059F" w:rsidRPr="009D5F76" w:rsidRDefault="0022059F" w:rsidP="0022059F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22059F" w:rsidRPr="009D5F76" w:rsidRDefault="0022059F" w:rsidP="0022059F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upoważnionej do reprezentowania Wykonawcy</w:t>
      </w:r>
    </w:p>
    <w:p w:rsidR="0022059F" w:rsidRDefault="0022059F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E533BC" w:rsidRDefault="00E533BC" w:rsidP="00DB305B">
      <w:pPr>
        <w:spacing w:before="100" w:beforeAutospacing="1" w:after="100" w:afterAutospacing="1" w:line="360" w:lineRule="auto"/>
        <w:jc w:val="both"/>
        <w:rPr>
          <w:rFonts w:eastAsia="Times New Roman" w:cs="Times New Roman"/>
          <w:b/>
          <w:sz w:val="24"/>
          <w:szCs w:val="24"/>
          <w:lang w:eastAsia="pl-PL"/>
        </w:rPr>
      </w:pPr>
    </w:p>
    <w:p w:rsidR="00BE4FAD" w:rsidRDefault="00BE4FAD" w:rsidP="00E533BC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:rsidR="00BE4FAD" w:rsidRDefault="00BE4FAD" w:rsidP="00E533BC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:rsidR="00BE4FAD" w:rsidRDefault="00BE4FAD" w:rsidP="00E533BC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:rsidR="00E533BC" w:rsidRPr="009D5F76" w:rsidRDefault="00E533BC" w:rsidP="00E533BC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>
        <w:rPr>
          <w:rFonts w:eastAsia="Times New Roman"/>
          <w:b/>
          <w:lang w:eastAsia="zh-CN"/>
        </w:rPr>
        <w:t>11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E533BC" w:rsidRPr="009D5F76" w:rsidRDefault="00E533BC" w:rsidP="00E533BC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E533BC" w:rsidRPr="009D5F76" w:rsidRDefault="00E533BC" w:rsidP="00E533BC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>
        <w:rPr>
          <w:rFonts w:eastAsia="Times New Roman"/>
          <w:b/>
          <w:lang w:eastAsia="zh-CN"/>
        </w:rPr>
        <w:t>11</w:t>
      </w:r>
      <w:r w:rsidRPr="009D5F76">
        <w:rPr>
          <w:rFonts w:eastAsia="Times New Roman"/>
          <w:b/>
          <w:lang w:eastAsia="zh-CN"/>
        </w:rPr>
        <w:t xml:space="preserve"> – </w:t>
      </w:r>
      <w:r w:rsidR="00906F9D">
        <w:rPr>
          <w:rFonts w:eastAsia="Times New Roman" w:cstheme="minorHAnsi"/>
          <w:b/>
          <w:kern w:val="2"/>
          <w:lang w:eastAsia="zh-CN"/>
        </w:rPr>
        <w:t>Odczynniki chemiczne</w:t>
      </w:r>
    </w:p>
    <w:p w:rsidR="00E533BC" w:rsidRPr="009D5F76" w:rsidRDefault="00E533BC" w:rsidP="00E533BC">
      <w:pPr>
        <w:autoSpaceDN w:val="0"/>
        <w:spacing w:after="0" w:line="240" w:lineRule="auto"/>
        <w:rPr>
          <w:rFonts w:eastAsia="Times New Roman" w:cs="Times New Roman"/>
          <w:sz w:val="20"/>
          <w:lang w:eastAsia="zh-CN"/>
        </w:rPr>
      </w:pP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E533BC" w:rsidRPr="009D5F76" w:rsidTr="007D210D">
        <w:trPr>
          <w:trHeight w:val="137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8E37C3" w:rsidRPr="009D5F76" w:rsidTr="00F04AB9">
        <w:trPr>
          <w:trHeight w:val="620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37C3" w:rsidRPr="009D5F76" w:rsidRDefault="008E37C3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sz w:val="20"/>
                <w:lang w:eastAsia="zh-CN" w:bidi="hi-IN"/>
              </w:rPr>
              <w:t>ODCZYNNIKI ZUŻYWALNE</w:t>
            </w:r>
          </w:p>
        </w:tc>
      </w:tr>
      <w:tr w:rsidR="00E533BC" w:rsidRPr="009D5F76" w:rsidTr="00817580">
        <w:trPr>
          <w:trHeight w:val="55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>Etylowy alkohol bezwodny 99,8% CZDA, ODCZ. FP, 500 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E533BC" w:rsidRPr="009D5F76" w:rsidTr="00817580">
        <w:trPr>
          <w:trHeight w:val="69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9D5F76" w:rsidRDefault="000B5A3A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</w:t>
            </w:r>
            <w:r w:rsidR="00E533BC">
              <w:rPr>
                <w:rFonts w:eastAsia="Times New Roman"/>
                <w:bCs w:val="0"/>
                <w:lang w:eastAsia="zh-CN" w:bidi="hi-IN"/>
              </w:rPr>
              <w:t>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FE3657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3A157D">
              <w:rPr>
                <w:rFonts w:cs="Times New Roman"/>
                <w:sz w:val="24"/>
              </w:rPr>
              <w:t>Ksylen ≥98.5%</w:t>
            </w:r>
            <w:r>
              <w:rPr>
                <w:rFonts w:cs="Times New Roman"/>
                <w:sz w:val="24"/>
              </w:rPr>
              <w:t>, mieszanina izomerów, cz.d.a., op= 1 litr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533BC" w:rsidRPr="009D5F76" w:rsidRDefault="00E533BC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70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cs="Times New Roman"/>
                <w:szCs w:val="22"/>
              </w:rPr>
            </w:pPr>
            <w:r w:rsidRPr="00817580">
              <w:rPr>
                <w:rFonts w:cs="Times New Roman"/>
                <w:szCs w:val="22"/>
              </w:rPr>
              <w:t xml:space="preserve">Chloran(I) sodu (14% Cl₂) (podchloryn sodu) roztwór wodny, </w:t>
            </w:r>
          </w:p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>1 litr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562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4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 xml:space="preserve">2-Propanol ≥99.0% (alkohol izopropylowy), cz.d.a., </w:t>
            </w:r>
            <w:r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>1 litr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817580">
        <w:trPr>
          <w:trHeight w:val="70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5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 xml:space="preserve">Etylowy alkohol 96% CZDA, </w:t>
            </w:r>
            <w:r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>500 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817580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564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6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 xml:space="preserve">Kwas borowy CZDA, w proszku, </w:t>
            </w:r>
            <w:r w:rsidR="00F04AB9"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>500 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56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7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 xml:space="preserve">Tris(hydroksymetylo)aminometan CZDA, </w:t>
            </w:r>
            <w:r w:rsidR="00F04AB9"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54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8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>di-Sodu wersenian 2-hydrat  CZDA,  w proszku,</w:t>
            </w:r>
            <w:r w:rsidR="00F04AB9"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 xml:space="preserve"> 1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817580">
        <w:trPr>
          <w:trHeight w:val="558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9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 xml:space="preserve">Chlorek potasu (KCl) CZDA, </w:t>
            </w:r>
            <w:r w:rsidR="00F04AB9"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>1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569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lastRenderedPageBreak/>
              <w:t>10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>Roztwór buforowy pH 2,00 +/- 0,05, roztwór HCl,</w:t>
            </w:r>
            <w:r w:rsidR="00F04AB9"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 xml:space="preserve"> 100 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55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11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 xml:space="preserve">Wodorotlenek sodu roztwór 30% CZDA, </w:t>
            </w:r>
            <w:r w:rsidR="00F04AB9"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>500 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55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12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 xml:space="preserve">Olejek immersyjny do mikroskopii, </w:t>
            </w:r>
            <w:r w:rsidR="00F04AB9">
              <w:rPr>
                <w:rFonts w:cs="Times New Roman"/>
                <w:szCs w:val="22"/>
              </w:rPr>
              <w:t>op=</w:t>
            </w:r>
            <w:r w:rsidRPr="00817580">
              <w:rPr>
                <w:rFonts w:cs="Times New Roman"/>
                <w:szCs w:val="22"/>
              </w:rPr>
              <w:t>250 ml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F04AB9">
        <w:trPr>
          <w:trHeight w:val="85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13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817580" w:rsidRDefault="00817580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817580">
              <w:rPr>
                <w:rFonts w:cs="Times New Roman"/>
                <w:szCs w:val="22"/>
              </w:rPr>
              <w:t>Bufor, roztwór PBS (buforowana fosforanem sól fizjologiczna), ultraczysty</w:t>
            </w:r>
            <w:r>
              <w:rPr>
                <w:rFonts w:cs="Times New Roman"/>
                <w:szCs w:val="22"/>
              </w:rPr>
              <w:t xml:space="preserve">, </w:t>
            </w:r>
            <w:r w:rsidRPr="00817580">
              <w:rPr>
                <w:rFonts w:cs="Times New Roman"/>
                <w:szCs w:val="22"/>
              </w:rPr>
              <w:t>stężony 1X, 500 ml, bez jonów wapnia i m</w:t>
            </w:r>
            <w:r>
              <w:rPr>
                <w:rFonts w:cs="Times New Roman"/>
                <w:szCs w:val="22"/>
              </w:rPr>
              <w:t xml:space="preserve">agnezu, wolny od DNaz, RNaz i </w:t>
            </w:r>
            <w:r w:rsidRPr="00817580">
              <w:rPr>
                <w:rFonts w:cs="Times New Roman"/>
                <w:szCs w:val="22"/>
              </w:rPr>
              <w:t>proteaz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E3657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szCs w:val="22"/>
                <w:lang w:eastAsia="zh-CN" w:bidi="hi-IN"/>
              </w:rPr>
            </w:pPr>
            <w:r>
              <w:rPr>
                <w:rFonts w:eastAsia="Times New Roman"/>
                <w:iCs w:val="0"/>
                <w:szCs w:val="22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906F9D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33BC" w:rsidRPr="009D5F76" w:rsidRDefault="00E533BC" w:rsidP="007D210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F9D" w:rsidRPr="009D5F76" w:rsidRDefault="00906F9D">
            <w:pPr>
              <w:spacing w:line="259" w:lineRule="auto"/>
            </w:pPr>
          </w:p>
        </w:tc>
      </w:tr>
    </w:tbl>
    <w:p w:rsidR="00E533BC" w:rsidRPr="009D5F76" w:rsidRDefault="00E533BC" w:rsidP="00E533BC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E533BC" w:rsidRPr="00FE3657" w:rsidRDefault="00E533BC" w:rsidP="00E533BC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FE3657">
        <w:rPr>
          <w:rFonts w:eastAsia="NSimSun" w:cs="Mangal"/>
          <w:b/>
          <w:lang w:eastAsia="zh-CN" w:bidi="hi-IN"/>
        </w:rPr>
        <w:t>UWAGA</w:t>
      </w:r>
      <w:r w:rsidR="004368AB">
        <w:rPr>
          <w:rFonts w:eastAsia="NSimSun" w:cs="Mangal"/>
          <w:b/>
          <w:lang w:eastAsia="zh-CN" w:bidi="hi-IN"/>
        </w:rPr>
        <w:t xml:space="preserve"> (jeżeli dotyczy)</w:t>
      </w:r>
      <w:r w:rsidRPr="00FE3657">
        <w:rPr>
          <w:rFonts w:eastAsia="NSimSun" w:cs="Mangal"/>
          <w:b/>
          <w:lang w:eastAsia="zh-CN" w:bidi="hi-IN"/>
        </w:rPr>
        <w:t xml:space="preserve">: </w:t>
      </w:r>
    </w:p>
    <w:p w:rsidR="00E533BC" w:rsidRPr="00FE3657" w:rsidRDefault="00E533BC" w:rsidP="00E533BC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FE3657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E533BC" w:rsidRPr="00FE3657" w:rsidRDefault="00E533BC" w:rsidP="00E533BC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E533BC" w:rsidRPr="00FE3657" w:rsidRDefault="00E533BC" w:rsidP="00E533BC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FE3657">
        <w:rPr>
          <w:rFonts w:eastAsia="NSimSun" w:cs="Mangal"/>
          <w:lang w:eastAsia="zh-CN" w:bidi="hi-IN"/>
        </w:rPr>
        <w:t xml:space="preserve">-Wykonawca jest zobowiązany dostarczyć </w:t>
      </w:r>
      <w:r w:rsidRPr="00FE3657">
        <w:rPr>
          <w:rFonts w:eastAsia="NSimSun" w:cs="Mangal"/>
          <w:b/>
          <w:lang w:eastAsia="zh-CN" w:bidi="hi-IN"/>
        </w:rPr>
        <w:t>świadectwo jakości</w:t>
      </w:r>
      <w:r w:rsidRPr="00FE3657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E533BC" w:rsidRPr="00FE3657" w:rsidRDefault="00E533BC" w:rsidP="00E533BC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FE3657">
        <w:rPr>
          <w:rFonts w:eastAsia="NSimSun" w:cs="Mangal"/>
          <w:lang w:eastAsia="zh-CN" w:bidi="hi-IN"/>
        </w:rPr>
        <w:t xml:space="preserve">-Wykonawca jest zobowiązany dostarczyć </w:t>
      </w:r>
      <w:r w:rsidRPr="00FE3657">
        <w:rPr>
          <w:rFonts w:eastAsia="NSimSun" w:cs="Mangal"/>
          <w:b/>
          <w:lang w:eastAsia="zh-CN" w:bidi="hi-IN"/>
        </w:rPr>
        <w:t>kartę charakterystyki</w:t>
      </w:r>
      <w:r w:rsidRPr="00FE3657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E533BC" w:rsidRPr="00FE3657" w:rsidRDefault="00E533BC" w:rsidP="00E533BC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533BC" w:rsidRDefault="00E533BC" w:rsidP="00E533BC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533BC" w:rsidRPr="009D5F76" w:rsidRDefault="00E533BC" w:rsidP="00E533BC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E533BC" w:rsidRPr="009D5F76" w:rsidRDefault="00E533BC" w:rsidP="00E533BC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D1472B" w:rsidRDefault="00E533BC" w:rsidP="000B5A3A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upoważnionej do reprezentowania Wykonawcy</w:t>
      </w:r>
    </w:p>
    <w:p w:rsidR="00906F9D" w:rsidRDefault="00906F9D" w:rsidP="000B5A3A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906F9D" w:rsidRDefault="00906F9D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 w:cs="Times New Roman"/>
          <w:spacing w:val="4"/>
          <w:szCs w:val="22"/>
          <w:lang w:eastAsia="zh-CN"/>
        </w:rPr>
      </w:pPr>
    </w:p>
    <w:p w:rsidR="00653A13" w:rsidRDefault="00653A13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 w:cs="Times New Roman"/>
          <w:spacing w:val="4"/>
          <w:szCs w:val="22"/>
          <w:lang w:eastAsia="zh-CN"/>
        </w:rPr>
      </w:pPr>
    </w:p>
    <w:p w:rsidR="00693A90" w:rsidRDefault="00693A90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693A90" w:rsidRDefault="00693A90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693A90" w:rsidRDefault="00693A90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693A90" w:rsidRDefault="00693A90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693A90" w:rsidRDefault="00693A90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D1472B" w:rsidRPr="009D5F76" w:rsidRDefault="00D1472B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>
        <w:rPr>
          <w:rFonts w:eastAsia="Times New Roman"/>
          <w:b/>
          <w:lang w:eastAsia="zh-CN"/>
        </w:rPr>
        <w:t>12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D1472B" w:rsidRPr="009D5F76" w:rsidRDefault="00D1472B" w:rsidP="00D1472B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D1472B" w:rsidRPr="00906F9D" w:rsidRDefault="00D1472B" w:rsidP="00906F9D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>
        <w:rPr>
          <w:rFonts w:eastAsia="Times New Roman"/>
          <w:b/>
          <w:lang w:eastAsia="zh-CN"/>
        </w:rPr>
        <w:t>12</w:t>
      </w:r>
      <w:r w:rsidRPr="009D5F76">
        <w:rPr>
          <w:rFonts w:eastAsia="Times New Roman"/>
          <w:b/>
          <w:lang w:eastAsia="zh-CN"/>
        </w:rPr>
        <w:t xml:space="preserve"> – </w:t>
      </w:r>
      <w:r w:rsidR="00906F9D">
        <w:rPr>
          <w:rFonts w:eastAsia="Times New Roman"/>
          <w:b/>
          <w:lang w:eastAsia="zh-CN"/>
        </w:rPr>
        <w:t>Mikrowirówki i worteksy</w:t>
      </w: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D1472B" w:rsidRPr="009D5F76" w:rsidTr="00906F9D">
        <w:trPr>
          <w:trHeight w:val="121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D1472B" w:rsidRPr="009D5F76" w:rsidTr="007D210D">
        <w:trPr>
          <w:trHeight w:val="101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Cs w:val="0"/>
                <w:lang w:eastAsia="zh-CN" w:bidi="hi-IN"/>
              </w:rPr>
              <w:t>1.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472B" w:rsidRPr="00F04AB9" w:rsidRDefault="00F04AB9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F04AB9">
              <w:rPr>
                <w:rFonts w:cs="Times New Roman"/>
                <w:szCs w:val="22"/>
              </w:rPr>
              <w:t>Mikrowirówka laboratoryjna, prędkość wirowan</w:t>
            </w:r>
            <w:r>
              <w:rPr>
                <w:rFonts w:cs="Times New Roman"/>
                <w:szCs w:val="22"/>
              </w:rPr>
              <w:t xml:space="preserve">ia max do 6000 obr./min, 2000 </w:t>
            </w:r>
            <w:r>
              <w:rPr>
                <w:rFonts w:cs="Times New Roman"/>
                <w:szCs w:val="22"/>
              </w:rPr>
              <w:tab/>
            </w:r>
            <w:r w:rsidRPr="00F04AB9">
              <w:rPr>
                <w:rFonts w:cs="Times New Roman"/>
                <w:szCs w:val="22"/>
              </w:rPr>
              <w:t>xg, z wirnikami do wirowania probówek 8 × 1,5 /</w:t>
            </w:r>
            <w:r>
              <w:rPr>
                <w:rFonts w:cs="Times New Roman"/>
                <w:szCs w:val="22"/>
              </w:rPr>
              <w:t xml:space="preserve"> 2,0 ml oraz 4 × (8 × 0,2 ml) </w:t>
            </w:r>
            <w:r w:rsidRPr="00F04AB9">
              <w:rPr>
                <w:rFonts w:cs="Times New Roman"/>
                <w:szCs w:val="22"/>
              </w:rPr>
              <w:t>i adapterami do wirowania probówek 0,5 oraz 0,4 ml, waga do 1 kg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472B" w:rsidRPr="009D5F76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472B" w:rsidRPr="009D5F76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472B" w:rsidRPr="009D5F76" w:rsidRDefault="00D1472B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7D210D">
        <w:trPr>
          <w:trHeight w:val="101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2.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F04AB9" w:rsidRDefault="00F04AB9" w:rsidP="007D210D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F04AB9">
              <w:rPr>
                <w:rFonts w:cs="Times New Roman"/>
                <w:szCs w:val="22"/>
              </w:rPr>
              <w:t>Wytrząsarka Vortex, ruch orbitalny, amplituda 4 mm, uchwyt na probówki o pojemności 0,5-15 ml, uchwyt uruchamiany pod wpływem nacisku, zakres prędkości 750–3000 obr./min, 12 V, 320 mA, waga do 1,5 kg, nóżki na gumowych przyssawkach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szt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Default="00F04AB9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06F9D" w:rsidRPr="009D5F76" w:rsidRDefault="00906F9D" w:rsidP="007D210D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906F9D" w:rsidRPr="009D5F76" w:rsidTr="00906F9D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1472B" w:rsidRPr="009D5F76" w:rsidRDefault="00D1472B" w:rsidP="007D210D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6F9D" w:rsidRPr="009D5F76" w:rsidRDefault="00906F9D">
            <w:pPr>
              <w:spacing w:line="259" w:lineRule="auto"/>
            </w:pPr>
          </w:p>
        </w:tc>
      </w:tr>
    </w:tbl>
    <w:p w:rsidR="00D1472B" w:rsidRPr="009D5F76" w:rsidRDefault="00D1472B" w:rsidP="00D1472B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D1472B" w:rsidRPr="009D5F76" w:rsidRDefault="00D1472B" w:rsidP="00D1472B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4368AB" w:rsidRPr="00FE3657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FE3657">
        <w:rPr>
          <w:rFonts w:eastAsia="NSimSun" w:cs="Mangal"/>
          <w:b/>
          <w:lang w:eastAsia="zh-CN" w:bidi="hi-IN"/>
        </w:rPr>
        <w:t>UWAGA</w:t>
      </w:r>
      <w:r>
        <w:rPr>
          <w:rFonts w:eastAsia="NSimSun" w:cs="Mangal"/>
          <w:b/>
          <w:lang w:eastAsia="zh-CN" w:bidi="hi-IN"/>
        </w:rPr>
        <w:t xml:space="preserve"> (jeżeli dotyczy)</w:t>
      </w:r>
      <w:r w:rsidRPr="00FE3657">
        <w:rPr>
          <w:rFonts w:eastAsia="NSimSun" w:cs="Mangal"/>
          <w:b/>
          <w:lang w:eastAsia="zh-CN" w:bidi="hi-IN"/>
        </w:rPr>
        <w:t xml:space="preserve">: </w:t>
      </w:r>
    </w:p>
    <w:p w:rsidR="004368AB" w:rsidRPr="00FE3657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</w:p>
    <w:p w:rsidR="004368AB" w:rsidRPr="00FE3657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FE3657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4368AB" w:rsidRPr="00FE3657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4368AB" w:rsidRPr="00FE3657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FE3657">
        <w:rPr>
          <w:rFonts w:eastAsia="NSimSun" w:cs="Mangal"/>
          <w:lang w:eastAsia="zh-CN" w:bidi="hi-IN"/>
        </w:rPr>
        <w:t xml:space="preserve">-Wykonawca jest zobowiązany dostarczyć </w:t>
      </w:r>
      <w:r w:rsidRPr="00FE3657">
        <w:rPr>
          <w:rFonts w:eastAsia="NSimSun" w:cs="Mangal"/>
          <w:b/>
          <w:lang w:eastAsia="zh-CN" w:bidi="hi-IN"/>
        </w:rPr>
        <w:t>świadectwo jakości</w:t>
      </w:r>
      <w:r w:rsidRPr="00FE3657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4368AB" w:rsidRPr="00FE3657" w:rsidRDefault="004368AB" w:rsidP="004368AB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FE3657">
        <w:rPr>
          <w:rFonts w:eastAsia="NSimSun" w:cs="Mangal"/>
          <w:lang w:eastAsia="zh-CN" w:bidi="hi-IN"/>
        </w:rPr>
        <w:t xml:space="preserve">-Wykonawca jest zobowiązany dostarczyć </w:t>
      </w:r>
      <w:r w:rsidRPr="00FE3657">
        <w:rPr>
          <w:rFonts w:eastAsia="NSimSun" w:cs="Mangal"/>
          <w:b/>
          <w:lang w:eastAsia="zh-CN" w:bidi="hi-IN"/>
        </w:rPr>
        <w:t>kartę charakterystyki</w:t>
      </w:r>
      <w:r w:rsidRPr="00FE3657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4368AB" w:rsidRPr="00FE3657" w:rsidRDefault="004368AB" w:rsidP="004368AB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D1472B" w:rsidRDefault="00D1472B" w:rsidP="00D1472B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D1472B" w:rsidRPr="009D5F76" w:rsidRDefault="00D1472B" w:rsidP="00D1472B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D1472B" w:rsidRPr="009D5F76" w:rsidRDefault="00D1472B" w:rsidP="00D1472B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D1472B" w:rsidRDefault="00D1472B" w:rsidP="00D1472B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upoważnionej do reprezentowania Wykonawcy</w:t>
      </w:r>
    </w:p>
    <w:p w:rsidR="00693A90" w:rsidRPr="009D5F76" w:rsidRDefault="00693A90" w:rsidP="00693A9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lastRenderedPageBreak/>
        <w:t>Załącznik nr 2.</w:t>
      </w:r>
      <w:r>
        <w:rPr>
          <w:rFonts w:eastAsia="Times New Roman"/>
          <w:b/>
          <w:lang w:eastAsia="zh-CN"/>
        </w:rPr>
        <w:t>13</w:t>
      </w:r>
      <w:r w:rsidRPr="009D5F76">
        <w:rPr>
          <w:rFonts w:eastAsia="Times New Roman"/>
          <w:b/>
          <w:lang w:eastAsia="zh-CN"/>
        </w:rPr>
        <w:t xml:space="preserve"> – Kosztorys ofertowy </w:t>
      </w:r>
    </w:p>
    <w:p w:rsidR="00693A90" w:rsidRPr="009D5F76" w:rsidRDefault="00693A90" w:rsidP="00693A9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</w:p>
    <w:p w:rsidR="00693A90" w:rsidRPr="00906F9D" w:rsidRDefault="00693A90" w:rsidP="00693A90">
      <w:pPr>
        <w:tabs>
          <w:tab w:val="left" w:pos="6379"/>
        </w:tabs>
        <w:suppressAutoHyphens/>
        <w:autoSpaceDN w:val="0"/>
        <w:spacing w:after="0" w:line="240" w:lineRule="auto"/>
        <w:rPr>
          <w:rFonts w:eastAsia="Times New Roman"/>
          <w:b/>
          <w:lang w:eastAsia="zh-CN"/>
        </w:rPr>
      </w:pPr>
      <w:r w:rsidRPr="009D5F76">
        <w:rPr>
          <w:rFonts w:eastAsia="Times New Roman"/>
          <w:b/>
          <w:lang w:eastAsia="zh-CN"/>
        </w:rPr>
        <w:t xml:space="preserve">Część </w:t>
      </w:r>
      <w:r>
        <w:rPr>
          <w:rFonts w:eastAsia="Times New Roman"/>
          <w:b/>
          <w:lang w:eastAsia="zh-CN"/>
        </w:rPr>
        <w:t>13</w:t>
      </w:r>
      <w:r w:rsidRPr="009D5F76">
        <w:rPr>
          <w:rFonts w:eastAsia="Times New Roman"/>
          <w:b/>
          <w:lang w:eastAsia="zh-CN"/>
        </w:rPr>
        <w:t xml:space="preserve"> – </w:t>
      </w:r>
      <w:r>
        <w:rPr>
          <w:rFonts w:eastAsia="Times New Roman"/>
          <w:b/>
          <w:lang w:eastAsia="zh-CN"/>
        </w:rPr>
        <w:t>Zestaw odczynników typu FAST do qPCR</w:t>
      </w:r>
    </w:p>
    <w:tbl>
      <w:tblPr>
        <w:tblW w:w="143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5847"/>
        <w:gridCol w:w="1276"/>
        <w:gridCol w:w="1276"/>
        <w:gridCol w:w="1275"/>
        <w:gridCol w:w="1701"/>
        <w:gridCol w:w="2392"/>
        <w:gridCol w:w="18"/>
      </w:tblGrid>
      <w:tr w:rsidR="00693A90" w:rsidRPr="009D5F76" w:rsidTr="00FF4BF3">
        <w:trPr>
          <w:trHeight w:val="1215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Lp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Asortyment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 xml:space="preserve">Jednostka miary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i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Cena jedn. brutto 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Wartość brutto*</w:t>
            </w:r>
          </w:p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</w:p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lang w:eastAsia="zh-CN" w:bidi="hi-IN"/>
              </w:rPr>
            </w:pPr>
            <w:r w:rsidRPr="009D5F76">
              <w:rPr>
                <w:rFonts w:eastAsia="Times New Roman"/>
                <w:b/>
                <w:lang w:eastAsia="zh-CN" w:bidi="hi-IN"/>
              </w:rPr>
              <w:t>Producent/nazwa handlowa/numer katalogowy (jeśli dotyczy)*</w:t>
            </w:r>
          </w:p>
        </w:tc>
      </w:tr>
      <w:tr w:rsidR="00693A90" w:rsidRPr="009D5F76" w:rsidTr="00693A90">
        <w:trPr>
          <w:trHeight w:val="652"/>
        </w:trPr>
        <w:tc>
          <w:tcPr>
            <w:tcW w:w="143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  <w:r>
              <w:rPr>
                <w:rFonts w:eastAsia="Times New Roman"/>
                <w:b/>
                <w:bCs w:val="0"/>
                <w:sz w:val="20"/>
                <w:lang w:eastAsia="zh-CN" w:bidi="hi-IN"/>
              </w:rPr>
              <w:t>ODCZYNNIKI ZUŻYWALNE</w:t>
            </w:r>
          </w:p>
        </w:tc>
      </w:tr>
      <w:tr w:rsidR="00693A90" w:rsidRPr="009D5F76" w:rsidTr="00FF4BF3">
        <w:trPr>
          <w:trHeight w:val="101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Cs w:val="0"/>
                <w:lang w:eastAsia="zh-CN" w:bidi="hi-IN"/>
              </w:rPr>
            </w:pPr>
            <w:r>
              <w:rPr>
                <w:rFonts w:eastAsia="Times New Roman"/>
                <w:bCs w:val="0"/>
                <w:lang w:eastAsia="zh-CN" w:bidi="hi-IN"/>
              </w:rPr>
              <w:t>1</w:t>
            </w:r>
          </w:p>
        </w:tc>
        <w:tc>
          <w:tcPr>
            <w:tcW w:w="5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3A90" w:rsidRPr="00693A90" w:rsidRDefault="00693A90" w:rsidP="00FF4BF3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eastAsia="Times New Roman"/>
                <w:bCs w:val="0"/>
                <w:szCs w:val="22"/>
                <w:lang w:eastAsia="zh-CN" w:bidi="hi-IN"/>
              </w:rPr>
            </w:pPr>
            <w:r w:rsidRPr="00693A90">
              <w:rPr>
                <w:rFonts w:cs="Times New Roman"/>
                <w:szCs w:val="22"/>
              </w:rPr>
              <w:t xml:space="preserve">Zestaw odczynników typu FAST do qPCR </w:t>
            </w:r>
            <w:r>
              <w:rPr>
                <w:rFonts w:cs="Times New Roman"/>
                <w:szCs w:val="22"/>
              </w:rPr>
              <w:t xml:space="preserve">z wykorzystaniem sond TaqMan, </w:t>
            </w:r>
            <w:r w:rsidRPr="00693A90">
              <w:rPr>
                <w:rFonts w:cs="Times New Roman"/>
                <w:szCs w:val="22"/>
              </w:rPr>
              <w:t>zawierający dNTP i MgCl</w:t>
            </w:r>
            <w:r w:rsidRPr="00693A90">
              <w:rPr>
                <w:rFonts w:cs="Times New Roman"/>
                <w:szCs w:val="22"/>
                <w:vertAlign w:val="subscript"/>
              </w:rPr>
              <w:t>2</w:t>
            </w:r>
            <w:r w:rsidRPr="00693A90">
              <w:rPr>
                <w:rFonts w:cs="Times New Roman"/>
                <w:szCs w:val="22"/>
              </w:rPr>
              <w:t xml:space="preserve"> z polimerazą DNA t</w:t>
            </w:r>
            <w:r>
              <w:rPr>
                <w:rFonts w:cs="Times New Roman"/>
                <w:szCs w:val="22"/>
              </w:rPr>
              <w:t xml:space="preserve">ypu hot-start, immobilizowaną </w:t>
            </w:r>
            <w:r>
              <w:rPr>
                <w:rFonts w:cs="Times New Roman"/>
                <w:szCs w:val="22"/>
              </w:rPr>
              <w:tab/>
            </w:r>
            <w:r w:rsidRPr="00693A90">
              <w:rPr>
                <w:rFonts w:cs="Times New Roman"/>
                <w:szCs w:val="22"/>
              </w:rPr>
              <w:t>przeciwciałem odporną na inhibitory reakcji</w:t>
            </w:r>
            <w:r>
              <w:rPr>
                <w:rFonts w:cs="Times New Roman"/>
                <w:szCs w:val="22"/>
              </w:rPr>
              <w:t xml:space="preserve"> qPCR pochodzące z badanej </w:t>
            </w:r>
            <w:r>
              <w:rPr>
                <w:rFonts w:cs="Times New Roman"/>
                <w:szCs w:val="22"/>
              </w:rPr>
              <w:tab/>
              <w:t xml:space="preserve">próbki, </w:t>
            </w:r>
            <w:r w:rsidRPr="00693A90">
              <w:rPr>
                <w:rFonts w:cs="Times New Roman"/>
                <w:szCs w:val="22"/>
              </w:rPr>
              <w:t>do szybkiej amplifikacji DNA z krwi obwodowej</w:t>
            </w:r>
            <w:r>
              <w:rPr>
                <w:rFonts w:cs="Times New Roman"/>
                <w:szCs w:val="22"/>
              </w:rPr>
              <w:t xml:space="preserve">, zestaw na 2000 </w:t>
            </w:r>
            <w:r w:rsidRPr="00693A90">
              <w:rPr>
                <w:rFonts w:cs="Times New Roman"/>
                <w:szCs w:val="22"/>
              </w:rPr>
              <w:t>reakcji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3A90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op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3A90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iCs w:val="0"/>
                <w:lang w:eastAsia="zh-CN" w:bidi="hi-IN"/>
              </w:rPr>
            </w:pPr>
            <w:r>
              <w:rPr>
                <w:rFonts w:eastAsia="Times New Roman"/>
                <w:iCs w:val="0"/>
                <w:lang w:eastAsia="zh-CN" w:bidi="hi-I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93A90" w:rsidRPr="009D5F76" w:rsidRDefault="00693A90" w:rsidP="00FF4BF3">
            <w:pPr>
              <w:suppressAutoHyphens/>
              <w:autoSpaceDN w:val="0"/>
              <w:spacing w:after="0" w:line="240" w:lineRule="auto"/>
              <w:jc w:val="center"/>
              <w:rPr>
                <w:rFonts w:eastAsia="Times New Roman"/>
                <w:b/>
                <w:bCs w:val="0"/>
                <w:sz w:val="20"/>
                <w:lang w:eastAsia="zh-CN" w:bidi="hi-IN"/>
              </w:rPr>
            </w:pPr>
          </w:p>
        </w:tc>
      </w:tr>
      <w:tr w:rsidR="00693A90" w:rsidRPr="009D5F76" w:rsidTr="00FF4BF3">
        <w:trPr>
          <w:gridAfter w:val="1"/>
          <w:wAfter w:w="18" w:type="dxa"/>
          <w:trHeight w:val="258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93A90" w:rsidRPr="009D5F76" w:rsidRDefault="00693A90" w:rsidP="00FF4BF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eastAsia="SimSun" w:cs="Arial"/>
                <w:b/>
                <w:sz w:val="24"/>
                <w:szCs w:val="24"/>
                <w:lang w:eastAsia="zh-CN" w:bidi="hi-IN"/>
              </w:rPr>
            </w:pPr>
            <w:r w:rsidRPr="009D5F76">
              <w:rPr>
                <w:rFonts w:eastAsia="SimSun" w:cs="Arial"/>
                <w:b/>
                <w:sz w:val="24"/>
                <w:szCs w:val="24"/>
                <w:lang w:eastAsia="zh-CN" w:bidi="hi-IN"/>
              </w:rPr>
              <w:t>RAZEM *</w:t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3A90" w:rsidRPr="009D5F76" w:rsidRDefault="00693A90" w:rsidP="00FF4BF3">
            <w:pPr>
              <w:spacing w:line="259" w:lineRule="auto"/>
            </w:pPr>
          </w:p>
        </w:tc>
      </w:tr>
    </w:tbl>
    <w:p w:rsidR="00693A90" w:rsidRPr="00693A90" w:rsidRDefault="00693A90" w:rsidP="00693A90">
      <w:pPr>
        <w:spacing w:before="100" w:beforeAutospacing="1" w:after="100" w:afterAutospacing="1" w:line="360" w:lineRule="auto"/>
        <w:jc w:val="both"/>
        <w:rPr>
          <w:rFonts w:eastAsia="Times New Roman" w:cs="Times New Roman"/>
          <w:iCs w:val="0"/>
          <w:kern w:val="0"/>
          <w:szCs w:val="24"/>
          <w:lang w:eastAsia="pl-PL"/>
        </w:rPr>
      </w:pPr>
      <w:r w:rsidRPr="009D5F76">
        <w:rPr>
          <w:rFonts w:eastAsia="Times New Roman" w:cs="Times New Roman"/>
          <w:szCs w:val="24"/>
          <w:lang w:eastAsia="pl-PL"/>
        </w:rPr>
        <w:t>* Wypełnia Wykonawca</w:t>
      </w:r>
    </w:p>
    <w:p w:rsidR="00693A90" w:rsidRPr="00FE3657" w:rsidRDefault="00693A90" w:rsidP="00693A90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  <w:r w:rsidRPr="00FE3657">
        <w:rPr>
          <w:rFonts w:eastAsia="NSimSun" w:cs="Mangal"/>
          <w:b/>
          <w:lang w:eastAsia="zh-CN" w:bidi="hi-IN"/>
        </w:rPr>
        <w:t>UWAGA</w:t>
      </w:r>
      <w:r>
        <w:rPr>
          <w:rFonts w:eastAsia="NSimSun" w:cs="Mangal"/>
          <w:b/>
          <w:lang w:eastAsia="zh-CN" w:bidi="hi-IN"/>
        </w:rPr>
        <w:t xml:space="preserve"> (jeżeli dotyczy)</w:t>
      </w:r>
      <w:r w:rsidRPr="00FE3657">
        <w:rPr>
          <w:rFonts w:eastAsia="NSimSun" w:cs="Mangal"/>
          <w:b/>
          <w:lang w:eastAsia="zh-CN" w:bidi="hi-IN"/>
        </w:rPr>
        <w:t xml:space="preserve">: </w:t>
      </w:r>
    </w:p>
    <w:p w:rsidR="00693A90" w:rsidRPr="00FE3657" w:rsidRDefault="00693A90" w:rsidP="00693A90">
      <w:pPr>
        <w:suppressAutoHyphens/>
        <w:autoSpaceDN w:val="0"/>
        <w:spacing w:after="0" w:line="240" w:lineRule="auto"/>
        <w:jc w:val="both"/>
        <w:rPr>
          <w:rFonts w:eastAsia="NSimSun" w:cs="Mangal"/>
          <w:b/>
          <w:iCs w:val="0"/>
          <w:lang w:eastAsia="zh-CN" w:bidi="hi-IN"/>
        </w:rPr>
      </w:pPr>
    </w:p>
    <w:p w:rsidR="00693A90" w:rsidRPr="00FE3657" w:rsidRDefault="00693A90" w:rsidP="00693A90">
      <w:pPr>
        <w:suppressAutoHyphens/>
        <w:autoSpaceDN w:val="0"/>
        <w:spacing w:after="0" w:line="240" w:lineRule="auto"/>
        <w:jc w:val="both"/>
        <w:rPr>
          <w:rFonts w:eastAsia="NSimSun" w:cs="Mangal"/>
          <w:iCs w:val="0"/>
          <w:lang w:eastAsia="zh-CN" w:bidi="hi-IN"/>
        </w:rPr>
      </w:pPr>
      <w:r w:rsidRPr="00FE3657">
        <w:rPr>
          <w:rFonts w:eastAsia="NSimSun" w:cs="Mangal"/>
          <w:lang w:eastAsia="zh-CN" w:bidi="hi-IN"/>
        </w:rPr>
        <w:t>W sytuacji, gdy nie jest możliwa dostawa dokładnej ilości zapotrzebowanych odczynników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odczynników.</w:t>
      </w:r>
    </w:p>
    <w:p w:rsidR="00693A90" w:rsidRPr="00FE3657" w:rsidRDefault="00693A90" w:rsidP="00693A9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</w:p>
    <w:p w:rsidR="00693A90" w:rsidRPr="00FE3657" w:rsidRDefault="00693A90" w:rsidP="00693A9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FE3657">
        <w:rPr>
          <w:rFonts w:eastAsia="NSimSun" w:cs="Mangal"/>
          <w:lang w:eastAsia="zh-CN" w:bidi="hi-IN"/>
        </w:rPr>
        <w:t xml:space="preserve">-Wykonawca jest zobowiązany dostarczyć </w:t>
      </w:r>
      <w:r w:rsidRPr="00FE3657">
        <w:rPr>
          <w:rFonts w:eastAsia="NSimSun" w:cs="Mangal"/>
          <w:b/>
          <w:lang w:eastAsia="zh-CN" w:bidi="hi-IN"/>
        </w:rPr>
        <w:t>świadectwo jakości</w:t>
      </w:r>
      <w:r w:rsidRPr="00FE3657">
        <w:rPr>
          <w:rFonts w:eastAsia="NSimSun" w:cs="Mangal"/>
          <w:lang w:eastAsia="zh-CN" w:bidi="hi-IN"/>
        </w:rPr>
        <w:t xml:space="preserve"> dla danej partii odczynników przy każdorazowej dostawie wyżej wymienionego asortymentu.</w:t>
      </w:r>
    </w:p>
    <w:p w:rsidR="00693A90" w:rsidRPr="00FE3657" w:rsidRDefault="00693A90" w:rsidP="00693A90">
      <w:pPr>
        <w:suppressAutoHyphens/>
        <w:autoSpaceDN w:val="0"/>
        <w:spacing w:after="0" w:line="240" w:lineRule="auto"/>
        <w:jc w:val="both"/>
        <w:rPr>
          <w:rFonts w:eastAsia="NSimSun" w:cs="Mangal"/>
          <w:lang w:eastAsia="zh-CN" w:bidi="hi-IN"/>
        </w:rPr>
      </w:pPr>
      <w:r w:rsidRPr="00FE3657">
        <w:rPr>
          <w:rFonts w:eastAsia="NSimSun" w:cs="Mangal"/>
          <w:lang w:eastAsia="zh-CN" w:bidi="hi-IN"/>
        </w:rPr>
        <w:t xml:space="preserve">-Wykonawca jest zobowiązany dostarczyć </w:t>
      </w:r>
      <w:r w:rsidRPr="00FE3657">
        <w:rPr>
          <w:rFonts w:eastAsia="NSimSun" w:cs="Mangal"/>
          <w:b/>
          <w:lang w:eastAsia="zh-CN" w:bidi="hi-IN"/>
        </w:rPr>
        <w:t>kartę charakterystyki</w:t>
      </w:r>
      <w:r w:rsidRPr="00FE3657">
        <w:rPr>
          <w:rFonts w:eastAsia="NSimSun" w:cs="Mangal"/>
          <w:lang w:eastAsia="zh-CN" w:bidi="hi-IN"/>
        </w:rPr>
        <w:t xml:space="preserve"> do każdego z wyżej wymienionych odczynników wraz z pierwszą dostawą.</w:t>
      </w:r>
    </w:p>
    <w:p w:rsidR="00693A90" w:rsidRPr="00FE3657" w:rsidRDefault="00693A90" w:rsidP="00693A9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693A90" w:rsidRDefault="00693A90" w:rsidP="00693A9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693A90" w:rsidRPr="009D5F76" w:rsidRDefault="00693A90" w:rsidP="00693A90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="Times New Roman"/>
          <w:spacing w:val="4"/>
          <w:szCs w:val="22"/>
          <w:lang w:eastAsia="zh-CN"/>
        </w:rPr>
      </w:pPr>
    </w:p>
    <w:p w:rsidR="00693A90" w:rsidRPr="009D5F76" w:rsidRDefault="00693A90" w:rsidP="00693A90">
      <w:pPr>
        <w:suppressAutoHyphens/>
        <w:autoSpaceDN w:val="0"/>
        <w:spacing w:after="0" w:line="100" w:lineRule="atLeast"/>
        <w:ind w:left="4956" w:firstLine="708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............................................................................................................</w:t>
      </w:r>
    </w:p>
    <w:p w:rsidR="00693A90" w:rsidRPr="009D5F76" w:rsidRDefault="00693A90" w:rsidP="00693A90">
      <w:pPr>
        <w:suppressAutoHyphens/>
        <w:autoSpaceDN w:val="0"/>
        <w:spacing w:after="0" w:line="100" w:lineRule="atLeast"/>
        <w:ind w:left="4956"/>
        <w:jc w:val="center"/>
        <w:textAlignment w:val="baseline"/>
        <w:rPr>
          <w:rFonts w:eastAsia="Times New Roman" w:cs="Times New Roman"/>
          <w:spacing w:val="4"/>
          <w:szCs w:val="22"/>
          <w:lang w:eastAsia="zh-CN"/>
        </w:rPr>
      </w:pPr>
      <w:r w:rsidRPr="009D5F76">
        <w:rPr>
          <w:rFonts w:eastAsia="Times New Roman" w:cs="Times New Roman"/>
          <w:spacing w:val="4"/>
          <w:szCs w:val="22"/>
          <w:lang w:eastAsia="zh-CN"/>
        </w:rPr>
        <w:t>podpis osoby upoważnionej do reprezentowania Wykonawcy</w:t>
      </w:r>
    </w:p>
    <w:sectPr w:rsidR="00693A90" w:rsidRPr="009D5F76" w:rsidSect="00436F9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2FE7" w:rsidRDefault="00A72FE7" w:rsidP="00B936B6">
      <w:pPr>
        <w:spacing w:after="0" w:line="240" w:lineRule="auto"/>
      </w:pPr>
      <w:r>
        <w:separator/>
      </w:r>
    </w:p>
  </w:endnote>
  <w:endnote w:type="continuationSeparator" w:id="0">
    <w:p w:rsidR="00A72FE7" w:rsidRDefault="00A72FE7" w:rsidP="00B93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2FE7" w:rsidRDefault="00A72FE7" w:rsidP="00B936B6">
      <w:pPr>
        <w:spacing w:after="0" w:line="240" w:lineRule="auto"/>
      </w:pPr>
      <w:r>
        <w:separator/>
      </w:r>
    </w:p>
  </w:footnote>
  <w:footnote w:type="continuationSeparator" w:id="0">
    <w:p w:rsidR="00A72FE7" w:rsidRDefault="00A72FE7" w:rsidP="00B93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05812"/>
    <w:multiLevelType w:val="hybridMultilevel"/>
    <w:tmpl w:val="00EE28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1D4723"/>
    <w:multiLevelType w:val="multilevel"/>
    <w:tmpl w:val="B4940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EF6160"/>
    <w:multiLevelType w:val="hybridMultilevel"/>
    <w:tmpl w:val="E5822FA8"/>
    <w:lvl w:ilvl="0" w:tplc="F8A09FDA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2E5CDF"/>
    <w:multiLevelType w:val="hybridMultilevel"/>
    <w:tmpl w:val="4FDC2F0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366F708D"/>
    <w:multiLevelType w:val="hybridMultilevel"/>
    <w:tmpl w:val="F27CFF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AB3ADB"/>
    <w:multiLevelType w:val="hybridMultilevel"/>
    <w:tmpl w:val="47285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50C6D"/>
    <w:multiLevelType w:val="hybridMultilevel"/>
    <w:tmpl w:val="DFC877D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07569E9"/>
    <w:multiLevelType w:val="hybridMultilevel"/>
    <w:tmpl w:val="ED72E876"/>
    <w:lvl w:ilvl="0" w:tplc="C316D63A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5B1B6EEE"/>
    <w:multiLevelType w:val="hybridMultilevel"/>
    <w:tmpl w:val="5388FC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AA4A40"/>
    <w:multiLevelType w:val="hybridMultilevel"/>
    <w:tmpl w:val="A77491F0"/>
    <w:lvl w:ilvl="0" w:tplc="518A7F9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7347BEB"/>
    <w:multiLevelType w:val="hybridMultilevel"/>
    <w:tmpl w:val="DD6AA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8D29DA"/>
    <w:multiLevelType w:val="multilevel"/>
    <w:tmpl w:val="B7C0D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724A0C"/>
    <w:multiLevelType w:val="hybridMultilevel"/>
    <w:tmpl w:val="FF0C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4581F"/>
    <w:multiLevelType w:val="multilevel"/>
    <w:tmpl w:val="ECA2B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F1320D"/>
    <w:multiLevelType w:val="hybridMultilevel"/>
    <w:tmpl w:val="A8485F5C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3"/>
  </w:num>
  <w:num w:numId="8">
    <w:abstractNumId w:val="4"/>
  </w:num>
  <w:num w:numId="9">
    <w:abstractNumId w:val="7"/>
  </w:num>
  <w:num w:numId="10">
    <w:abstractNumId w:val="12"/>
  </w:num>
  <w:num w:numId="11">
    <w:abstractNumId w:val="5"/>
  </w:num>
  <w:num w:numId="12">
    <w:abstractNumId w:val="11"/>
  </w:num>
  <w:num w:numId="13">
    <w:abstractNumId w:val="1"/>
  </w:num>
  <w:num w:numId="14">
    <w:abstractNumId w:val="13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BF0"/>
    <w:rsid w:val="000031AE"/>
    <w:rsid w:val="0000448C"/>
    <w:rsid w:val="00007D19"/>
    <w:rsid w:val="00011474"/>
    <w:rsid w:val="00027CC3"/>
    <w:rsid w:val="000375C1"/>
    <w:rsid w:val="0004720B"/>
    <w:rsid w:val="00071BA3"/>
    <w:rsid w:val="000724EA"/>
    <w:rsid w:val="0007771D"/>
    <w:rsid w:val="00085C28"/>
    <w:rsid w:val="000A0175"/>
    <w:rsid w:val="000A451F"/>
    <w:rsid w:val="000B1A35"/>
    <w:rsid w:val="000B5A3A"/>
    <w:rsid w:val="000C5C18"/>
    <w:rsid w:val="000D2016"/>
    <w:rsid w:val="000E2A3D"/>
    <w:rsid w:val="000F6179"/>
    <w:rsid w:val="0010223F"/>
    <w:rsid w:val="00105B0A"/>
    <w:rsid w:val="00115104"/>
    <w:rsid w:val="00115430"/>
    <w:rsid w:val="00124E04"/>
    <w:rsid w:val="00136E69"/>
    <w:rsid w:val="00143916"/>
    <w:rsid w:val="00144D6A"/>
    <w:rsid w:val="00154BE9"/>
    <w:rsid w:val="001571CD"/>
    <w:rsid w:val="00157569"/>
    <w:rsid w:val="00160103"/>
    <w:rsid w:val="00165322"/>
    <w:rsid w:val="00166763"/>
    <w:rsid w:val="00173C1E"/>
    <w:rsid w:val="00173D70"/>
    <w:rsid w:val="0017571F"/>
    <w:rsid w:val="0019129C"/>
    <w:rsid w:val="00191F3B"/>
    <w:rsid w:val="001940DE"/>
    <w:rsid w:val="00197EA0"/>
    <w:rsid w:val="001B671E"/>
    <w:rsid w:val="001B6E6A"/>
    <w:rsid w:val="001C0B48"/>
    <w:rsid w:val="001E1B91"/>
    <w:rsid w:val="001F5943"/>
    <w:rsid w:val="001F6330"/>
    <w:rsid w:val="00206470"/>
    <w:rsid w:val="002065DC"/>
    <w:rsid w:val="002131BF"/>
    <w:rsid w:val="002140B5"/>
    <w:rsid w:val="0022059F"/>
    <w:rsid w:val="00220D87"/>
    <w:rsid w:val="00230305"/>
    <w:rsid w:val="0023177C"/>
    <w:rsid w:val="002372C7"/>
    <w:rsid w:val="002413EA"/>
    <w:rsid w:val="00241C12"/>
    <w:rsid w:val="00242029"/>
    <w:rsid w:val="002470F2"/>
    <w:rsid w:val="0025604E"/>
    <w:rsid w:val="00256371"/>
    <w:rsid w:val="00263466"/>
    <w:rsid w:val="00282C82"/>
    <w:rsid w:val="00284384"/>
    <w:rsid w:val="00292896"/>
    <w:rsid w:val="0029674B"/>
    <w:rsid w:val="002979DD"/>
    <w:rsid w:val="002A6077"/>
    <w:rsid w:val="002B4363"/>
    <w:rsid w:val="002C0CFB"/>
    <w:rsid w:val="002C62C8"/>
    <w:rsid w:val="002D12C3"/>
    <w:rsid w:val="002E010B"/>
    <w:rsid w:val="002E3C1C"/>
    <w:rsid w:val="002F0047"/>
    <w:rsid w:val="002F0292"/>
    <w:rsid w:val="0030262A"/>
    <w:rsid w:val="003061EC"/>
    <w:rsid w:val="00306D1C"/>
    <w:rsid w:val="00321808"/>
    <w:rsid w:val="00322B70"/>
    <w:rsid w:val="00340811"/>
    <w:rsid w:val="00341DA2"/>
    <w:rsid w:val="00346715"/>
    <w:rsid w:val="00347967"/>
    <w:rsid w:val="003571BC"/>
    <w:rsid w:val="0036370C"/>
    <w:rsid w:val="00366D2D"/>
    <w:rsid w:val="00371B8F"/>
    <w:rsid w:val="0037244E"/>
    <w:rsid w:val="00375101"/>
    <w:rsid w:val="00380DF8"/>
    <w:rsid w:val="0038399E"/>
    <w:rsid w:val="00384F68"/>
    <w:rsid w:val="00393A02"/>
    <w:rsid w:val="003A17AF"/>
    <w:rsid w:val="003B10AD"/>
    <w:rsid w:val="003D5AC5"/>
    <w:rsid w:val="003E6C2B"/>
    <w:rsid w:val="003F031A"/>
    <w:rsid w:val="003F2B6B"/>
    <w:rsid w:val="003F7272"/>
    <w:rsid w:val="00402823"/>
    <w:rsid w:val="00407243"/>
    <w:rsid w:val="0042383F"/>
    <w:rsid w:val="00427123"/>
    <w:rsid w:val="00427257"/>
    <w:rsid w:val="004316C1"/>
    <w:rsid w:val="00431A88"/>
    <w:rsid w:val="00434954"/>
    <w:rsid w:val="004368AB"/>
    <w:rsid w:val="00436F96"/>
    <w:rsid w:val="004375C5"/>
    <w:rsid w:val="0044050C"/>
    <w:rsid w:val="00442FFE"/>
    <w:rsid w:val="00446D12"/>
    <w:rsid w:val="00450D19"/>
    <w:rsid w:val="00456D71"/>
    <w:rsid w:val="00475660"/>
    <w:rsid w:val="004923DF"/>
    <w:rsid w:val="004A27DD"/>
    <w:rsid w:val="004B3478"/>
    <w:rsid w:val="004D7C7F"/>
    <w:rsid w:val="004E4163"/>
    <w:rsid w:val="004E4632"/>
    <w:rsid w:val="004F6BC1"/>
    <w:rsid w:val="004F6E1D"/>
    <w:rsid w:val="0050210E"/>
    <w:rsid w:val="00503754"/>
    <w:rsid w:val="0050537E"/>
    <w:rsid w:val="0050692D"/>
    <w:rsid w:val="00506F05"/>
    <w:rsid w:val="00511BAB"/>
    <w:rsid w:val="005130F4"/>
    <w:rsid w:val="00513EBD"/>
    <w:rsid w:val="00516503"/>
    <w:rsid w:val="005166C0"/>
    <w:rsid w:val="0051799B"/>
    <w:rsid w:val="00520413"/>
    <w:rsid w:val="0052085E"/>
    <w:rsid w:val="00525AE2"/>
    <w:rsid w:val="00532EF5"/>
    <w:rsid w:val="00534C12"/>
    <w:rsid w:val="00546CAB"/>
    <w:rsid w:val="00552F04"/>
    <w:rsid w:val="00572579"/>
    <w:rsid w:val="00585685"/>
    <w:rsid w:val="0058576F"/>
    <w:rsid w:val="005A1E36"/>
    <w:rsid w:val="005A2D92"/>
    <w:rsid w:val="005A7CD9"/>
    <w:rsid w:val="005B01A9"/>
    <w:rsid w:val="005B311D"/>
    <w:rsid w:val="005C5CB4"/>
    <w:rsid w:val="005D141E"/>
    <w:rsid w:val="005D25C7"/>
    <w:rsid w:val="005D6882"/>
    <w:rsid w:val="005D7BDB"/>
    <w:rsid w:val="005F37B8"/>
    <w:rsid w:val="00600A9A"/>
    <w:rsid w:val="00623CDF"/>
    <w:rsid w:val="00627274"/>
    <w:rsid w:val="00631610"/>
    <w:rsid w:val="00647F11"/>
    <w:rsid w:val="00653A13"/>
    <w:rsid w:val="006553C0"/>
    <w:rsid w:val="00662627"/>
    <w:rsid w:val="00670283"/>
    <w:rsid w:val="00676702"/>
    <w:rsid w:val="0068790F"/>
    <w:rsid w:val="00690C53"/>
    <w:rsid w:val="0069104F"/>
    <w:rsid w:val="00691578"/>
    <w:rsid w:val="00693A90"/>
    <w:rsid w:val="006A20F3"/>
    <w:rsid w:val="006B4C06"/>
    <w:rsid w:val="006C332E"/>
    <w:rsid w:val="006C6B1D"/>
    <w:rsid w:val="006C6F89"/>
    <w:rsid w:val="006D279A"/>
    <w:rsid w:val="006D5AFA"/>
    <w:rsid w:val="006E6907"/>
    <w:rsid w:val="006F1E7C"/>
    <w:rsid w:val="007175EC"/>
    <w:rsid w:val="0072181F"/>
    <w:rsid w:val="00722CCF"/>
    <w:rsid w:val="00723219"/>
    <w:rsid w:val="00727F85"/>
    <w:rsid w:val="00730076"/>
    <w:rsid w:val="0073165F"/>
    <w:rsid w:val="00733AA1"/>
    <w:rsid w:val="00736AEA"/>
    <w:rsid w:val="0074480A"/>
    <w:rsid w:val="0075297B"/>
    <w:rsid w:val="00755E49"/>
    <w:rsid w:val="00760CC8"/>
    <w:rsid w:val="007642F3"/>
    <w:rsid w:val="00764A27"/>
    <w:rsid w:val="00777D8B"/>
    <w:rsid w:val="007C79F8"/>
    <w:rsid w:val="007D210D"/>
    <w:rsid w:val="007D69E0"/>
    <w:rsid w:val="007E2D20"/>
    <w:rsid w:val="007E4B14"/>
    <w:rsid w:val="007E5624"/>
    <w:rsid w:val="007F25E6"/>
    <w:rsid w:val="007F7172"/>
    <w:rsid w:val="007F7EC3"/>
    <w:rsid w:val="0080227A"/>
    <w:rsid w:val="00803476"/>
    <w:rsid w:val="0080467A"/>
    <w:rsid w:val="00804EC4"/>
    <w:rsid w:val="008128A7"/>
    <w:rsid w:val="008153B2"/>
    <w:rsid w:val="00817580"/>
    <w:rsid w:val="00822363"/>
    <w:rsid w:val="00823880"/>
    <w:rsid w:val="00826AD9"/>
    <w:rsid w:val="00832BF0"/>
    <w:rsid w:val="00833F2B"/>
    <w:rsid w:val="00837E4F"/>
    <w:rsid w:val="00843A72"/>
    <w:rsid w:val="00855F39"/>
    <w:rsid w:val="00873AA3"/>
    <w:rsid w:val="0088692B"/>
    <w:rsid w:val="008928C4"/>
    <w:rsid w:val="008B58C0"/>
    <w:rsid w:val="008B613E"/>
    <w:rsid w:val="008C77E1"/>
    <w:rsid w:val="008D78BD"/>
    <w:rsid w:val="008E37C3"/>
    <w:rsid w:val="00900997"/>
    <w:rsid w:val="00902DBC"/>
    <w:rsid w:val="00906F9D"/>
    <w:rsid w:val="009121CB"/>
    <w:rsid w:val="009204E4"/>
    <w:rsid w:val="009210F7"/>
    <w:rsid w:val="00924198"/>
    <w:rsid w:val="0092583E"/>
    <w:rsid w:val="009314D1"/>
    <w:rsid w:val="0095332F"/>
    <w:rsid w:val="00957611"/>
    <w:rsid w:val="00967A68"/>
    <w:rsid w:val="009808AD"/>
    <w:rsid w:val="00980CE8"/>
    <w:rsid w:val="00986551"/>
    <w:rsid w:val="00987C30"/>
    <w:rsid w:val="00987C52"/>
    <w:rsid w:val="00994777"/>
    <w:rsid w:val="009952D9"/>
    <w:rsid w:val="0099593F"/>
    <w:rsid w:val="009A09A2"/>
    <w:rsid w:val="009B1DA5"/>
    <w:rsid w:val="009C03B0"/>
    <w:rsid w:val="009C1B3A"/>
    <w:rsid w:val="009C7E11"/>
    <w:rsid w:val="009D180C"/>
    <w:rsid w:val="009D3088"/>
    <w:rsid w:val="009D5F76"/>
    <w:rsid w:val="009D7A46"/>
    <w:rsid w:val="009E2D41"/>
    <w:rsid w:val="009E3446"/>
    <w:rsid w:val="009E6077"/>
    <w:rsid w:val="009E60F4"/>
    <w:rsid w:val="009F2792"/>
    <w:rsid w:val="009F305A"/>
    <w:rsid w:val="00A01C52"/>
    <w:rsid w:val="00A02B4E"/>
    <w:rsid w:val="00A0586C"/>
    <w:rsid w:val="00A245F3"/>
    <w:rsid w:val="00A2768C"/>
    <w:rsid w:val="00A42D3A"/>
    <w:rsid w:val="00A43777"/>
    <w:rsid w:val="00A5085E"/>
    <w:rsid w:val="00A52E51"/>
    <w:rsid w:val="00A61364"/>
    <w:rsid w:val="00A6599F"/>
    <w:rsid w:val="00A72FE7"/>
    <w:rsid w:val="00A73025"/>
    <w:rsid w:val="00A75819"/>
    <w:rsid w:val="00A878D1"/>
    <w:rsid w:val="00AA36FE"/>
    <w:rsid w:val="00AA551B"/>
    <w:rsid w:val="00AC0D69"/>
    <w:rsid w:val="00AC59B1"/>
    <w:rsid w:val="00AC5F79"/>
    <w:rsid w:val="00AE75F4"/>
    <w:rsid w:val="00AF6E67"/>
    <w:rsid w:val="00B02C49"/>
    <w:rsid w:val="00B06D0F"/>
    <w:rsid w:val="00B22EA7"/>
    <w:rsid w:val="00B24884"/>
    <w:rsid w:val="00B26019"/>
    <w:rsid w:val="00B27E6E"/>
    <w:rsid w:val="00B33AB4"/>
    <w:rsid w:val="00B45B9E"/>
    <w:rsid w:val="00B53D3C"/>
    <w:rsid w:val="00B64F73"/>
    <w:rsid w:val="00B661A0"/>
    <w:rsid w:val="00B769B8"/>
    <w:rsid w:val="00B936B6"/>
    <w:rsid w:val="00BC2CA5"/>
    <w:rsid w:val="00BC6A0A"/>
    <w:rsid w:val="00BC6E47"/>
    <w:rsid w:val="00BD4A09"/>
    <w:rsid w:val="00BD5CC9"/>
    <w:rsid w:val="00BE4FAD"/>
    <w:rsid w:val="00C072E1"/>
    <w:rsid w:val="00C21BD9"/>
    <w:rsid w:val="00C32F3A"/>
    <w:rsid w:val="00C37D49"/>
    <w:rsid w:val="00C405D3"/>
    <w:rsid w:val="00C4750E"/>
    <w:rsid w:val="00C54CBB"/>
    <w:rsid w:val="00C73654"/>
    <w:rsid w:val="00C904B1"/>
    <w:rsid w:val="00C90829"/>
    <w:rsid w:val="00C93D9B"/>
    <w:rsid w:val="00C973DA"/>
    <w:rsid w:val="00C9793A"/>
    <w:rsid w:val="00CB4CC2"/>
    <w:rsid w:val="00CC22E1"/>
    <w:rsid w:val="00CD7F23"/>
    <w:rsid w:val="00CE0DDF"/>
    <w:rsid w:val="00CE1B75"/>
    <w:rsid w:val="00CE2E98"/>
    <w:rsid w:val="00CF551C"/>
    <w:rsid w:val="00D06A00"/>
    <w:rsid w:val="00D1472B"/>
    <w:rsid w:val="00D23226"/>
    <w:rsid w:val="00D23AA5"/>
    <w:rsid w:val="00D2526E"/>
    <w:rsid w:val="00D44F28"/>
    <w:rsid w:val="00D52E65"/>
    <w:rsid w:val="00D629FD"/>
    <w:rsid w:val="00D631D0"/>
    <w:rsid w:val="00D64D8D"/>
    <w:rsid w:val="00D919B4"/>
    <w:rsid w:val="00D956F6"/>
    <w:rsid w:val="00DA6A46"/>
    <w:rsid w:val="00DA702B"/>
    <w:rsid w:val="00DB1569"/>
    <w:rsid w:val="00DB305B"/>
    <w:rsid w:val="00DC02E5"/>
    <w:rsid w:val="00DC0E70"/>
    <w:rsid w:val="00DC2ECA"/>
    <w:rsid w:val="00DD119C"/>
    <w:rsid w:val="00DE3E15"/>
    <w:rsid w:val="00DF4A68"/>
    <w:rsid w:val="00E00351"/>
    <w:rsid w:val="00E05CEB"/>
    <w:rsid w:val="00E06DC2"/>
    <w:rsid w:val="00E14F93"/>
    <w:rsid w:val="00E17813"/>
    <w:rsid w:val="00E21066"/>
    <w:rsid w:val="00E345B3"/>
    <w:rsid w:val="00E37248"/>
    <w:rsid w:val="00E43C06"/>
    <w:rsid w:val="00E44A8C"/>
    <w:rsid w:val="00E479CB"/>
    <w:rsid w:val="00E533BC"/>
    <w:rsid w:val="00E66DE0"/>
    <w:rsid w:val="00E67F75"/>
    <w:rsid w:val="00E73B80"/>
    <w:rsid w:val="00E743B5"/>
    <w:rsid w:val="00E82047"/>
    <w:rsid w:val="00E83013"/>
    <w:rsid w:val="00E86598"/>
    <w:rsid w:val="00E94488"/>
    <w:rsid w:val="00E94D71"/>
    <w:rsid w:val="00EA278D"/>
    <w:rsid w:val="00EA51CF"/>
    <w:rsid w:val="00EA6EC6"/>
    <w:rsid w:val="00EB1F9F"/>
    <w:rsid w:val="00EC56BB"/>
    <w:rsid w:val="00EC5E1A"/>
    <w:rsid w:val="00EE289D"/>
    <w:rsid w:val="00EE2CF9"/>
    <w:rsid w:val="00EE38E0"/>
    <w:rsid w:val="00EF4AA4"/>
    <w:rsid w:val="00F04AB9"/>
    <w:rsid w:val="00F10A06"/>
    <w:rsid w:val="00F12B06"/>
    <w:rsid w:val="00F13765"/>
    <w:rsid w:val="00F25954"/>
    <w:rsid w:val="00F306D0"/>
    <w:rsid w:val="00F33601"/>
    <w:rsid w:val="00F33FBA"/>
    <w:rsid w:val="00F34F87"/>
    <w:rsid w:val="00F37561"/>
    <w:rsid w:val="00F37CB1"/>
    <w:rsid w:val="00F46FE1"/>
    <w:rsid w:val="00F51427"/>
    <w:rsid w:val="00F656D0"/>
    <w:rsid w:val="00F6769A"/>
    <w:rsid w:val="00F71A7B"/>
    <w:rsid w:val="00F74E30"/>
    <w:rsid w:val="00F81B1F"/>
    <w:rsid w:val="00F86278"/>
    <w:rsid w:val="00FA40F4"/>
    <w:rsid w:val="00FB2AE6"/>
    <w:rsid w:val="00FC17B4"/>
    <w:rsid w:val="00FC1C3B"/>
    <w:rsid w:val="00FC4ED2"/>
    <w:rsid w:val="00FD536B"/>
    <w:rsid w:val="00FE3657"/>
    <w:rsid w:val="00FF0074"/>
    <w:rsid w:val="00FF4BF3"/>
    <w:rsid w:val="00FF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D85719-3D59-449C-9663-81BCDA10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 Narrow"/>
        <w:bCs/>
        <w:iCs/>
        <w:kern w:val="3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5F7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0C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CF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23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26AD9"/>
    <w:pPr>
      <w:ind w:left="720"/>
      <w:contextualSpacing/>
    </w:pPr>
  </w:style>
  <w:style w:type="paragraph" w:customStyle="1" w:styleId="Standard">
    <w:name w:val="Standard"/>
    <w:rsid w:val="009E6077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sz w:val="20"/>
      <w:lang w:eastAsia="zh-CN"/>
    </w:rPr>
  </w:style>
  <w:style w:type="paragraph" w:styleId="Tekstpodstawowy3">
    <w:name w:val="Body Text 3"/>
    <w:basedOn w:val="Standard"/>
    <w:link w:val="Tekstpodstawowy3Znak"/>
    <w:rsid w:val="009E6077"/>
    <w:pPr>
      <w:spacing w:line="100" w:lineRule="atLeast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9E6077"/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Tekstpodstawowywcity2">
    <w:name w:val="Body Text Indent 2"/>
    <w:basedOn w:val="Standard"/>
    <w:link w:val="Tekstpodstawowywcity2Znak"/>
    <w:rsid w:val="009E6077"/>
    <w:pPr>
      <w:spacing w:line="100" w:lineRule="atLeast"/>
      <w:ind w:left="5954"/>
      <w:jc w:val="center"/>
    </w:pPr>
    <w:rPr>
      <w:sz w:val="1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E6077"/>
    <w:rPr>
      <w:rFonts w:ascii="Times New Roman" w:eastAsia="Times New Roman" w:hAnsi="Times New Roman" w:cs="Times New Roman"/>
      <w:kern w:val="3"/>
      <w:sz w:val="16"/>
      <w:szCs w:val="20"/>
      <w:lang w:eastAsia="zh-CN"/>
    </w:rPr>
  </w:style>
  <w:style w:type="paragraph" w:styleId="Stopka">
    <w:name w:val="footer"/>
    <w:basedOn w:val="Standard"/>
    <w:link w:val="StopkaZnak"/>
    <w:rsid w:val="009E6077"/>
    <w:pPr>
      <w:suppressLineNumbers/>
      <w:tabs>
        <w:tab w:val="center" w:pos="7001"/>
        <w:tab w:val="right" w:pos="14002"/>
      </w:tabs>
    </w:pPr>
  </w:style>
  <w:style w:type="character" w:customStyle="1" w:styleId="StopkaZnak">
    <w:name w:val="Stopka Znak"/>
    <w:basedOn w:val="Domylnaczcionkaakapitu"/>
    <w:link w:val="Stopka"/>
    <w:rsid w:val="009E6077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C21BD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3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36B6"/>
  </w:style>
  <w:style w:type="character" w:styleId="Hipercze">
    <w:name w:val="Hyperlink"/>
    <w:basedOn w:val="Domylnaczcionkaakapitu"/>
    <w:uiPriority w:val="99"/>
    <w:unhideWhenUsed/>
    <w:rsid w:val="006626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4670</Words>
  <Characters>28021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Rożenek</dc:creator>
  <cp:lastModifiedBy>Monika Karwacka</cp:lastModifiedBy>
  <cp:revision>11</cp:revision>
  <cp:lastPrinted>2022-04-26T12:56:00Z</cp:lastPrinted>
  <dcterms:created xsi:type="dcterms:W3CDTF">2022-04-26T10:21:00Z</dcterms:created>
  <dcterms:modified xsi:type="dcterms:W3CDTF">2022-05-05T08:36:00Z</dcterms:modified>
</cp:coreProperties>
</file>