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E4" w:rsidRPr="009B5EBB" w:rsidRDefault="009B5EBB" w:rsidP="005A7561">
      <w:pPr>
        <w:jc w:val="center"/>
        <w:rPr>
          <w:b/>
        </w:rPr>
      </w:pPr>
      <w:r w:rsidRPr="009B5EBB">
        <w:rPr>
          <w:b/>
        </w:rPr>
        <w:t>Załącznik nr</w:t>
      </w:r>
      <w:r w:rsidR="005A7561">
        <w:rPr>
          <w:b/>
        </w:rPr>
        <w:t xml:space="preserve"> 3 </w:t>
      </w:r>
      <w:r w:rsidRPr="009B5EBB">
        <w:rPr>
          <w:b/>
        </w:rPr>
        <w:t xml:space="preserve"> do SWZ – Opis przedmiotu zamówienia</w:t>
      </w:r>
    </w:p>
    <w:p w:rsidR="005A7561" w:rsidRPr="005A7561" w:rsidRDefault="005A7561" w:rsidP="005A7561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7561" w:rsidRPr="005A7561" w:rsidRDefault="005A7561" w:rsidP="005A7561">
      <w:pPr>
        <w:tabs>
          <w:tab w:val="left" w:pos="9071"/>
        </w:tabs>
        <w:spacing w:after="0" w:line="360" w:lineRule="auto"/>
        <w:jc w:val="both"/>
        <w:rPr>
          <w:rFonts w:ascii="Verdana" w:eastAsia="Times New Roman" w:hAnsi="Verdana" w:cs="Tahoma"/>
          <w:sz w:val="18"/>
          <w:szCs w:val="18"/>
          <w:u w:val="single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u w:val="single"/>
          <w:lang w:eastAsia="pl-PL"/>
        </w:rPr>
        <w:t>Instrukcja wypełniania załącznika nr 3: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1. Wykonawca sporządzając ofertę wypełnia jedynie kolumnę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Parametry oferowanego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urządzenia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”.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2. Wykonawca wypełnia wszystkie wiersze kolumny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„Parametry oferowanego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urządzenia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” uwzględniając zapisy w poszczególnych wierszach i kolumnach poniższej tabeli. 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3. Jeśli w kolumnie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Parametr graniczny/wartość”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występuje zapis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TAK”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to oznacza, iż Zamawiający bezwzględnie wymaga parametru podanego w kolumnie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„Opis </w:t>
      </w:r>
      <w:r w:rsidRPr="005A7561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wymaganych parametrów technicznych/pakiet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”.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Wykonawca w celu potwierdzenia spełnienia parametru zobowiązany jest do wpisania słowa 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„TAK”.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4. W przypadku, gdy w kolumnie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Parametr graniczny/wartość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>” występuje zapis: „</w:t>
      </w:r>
      <w:r w:rsidRPr="005A7561">
        <w:rPr>
          <w:rFonts w:ascii="Verdana" w:eastAsia="Times New Roman" w:hAnsi="Verdana" w:cs="Tahoma"/>
          <w:b/>
          <w:sz w:val="18"/>
          <w:szCs w:val="18"/>
          <w:lang w:eastAsia="pl-PL"/>
        </w:rPr>
        <w:t>podać; opisać; wymienić; wyszczególnić; itp.”</w:t>
      </w: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 Wykonawca zobowiązany jest do podania; opisania; wymienienia; wyszczególnienia; itp. parametrów dla zaoferowanego produktu.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Calibri" w:hAnsi="Verdana" w:cs="Times New Roman"/>
          <w:sz w:val="18"/>
          <w:szCs w:val="18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5. 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W przypadku, gdy w kolumnie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„Parametr graniczny/wartość”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występuje zapis: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„TAK, podać; TAK, opisać; TAK, wymienić; TAK, wyszczególnić; itp.”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to Wykonawca zobowiązany jest do wpisania słowa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oraz do podania; opisania; wymienienia; wyszczególnienia; itp. parametrów dla zaoferowanego produktu.</w:t>
      </w:r>
    </w:p>
    <w:p w:rsidR="005A7561" w:rsidRPr="005A7561" w:rsidRDefault="005A7561" w:rsidP="005A7561">
      <w:pPr>
        <w:tabs>
          <w:tab w:val="left" w:pos="9071"/>
        </w:tabs>
        <w:spacing w:after="0" w:line="360" w:lineRule="auto"/>
        <w:ind w:left="180" w:hanging="180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5A7561">
        <w:rPr>
          <w:rFonts w:ascii="Verdana" w:eastAsia="Times New Roman" w:hAnsi="Verdana" w:cs="Tahoma"/>
          <w:sz w:val="18"/>
          <w:szCs w:val="18"/>
          <w:lang w:eastAsia="pl-PL"/>
        </w:rPr>
        <w:t xml:space="preserve">6. 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W przypadku, gdy w kolumnie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„Parametr graniczny/wartość”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występuje zapis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„TAK/nie”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Wykonawca przypadku spełniania lub niespełniania parametru wpisuje odpowiednio słowo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„TAK”</w:t>
      </w:r>
      <w:r w:rsidRPr="005A7561">
        <w:rPr>
          <w:rFonts w:ascii="Verdana" w:eastAsia="Calibri" w:hAnsi="Verdana" w:cs="Times New Roman"/>
          <w:sz w:val="18"/>
          <w:szCs w:val="18"/>
        </w:rPr>
        <w:t xml:space="preserve"> lub </w:t>
      </w:r>
      <w:r w:rsidRPr="005A7561">
        <w:rPr>
          <w:rFonts w:ascii="Verdana" w:eastAsia="Calibri" w:hAnsi="Verdana" w:cs="Times New Roman"/>
          <w:b/>
          <w:sz w:val="18"/>
          <w:szCs w:val="18"/>
        </w:rPr>
        <w:t>„nie”.</w:t>
      </w:r>
    </w:p>
    <w:p w:rsidR="009B5EBB" w:rsidRDefault="009B5EBB"/>
    <w:p w:rsidR="009B5EBB" w:rsidRDefault="009B5EB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4"/>
        <w:gridCol w:w="1841"/>
        <w:gridCol w:w="1319"/>
        <w:gridCol w:w="1038"/>
      </w:tblGrid>
      <w:tr w:rsidR="009B5EBB" w:rsidRPr="009B5EBB" w:rsidTr="005A7561">
        <w:trPr>
          <w:trHeight w:val="702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67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Opis wymaganych parametrów technicznych/pakiet</w:t>
            </w:r>
          </w:p>
        </w:tc>
        <w:tc>
          <w:tcPr>
            <w:tcW w:w="999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 graniczny/wartość</w:t>
            </w:r>
          </w:p>
        </w:tc>
        <w:tc>
          <w:tcPr>
            <w:tcW w:w="716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Parametry oferowanego urządzenia</w:t>
            </w:r>
          </w:p>
        </w:tc>
        <w:tc>
          <w:tcPr>
            <w:tcW w:w="56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Punktacja</w:t>
            </w:r>
          </w:p>
        </w:tc>
      </w:tr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PAKIET I - Mikrotom - 1 zestaw 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mikrotom automatyczny umożliwiający cięcie/trymowanie manualne i automatyczne z systemem transportu skrawków po torze wodnym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zakres grubości cięcia, min. od 0,5 do 100 [µm]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cięcie nastawiane w zakresach. min.: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0,5 do 5 [µm] skok co 0,5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5 do 20 [µm] skok co 1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20 do 30 [µm] skok co 2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30 do 60 [µm] skok co 5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60 do 100 [µm] skok co 10 [µm]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zakres trymowania (TRIM), min. od 5 do 500 [µm]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105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trymowanie nastawiane w zakresach, min.: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5 do 30 [µm] skok co 5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30 do 100 [µm] skok co 10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100 do 200 [µm] skok co 20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od 200 do 500 [µm] skok co 50 [µm]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płynna regulacja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szybkościa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cięcia min. od 0 do 450 [mm/s]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funkcja retrakcji podczas ruchu powrotnego głowicy mikrotomu 40 [µm] z możliwością wyłączenia, sygnalizacja retrakcji diodą na panelu sterowania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4 tryby pracy cięcia - cięcie pojedyncze, ciągłe, wielokrotne oraz ciągłe do momentu zwolnienia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przyisku</w:t>
            </w:r>
            <w:proofErr w:type="spellEnd"/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mocowanie próbki z precyzyjną regulacją w płaszczyźnie X i Y o kąt 8 [°], z oznaczeniem pozycji 0/0[°]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obrotu preparatu w uchwycie o 360 [°]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pionowy zakres ruchu głowicy, min. 72 [mm]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poziomy zakres ruchu głowicy, min. 28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minimum 8 prędkości wysuwu głowicy – od najwolniejszego do najszybszego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minimum 8 prędkości cofania głowicy - od najwolniejszego do najszybszego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funkcja zapamiętania pozycji głowicy, umożliwiająca przywrócenie zapamiętanej pozycji głowicy mikrotomu np. po zmianie bloczka lub noża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awaryjny wyłącznik bezpieczeństwa umieszczony po prawej stronie mikrotomu obok koła zamachowego, w chwili naciśnięcia wyłącza wszystkie silniki mikrotomu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uchwyt do żyletek zamocowany na dwóch szynach, umożliwiających przesuw uchwytu do przodu/tyłu w zakresie, min. 70 [mm]. Pomiędzy szynami przestrzeń o szerokości, min. 90 [mm] 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uchwyt do żyletek z regulacją kąta natarcia noża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uchwyt do żyletek wyposażony w osłonę na nóż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wsuwana rączka do wnętrza koła zamachowego o długości min. 65 [mm] i 22 [mm] po wsunięciu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maksymalna odległość od rękojeści korby zamachowej (położonej w punkcie najdalszym) do krawędzi blatu roboczego po stronie użytkownika, max. 530 [mm]. Odległość ta dotyczy urządzenia spoczywającego prawidłowo w całości na blacie roboczym (brak wystających krawędzi urządzenia poza obszar blatu)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2 hamulce koła zamachowego w tym jeden manualny umiejscowiony pod kołem zamachowym, drugi elektromechaniczny załączany z panelu sterowania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mocowanie uchwytu żyletek stabilne i precyzyjne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mikrotomu wyposażony w wyświetlacz LCD o przekątnej min. 70 [mm], wyświetlający min. 8 wierszy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 przekątną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21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musi posiadać, min.: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możliwość zmiany czcionki – min. 2 wielkości (standardowa i powiększona)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możliwość ustawienia i wyświetlania daty i godziny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licznik skrawków z możliwością resetowania licznika w dowolnym momencie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sumowanie wartości skrojonego materiału wyrażona w µm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wartość wysuwu głowicy wyświetlana na ekranie w µm, min. od 0 do 28000 [µm] z dokładnością do 1 [µm]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wyświetlać wartość nastawy cięcia i trymowania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wartość prędkości w trybie automatycznym wyświetlaną na ekranie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aktualny tryb cięcia automatycznego wyświetlany na ekranie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- sygnalizacja elektromechanicznej blokady koła zamachowego za pomocą świecącej diody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połączony z mikrotomem przewodem umożliwiającym umiejscowienie panelu w dowolnym miejscu w obszarze pracy mikrotomu. Wyprofilowana obudowa mikrotomu do mocowania panelu sterowania (oszczędność miejsca) umożliwiająca swobodną obsługę i wizualną kontrolę panelu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załączanie cięcia automatycznego za pomocą podwójnego wciśnięcia gałki (pierwsze wciśnięcie zwalnia blokadę hamulca elektromechanicznego), ponowne wciśnięcie gałki podczas cięcia zatrzymuje koło zamachowe i załącza hamulec elektromechaniczny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panel sterowania wyposażony w 3 gałki sterujące z możliwością umieszczenia ich po lewej lub prawej stronie panelu.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Minimalne funkcje gałki nr 1: regulacja grubości cięcia, trymowania, przeskok z trybu cięcia na trymowanie poprzez wciśnięcie gałki; nastawa wartości poprzez przekręcanie gałki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Minimalne funkcja gałki nr 2: Przesuw głowicy przód/tył. Automatyczny wysuw głowicy o zadaną wartość w trybie cięcia lub trymowania realizowana przez wciśnięcie gałki. Możliwość wyboru wartości wysuwu z całego zakresu cięcia i trymowania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Minimalne funkcja gałki nr 3: Regulacja szybkości cięcia wyskalowana w zakresie od 0 do 100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uchwyt do cięcia przystosowany do zamontowania nożyków jednorazowych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niskoprofilowych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i wysokoprofilowych z zaciskowym mechanizmem zapewniającym stabilne i precyzyjne mocowanie żyletek, zintegrowany z podświetlaną łaźnią i systemem transportu skrawków po torze wodnym bezpośrednio do łaźni wodnej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pojemność łaźni wodnej, min. 800 [ml]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regulacja temperatury wody w łaźni w zakresie, min. od 20 do 50 [°C]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zamknięty system obiegu wody o pojemności min. 500 [ml] z regulacją szybkości przepływu wody po torze wodnym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regulacja przepływu strumienia wody po torze wodnym za pomocą pokrętła umieszczonego po lewej stronie obudowy łaźni wodnej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tor wodny wyposażony w metalowe sitko na ścinki umieszczone pod torem wodnym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wbudowane podświetlenie łaźni wodnej typu LED (bez zewnętrznych przyłączy elektrycznych), załączane z panelu sterowania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automatyczne wyłączenie podgrzewania po wyjęciu misy z łaźni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zewnętrzna jednostka (nie wbudowana w łaźnie) sterująca łaźnią posiada: panel sterowania typu LED z regulacją temperatury, włącznikiem on/off, przyciskiem załączającym pompę wodną do opróżniania łaźni wodnej i odpowietrzania pompy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jednostka sterująca łaźnią z możliwością umieszczenia w dowolnej pozycji w obszarze pracy, np. na mikrotomie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wbudowany czujnik temperatury w łaźni wodnej (bez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zewnętrznych przyłączy elektrycznych)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mikrotomu, max. (szer. x gł. x wys.): 410 x 520 x 280 [mm]</w:t>
            </w:r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dodatkowy uchwyt do żyletek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niskoprofilowych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służący do pracy bez toru wodnego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zestawie, min.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3 opakowania po 50 sztuk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żyletek o kącie 34[°]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niskoprofilowe</w:t>
            </w:r>
            <w:proofErr w:type="spellEnd"/>
          </w:p>
        </w:tc>
        <w:tc>
          <w:tcPr>
            <w:tcW w:w="999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0070C0"/>
              <w:left w:val="nil"/>
              <w:bottom w:val="single" w:sz="4" w:space="0" w:color="0070C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5A7561" w:rsidRDefault="005A756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5"/>
        <w:gridCol w:w="1841"/>
        <w:gridCol w:w="1319"/>
        <w:gridCol w:w="1037"/>
      </w:tblGrid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PAKIET II - </w:t>
            </w:r>
            <w:proofErr w:type="spellStart"/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Zatapiarka</w:t>
            </w:r>
            <w:proofErr w:type="spellEnd"/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 - 1 zestaw 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dwumodułowa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zatapiarka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do bloczków/kasetek histopatologicznych 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zbiornik na parafinę, zapewniający całodzienną pracę bez dodatkowego uzupełniania parafiny, min. 5 [l]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komora na parafinę wyposażona w filtr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pojemnik do przechowywania wanienek umieszczony z prawej strony dozownika parafiny, nad pojemnikiem na kasetki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zbiornik do przechowywania kasetek o pojemności, min. 300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niezależna cyfrowa regulacja temperatury każdego zbiornika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pracy z każdym rodzajem kasetek typu Standard, Mega oraz Super Mega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wbudowane w urządzenie podgrzewane miejsca na różnej wielkości pęsety, min. 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regulacji ustawień temperatury wszystkich elementów podgrzewanych w zakresie, min. od 50 do 70 [°]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moduł dozownika wyposażony w zimny punkt o temperaturze 5 [°] pozwalający na tymczasowe, szybkie chłodzenie kasetek (w tym kasetek typu Super Mega)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zimny punkt oparty o moduł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peltiera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o przekątnej, min. 80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oświetlenie LED z możliwością wybierania intensywności światła - min. 5 poziomów intensywności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osobne załączane oświetlenie LED dla obszaru roboczego oraz dla obszaru akcesoriów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możliwość zmiany położenia przycisku wylewu parafiny w celu ułatwienia pracy z kasetkami różnych rozmiarów,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t.j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. standardowych, mega i super mega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programowania czasu pracy urządzenia w cyklu dobowym i tygodniowym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duży czytelny ekran dotykowy, o przekątnej min. 130 [mm] pozwalający na szybki dostęp do dokładnych nastaw oraz odczytów i kontroli temperatury we wszystkich zbiornikach i module chłodzącym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 przekątną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regulacji kontrastu wyświetlanych parametrów na ekranie urządzenia w skali, min. od 1 do 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ustawienia sygnału dźwiękowego tak aby pojawiał się przy każdym uruchomieniu ekranu dotykowego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wbudowane gniazdo elektrycznej pęsety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wbudowany w urządzenie trymer do kasetek, zlokalizowany z lewej strony dozownika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moduł płyty chłodzącej z możliwością niezależnej pracy od modułu dozownika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regulacja temperatury płyty chłodzącej w zakresie, min. od -3 do -12 [°C]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przypadku pracy płyty chłodzącej bez podłączenia do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zatapiarki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możliwość sterowania temperaturą pracy manualnie za pomocą pokrętła w zakresie, min. od -3 do -12 [°C]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ustawienia płyty chłodzącej zarówno z lewej jak i prawej strony dozownika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półka na dokumenty medyczne i drobne akcesoria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opróżnienia zbiornika na kasetki z parafiny przez zawór spustowy bezpośrednio do pojemnika na odpady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oświetlenie kranika parafiny i przestrzeni do zatapiania załączane automatycznie wraz z naciśnięciem przycisku do wylewu parafiny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profilowana, wbudowana w obudowę, podgrzewana rynienka umożliwiająca przechowywanie dociskaczy, wymiary rynienki min. (szer. x gł. x wys.) 100 x 50 x 30 [mm]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modułu dozownika, min. (szer. x gł. x wys.): 650 x 585 x 430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płyty chłodzącej, min. (szer. x gł. x wys.): 430 x 580 x 360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wymiary pojemnik na kasetki, min. 310 x 380 [mm]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 modułu dozownika, max. 25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[2,1]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 płyty chłodzącej, max. 20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[2,1]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zestawie dociskacze do materiału o wielkościach, min. 12 oraz 20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półka na dokumenty medyczne i drobne akcesoria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wyposażenie dodatkowe: podgrzewane pęsety o końcówkach 1 i 2 [mm], znakowane kolorystycznie dla łatwego rozróżnienia pęset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3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wszelkie czynności i koszty związane z dostarczeniem, wniesieniem, montażem, uruchomieniem oferowanego w pakiecie przedmiotu zamówienia leżą po stronie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Wykonawcy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5A7561" w:rsidRDefault="005A7561">
      <w:r>
        <w:lastRenderedPageBreak/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5"/>
        <w:gridCol w:w="1841"/>
        <w:gridCol w:w="1319"/>
        <w:gridCol w:w="1037"/>
      </w:tblGrid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lastRenderedPageBreak/>
              <w:t xml:space="preserve">PAKIET III - Procesor tkankowy- 1 zestaw 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pełni automatyczny procesor tkankowy działający w technologii hybrydowej -  połączenie technologii konwencjonalnej i mikrofalowej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dwie retorty - chemiczną oraz parafinującą. Obie retorty wyposażone w mieszadła magnetyczne z regulacją prędkości. Pokrywy retort podgrzewane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możliwość przeprowadzenia jednorazowo (wkład jednorazowy = pojemność całkowita uchwytu na kasetki) min. 210 standardowych kasetek histopatologicznych z wykorzystaniem programu szybkiego mikrofalowego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pracy w systemie ciągłym automatycznym z możliwością uruchamiania kolejnego programu w trakcie impregnacji parafiną poprzedniego programu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standardowego przeprowadzania segregowanych materiałów w zakresach grubości 1÷10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urządzenie wykorzystujące odczynniki ogólnie dostępne na rynku możliwe do zakupienia z dowolnego źródła (etanol absolutny,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izopropanol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parafina)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maksymalne czasy przeprowadzania materiału tkankowego z wykorzystaniem programu mikrofalowego automatycznego (przy zachowaniu zasady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segre-gacji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grubości materiału):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&lt;1 [mm] (małe biopsje) - pełny wsad (min. 210 kasetek) max. 1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godz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 (wliczając utrwalanie)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1 [mm] (biopsje) - pełny wsad (min. 210 kasetek) max. 2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godz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 (wliczając utrwalanie)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3 [mm] - pełny wsad (min. 210 kasetek) max. 3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godz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  (wliczając utrwalanie)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5 [mm] - pełny wsad (min. 210 kasetek) max. 6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godz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 (wliczając utrwalanie)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[3,1]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maksymalne czasy przeprowadzania materiału tkankowego podczas pracy w systemie mikrofalowym ciągłym automatycznym z dokładaniem materiału tkankowego podczas trwania procesu (przy zachowaniu zasady segregacji grubości materiału):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&lt;1 [mm] (małe biopsje) - pełny wsad (min. 210 kasetek) co max. 40 [min]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1 [mm] (biopsje) - pełny wsad (min. 210 kasetek) co max. 1,5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godz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3 [mm] - pełny wsad (min. 210 kasetek) co max. 2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godz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materiał o grubości 5 [mm] - pełny wsad (min. 210 kasetek) co max. 4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godz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[3,1]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programowania pracy procesora (czasów przeprowadzania materiału) dla różnych grubości materiału tkankowego, niezależnie od ustawień fabrycznych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modyfikacji zainstalowanych fabrycznie programów przeprowadzania materiału tkankowego w zależności od potrzeb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pracy na urządzeniu z wykorzystaniem konwencjonalnego podgrzewania odczynników bez użycia mikrofal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 pełni diagnozowalne zdalnie za pośrednictwem sieci szpitalnej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odczynniki umieszczone w wentylowanej wysuwanej szufladzie zapewniającej łatwy dostęp do wszystkich odczynników i ich wymiany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podłączenia do urządzenia odczynników w ich oryginalnych opakowaniach 5 [L] bez konieczności przelewania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wymiany odczynników w trakcie przeprowadzania materiału w komorze chemicznej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zabezpieczenia wymiany odczynników za pomogą czytnika kodów kreskowych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urządzenie wyposażone w szereg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szybkozłączek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osobno do każdego odczynnika w celu szybkiej wymiany odczynnika i zabezpieczenia  przed zanieczyszczeniem odczynników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brak cykli czyszczących w programach dziennych jak i po programach nocnych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procesor sterowany poprzez kolorowy wyświetlacz z panelem dotykowym LCD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oprogramowanie oparte na prowadzeniu ikonowym dla zmniejszenia ryzyka błędu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2 porty USB umożliwiające zgrywanie danych z pamięci procesora, przyłącze do UPS, przyłącze sieciowe do diagnostyki zdalnej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podąć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system zabezpieczony hasłem – możliwość utworzenia wielu kont użytkowników z różnym poziomem dostępu zabezpieczonych osobnymi hasłami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alarm zdarzeń i błędów urządzenia w postaci dźwięków i sygnałów świetlnych przy użyciu kolorowych diod LED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rozbudowy urządzenia o statyw do automatycznego zatapiania materiału po zakończonym procesie, pojemność min. 45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przeprowadzania do min. 600 kasetek w trybie ciągłym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min. 2 automatyczne niezależnie pracujące ramiona umożliwiające automatyczne przeniesienie statywu z kasetkami z komory chemicznej do komory parafinującej bez ingerencji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unoszoną pokrywę obszaru roboczego z filtrami węglowymi i przeciwpyłowymi dla zwiększenia bezpieczeństwa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antybakteryjna powłoka proszkowa zapewniająca najwyższą ochronę przed namnażaniem się mikroorganizmów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czujnik wykrywający obecność statywu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licznik czasu uruchamiania programu - zbyt długie wybieranie programu sygnalizowane alarmem  w celu zabezpieczenia materiału przed uszkodzeniem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dodatkową rezerwową komorę na parafinę o pojemności min. 4 [kg] z systemem automatycznego uzupełniania poziomu parafiny w komorze głównej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wyposażone w wysoce czuły ultradźwiękowy czujnik odczynników wykrywający prawidłowy roztwór i jego czystość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 zewnętrzne max.: (szer. x wys. x gł.) 760  (880 z zamontowanym czytnikiem kodów) x  1650  x  960  (1050 z baterią UPS)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waga, max. 300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zasilanie: 220-240 [V] ~ 50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Hz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 -2300 [W]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Wyposażenie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statyw do przeprowadzania materiału tkankowego przy wykorzystaniu programów szybkich mikrofalowych (przy zachowaniu zasady segregacji grubości materiału) na min. 210 kasetek –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2 sztuki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41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statyw na min. 300 kasetek do przeprowadzania materiału tkankowego -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 sztuka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kompletny zestaw filtrów wymaganych do pracy urządzenia przez okres min.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36 miesięcy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UPS – urządzenie do podtrzymywania napięcia w przypadku awarii zasilania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do czyszczenia statywów z parafiny – protokół czyszczący max. 7 [min]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baniaki na odczynniki -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10 sztuk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licencja oprogramowania umożliwiającego integrację z systemem LIS –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licencja roczna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84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odczynniki dedykowane przez producenta do procesowania materiału oraz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odparafinowywania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statywów: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odczynniki dedykowane przez producenta urządzenia do odwadniania materiałów tłustych: 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10 x 5000 [ml]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odczynniki dedykowane przez producenta urządzenia od prześwietlania materiałów tłustych: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15 x 5000 [ml]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dczynnik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do odparafinowania statywów: </w:t>
            </w: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8 x 5000 [ml]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36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3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single" w:sz="4" w:space="0" w:color="auto"/>
              <w:left w:val="single" w:sz="8" w:space="0" w:color="000000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lastRenderedPageBreak/>
              <w:t>PAKIET IV - Laserowa drukarka do kaset VEGA - 1 sztuka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pl-PL"/>
              </w:rPr>
              <w:t xml:space="preserve">CPV: 38000000-5 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produkcji, min.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laserowa drukarka z oprogramowaniem i bezterminową licencją do etykietowania kaset histopatologicznych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nadruk na jednej stronie kasetki - od frontu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całkowity czas drukowania, max. 5 [sek.] (w tym min. cyfry, litery, kod data MATRIX/logo)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[2,1]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użycia, min. 100 znaków w kodzie Data MATRIX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 odporny na odczynniki chemiczne stosowane w procesie histopatologicznym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 laserowy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kolor wydruku ciemnoszary (bardzo wyraźny i czytelny) na kasetkach histopatologicznych dedykowanych do drukarki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min. 6 automatycznie zmieniających się podajników o łącznej pojemności min. 480 kasetek, wydajność min. 720 kasetek na godzinę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rozdzielczość druku: min. 600 [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dpi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powierzchnia nadruku: max. 28,5  x 7,2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bezzapachowa, wolna od ozonu, cicha praca wyrobu (druk bezszmerowy)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komunikacja drukarki z systemem informatycznym zakładu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doposażenia w dodatkową tacę z zestawem min. sześciu podajników do dodatkowego uzupełniania kasetek poza urządzeniem i drukowania na różnych typach, kolorach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drukarka wyposażona w czujnik pozycji kasetki  pozwalający na równomierne rozmieszczenie nadruku na powierzchni  kasetki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47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kolorystyczne oznakowanie stanu pracy urządzenia: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niebieski – urządzenie gotowe do drukowania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podświetlenie urządzenia na kolor zielony– drukowanie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>- podświetlenie urządzenia na kolor żółty – pauza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czerwony – sygnalizacja błędu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fioletowy– restart 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  <w:t xml:space="preserve">- podświetlenie urządzenia na kolor pomarańczowy – zatrzymanie pracy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możliwość  doposażenia min. 2 różne typy odbiorników kasetek – sorter z szufladkowym odbiornikiem na min. 25 kasetek oraz sorter typu duo pozwalający na rozdzielane drukowanych kasetek na 2 osobne tace odbiorcze – możliwość ustawienia jednej drukarki do kasetek pomiędzy dwoma niezależnymi stanowiskami pobierania materiału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trwałość lasera, min.  72 mln kasetek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[1,3]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urządzenie nie generujące dodatkowych kosztów związanych z koniecznością zakupu dodatkowych materiałów eksploatacyjnych takich jak taśmy, głowice drukujące, lampa UV, filtry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interfejs komunikacyjny: USB B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moc, max. 70 [W]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wymiary, max. (szer. x gł. x wys.) 280 x 620 x 580 [mm]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26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 lasera, min. 2,2 [WAT]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waga, max. 27 [kg]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555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pełna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intergracja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i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kompatybilnośc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zamawianej drukarki do kaset VEGA z systemem operacyjnym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PatARCH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posiadanym przez Zamawiającego w aktualnie posiadanej wersji oprogramowania</w:t>
            </w:r>
            <w:bookmarkStart w:id="0" w:name="_GoBack"/>
            <w:bookmarkEnd w:id="0"/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Warunki gwarancji i serwisu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126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w okresie udzielonej gwarancji bezpłatne, bez konieczności wzywania przez Zamawiającego, przeglądy okresowe (obejmujące bezpłatny dojazd i robociznę), min. 1 na rok (tj. pierwszy przegląd przed upływem 365 dni liczonych od daty podpisania protokołu) lub inaczej ale zgodnie z zaleceniami producenta - w przypadku przeglądów zgodnie z zaleceniami producenta należy dostarczyć w dniu podpisania protokołu odbioru końcowego pismo z zaleceniami producenta w tym zakresie (potwierdzone za zgodność z oryginałem). W okresie udzielonej gwarancji po stronie Wykonawcy leży zapewnienie terminowego wykonania kolejnego przeglądu - przed upływem daty ważności ostatniego wykonanego przez Niego przeglądu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TAK, podać częstotliwość przeglądów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przystąpienia do naprawy, max. 72 [h] od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gwarantowany czas naprawy, max. 7 dni od daty zgłoszenia konieczności naprawy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serwisu, adres, nr telefonu i faksu, osoba kontaktowa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single" w:sz="4" w:space="0" w:color="5B9BD5"/>
              <w:left w:val="single" w:sz="8" w:space="0" w:color="000000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szkolenie personelu z obsługi (miejsce: siedziba Zamawiającego, czas i ilość osób: do ustalenia przed szkoleniem)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produkt posiadający deklarację zgodności - deklaracja zgodnośc</w:t>
            </w: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 </w:t>
            </w: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w języku polskim lub angielskim dostarczona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instrukcja obsługi do każdego egzemplarza oferowanego urządzenia w języku polskim oraz dodatkowa instrukcja obsługi (obowiązkowo wersja elektroniczna) dla Działu Inżynierii Klinicznej - przy dostawie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000000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ramach oferty Wykonawca zobowiązany jest po dokonanej instalacji do niezwłocznego odebrania wszelkich opakowań (palet, kartonów, folii, taśm, etc.) po zainstalowanym sprzęcie i ich utylizacji we własnym zakresie i na własny koszt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435"/>
        </w:trPr>
        <w:tc>
          <w:tcPr>
            <w:tcW w:w="255" w:type="pct"/>
            <w:tcBorders>
              <w:top w:val="single" w:sz="4" w:space="0" w:color="5B9BD5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467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wszelkie czynności i koszty związane z dostarczeniem, wniesieniem, montażem, uruchomieniem oferowanego w pakiecie przedmiotu zamówienia leżą po stronie Wykonawcy</w:t>
            </w:r>
          </w:p>
        </w:tc>
        <w:tc>
          <w:tcPr>
            <w:tcW w:w="999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single" w:sz="4" w:space="0" w:color="5B9BD5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single" w:sz="4" w:space="0" w:color="5B9BD5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5A7561" w:rsidRDefault="005A7561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545"/>
        <w:gridCol w:w="1841"/>
        <w:gridCol w:w="1319"/>
        <w:gridCol w:w="1037"/>
      </w:tblGrid>
      <w:tr w:rsidR="009B5EBB" w:rsidRPr="009B5EBB" w:rsidTr="005A7561">
        <w:trPr>
          <w:trHeight w:val="499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lastRenderedPageBreak/>
              <w:t>PAKIET V - Lupy operacyjne okularowe - 1 sztuka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9" w:type="pct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 xml:space="preserve">CPV:  33162000-3  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1. Lupy okularowe I typu - 1 sztuka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double" w:sz="6" w:space="0" w:color="000000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produkt fabrycznie nowy, nie demonstracyjny, nie powystawowy, rok produkcji - 2024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powiększenie w zakresie 3,5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raza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– optymalizowane co 0.1 łącznie z szerokością pola widzenia (6.5 – 10 cm) i odległością do pola pracy – indywidualnie dla każdego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szkła korekcyjne – dobierane po uwzględnieniu wartości: sfera, cylinder,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axis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pryzma (dotyczy szkieł nośnych oraz układu optycznego)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korekcja szkieł nośnych do dali, do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bliży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lub szkła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bifokalne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– w zależności od decyzji i wymaganej korekcji użytkownika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kąt nachylenia lupek, min. 20, 25, 30, 35, 40 stopni (indywidualne dla każdego użytkownika)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indywidualna odległość wklejenia lup względem źrenicy-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vertex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, indywidualnie maksymalizująca parametry optyczne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płynna głębia ostrości 13 cm (± 6 cm w zależności od powiększenia)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uwzględnienie indywidualnego poziomu wklejenia teleskopów względem oprawek zgodne z anatomią użytkownika - pomiar odległości miedzy źrenicą a szkłem korekcyjnym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lekkie, cienkie tytanowe lub aluminiowe oprawki z teleskopami zabezpieczającymi przed wyłamaniem zauszników przy nadmiernym rozwarciu, oraz oprawki z akumulatorami i wbudowaną lampą diodową – indywidualny dobór - grawer wg życzenia (bez danych osobowych)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konfiguracja teleskopów: wklejane w szkła nośne i  wymienne zamocowane na magnesach i dwa powiększenia w jednym teleskopie do wyboru przez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szkła nośne, poliwęglanowe oraz pocieniane celem zminimalizowania wagi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pojedynczy silikonowy nosek- rozłożenie ciężaru lup na całą powierzchnię nosa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plastikowe i magnezowe obudowy lup z układem soczewek Galileusza bądź pryzmatycznym w zależności od powiększenia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masa w zakresie 50-74 gram w zależności od powiększenia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lupy hipoalergiczne, antykorozyjne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różne kolory oprawek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różne kształty oprawek: po 3 rozmiary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etui ochronne do transportu – saszetka z zamkiem błyskawicznym i rączką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montażu odrębnego oświetlenia diodowego dopasowanego do oprawek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dowolnego grawerunku na etui (bez danych osobowych)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722" w:type="pct"/>
            <w:gridSpan w:val="2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2. Lupy okularowe II typu - 1 sztuka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16" w:type="pct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double" w:sz="6" w:space="0" w:color="000000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nazwa produktu</w:t>
            </w:r>
          </w:p>
        </w:tc>
        <w:tc>
          <w:tcPr>
            <w:tcW w:w="999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double" w:sz="6" w:space="0" w:color="000000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double" w:sz="6" w:space="0" w:color="000000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numer katalogowy produktu lub grupy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producent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rok produkcji - 2024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42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powiększenie w zakresie 2,5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raza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– optymalizowane co 0.1 łącznie z szerokością pola widzenia (6 – 13 cm) i odległością do pola pracy – indywidualnie dla każdego użytkownika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szkła korekcyjne – dobierane po uwzględnieniu wartości: sfera, cylinder,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axis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pryzma (dotyczy szkieł nośnych oraz układu optycznego)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korekcja szkieł nośnych do dali, do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bliży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lub szkła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bifokalne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– w zależności od decyzji i wymaganej korekcji użytkownika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kąt nachylenia lupek, min. 20, 25, 30 stopni (indywidualne dla każdego użytkownika)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płynna głębia ostrości 13 cm (± 1 cm w zależności od powiększenia), pole widzenia 13 [cm]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63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lekkie  oprawki z teleskopami zabezpieczającymi przed wyłamaniem zauszników przy nadmiernym rozwarciu, wykończenie ceramiczne chroniące przed zarysowaniem, nadające wysoką wytrzymałość, z wbudowanym bezprzewodowym systemem oświetlenia zawierające zintegrowane akumulatory w zausznikach oprawek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konfiguracja teleskopów: TTL (wklejane w szkła)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szkła nośne, poliwęglanowe oraz pocieniane celem zminimalizowania wagi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pojedynczy silikonowy nosek- rozłożenie ciężaru lup na całą powierzchnię nosa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plastikowe obudowy lup z układem soczewek Galileusza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moc świecenia min. 49-78 Lumenów- 2 opcje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różne kolory oprawek do wyboru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etui ochronne do transportu – saszetka z zamkiem błyskawicznym i rączką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żywotność akumulatora, min. 6 [godzin] świecenia, ładowanie do max. 2 [godzin]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[1,2]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min. 6 </w:t>
            </w:r>
            <w:proofErr w:type="spellStart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akumulatrów</w:t>
            </w:r>
            <w:proofErr w:type="spellEnd"/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 zestawie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9B5EBB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4" w:space="0" w:color="5B9BD5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możliwość dowolnego grawerunku na etui (bez danych osobowych)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5B9BD5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5B9BD5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  <w:tr w:rsidR="005A7561" w:rsidRPr="009B5EBB" w:rsidTr="005A7561">
        <w:trPr>
          <w:trHeight w:val="300"/>
        </w:trPr>
        <w:tc>
          <w:tcPr>
            <w:tcW w:w="255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okres gwarancji od daty podpisania protokołu odbioru, min. 24 [mies.]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EBB" w:rsidRPr="009B5EBB" w:rsidRDefault="009B5EBB" w:rsidP="009B5EB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9B5EBB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–</w:t>
            </w:r>
          </w:p>
        </w:tc>
      </w:tr>
    </w:tbl>
    <w:p w:rsidR="009B5EBB" w:rsidRDefault="009B5EBB"/>
    <w:sectPr w:rsidR="009B5E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C9" w:rsidRDefault="00E152C9" w:rsidP="00BC3432">
      <w:pPr>
        <w:spacing w:after="0" w:line="240" w:lineRule="auto"/>
      </w:pPr>
      <w:r>
        <w:separator/>
      </w:r>
    </w:p>
  </w:endnote>
  <w:endnote w:type="continuationSeparator" w:id="0">
    <w:p w:rsidR="00E152C9" w:rsidRDefault="00E152C9" w:rsidP="00BC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C9" w:rsidRDefault="00E152C9" w:rsidP="00BC3432">
      <w:pPr>
        <w:spacing w:after="0" w:line="240" w:lineRule="auto"/>
      </w:pPr>
      <w:r>
        <w:separator/>
      </w:r>
    </w:p>
  </w:footnote>
  <w:footnote w:type="continuationSeparator" w:id="0">
    <w:p w:rsidR="00E152C9" w:rsidRDefault="00E152C9" w:rsidP="00BC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17185"/>
      <w:docPartObj>
        <w:docPartGallery w:val="Page Numbers (Margins)"/>
        <w:docPartUnique/>
      </w:docPartObj>
    </w:sdtPr>
    <w:sdtEndPr/>
    <w:sdtContent>
      <w:p w:rsidR="00BC3432" w:rsidRDefault="00BC3432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sz w:val="24"/>
                                  <w:szCs w:val="24"/>
                                </w:rPr>
                              </w:sdtEndPr>
                              <w:sdtContent>
                                <w:p w:rsidR="00BC3432" w:rsidRPr="00BC3432" w:rsidRDefault="00BC343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BC343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BC3432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BC3432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8B44B9" w:rsidRPr="008B44B9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BC3432">
                                    <w:rPr>
                                      <w:rFonts w:asciiTheme="majorHAnsi" w:eastAsiaTheme="majorEastAsia" w:hAnsiTheme="majorHAnsi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sz w:val="24"/>
                            <w:szCs w:val="24"/>
                          </w:rPr>
                        </w:sdtEndPr>
                        <w:sdtContent>
                          <w:p w:rsidR="00BC3432" w:rsidRPr="00BC3432" w:rsidRDefault="00BC34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BC343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BC3432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BC3432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8B44B9" w:rsidRPr="008B44B9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4"/>
                                <w:szCs w:val="24"/>
                              </w:rPr>
                              <w:t>1</w:t>
                            </w:r>
                            <w:r w:rsidRPr="00BC3432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D1"/>
    <w:rsid w:val="00217B9B"/>
    <w:rsid w:val="002B330B"/>
    <w:rsid w:val="003C1021"/>
    <w:rsid w:val="00522259"/>
    <w:rsid w:val="005A7561"/>
    <w:rsid w:val="007343FF"/>
    <w:rsid w:val="007F55D1"/>
    <w:rsid w:val="008B44B9"/>
    <w:rsid w:val="009B5EBB"/>
    <w:rsid w:val="00BC3432"/>
    <w:rsid w:val="00E1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EB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5EBB"/>
    <w:rPr>
      <w:color w:val="954F72"/>
      <w:u w:val="single"/>
    </w:rPr>
  </w:style>
  <w:style w:type="paragraph" w:customStyle="1" w:styleId="font5">
    <w:name w:val="font5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font7">
    <w:name w:val="font7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9B5EB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9B5EB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9B5EB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9B5EB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9B5EBB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9B5EBB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9B5EBB"/>
    <w:pPr>
      <w:pBdr>
        <w:top w:val="single" w:sz="4" w:space="0" w:color="5B9BD5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9B5EB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9B5EBB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9B5EBB"/>
    <w:pPr>
      <w:pBdr>
        <w:top w:val="single" w:sz="4" w:space="0" w:color="5B9BD5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9B5EBB"/>
    <w:pPr>
      <w:pBdr>
        <w:top w:val="single" w:sz="4" w:space="0" w:color="5B9BD5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9B5EB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9B5EBB"/>
    <w:pPr>
      <w:pBdr>
        <w:top w:val="double" w:sz="6" w:space="0" w:color="000000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9B5EBB"/>
    <w:pPr>
      <w:pBdr>
        <w:top w:val="single" w:sz="4" w:space="0" w:color="5B9BD5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9B5EBB"/>
    <w:pPr>
      <w:pBdr>
        <w:top w:val="single" w:sz="4" w:space="0" w:color="5B9BD5"/>
        <w:left w:val="single" w:sz="8" w:space="0" w:color="auto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9B5EBB"/>
    <w:pPr>
      <w:pBdr>
        <w:top w:val="double" w:sz="6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9B5EBB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8">
    <w:name w:val="xl13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432"/>
  </w:style>
  <w:style w:type="paragraph" w:styleId="Stopka">
    <w:name w:val="footer"/>
    <w:basedOn w:val="Normalny"/>
    <w:link w:val="Stopka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432"/>
  </w:style>
  <w:style w:type="paragraph" w:styleId="Tekstdymka">
    <w:name w:val="Balloon Text"/>
    <w:basedOn w:val="Normalny"/>
    <w:link w:val="TekstdymkaZnak"/>
    <w:uiPriority w:val="99"/>
    <w:semiHidden/>
    <w:unhideWhenUsed/>
    <w:rsid w:val="0052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2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5EB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5EBB"/>
    <w:rPr>
      <w:color w:val="954F72"/>
      <w:u w:val="single"/>
    </w:rPr>
  </w:style>
  <w:style w:type="paragraph" w:customStyle="1" w:styleId="font5">
    <w:name w:val="font5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font6">
    <w:name w:val="font6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font7">
    <w:name w:val="font7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9B5EB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3">
    <w:name w:val="xl83"/>
    <w:basedOn w:val="Normalny"/>
    <w:rsid w:val="009B5EBB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9B5EBB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9B5EBB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6">
    <w:name w:val="xl86"/>
    <w:basedOn w:val="Normalny"/>
    <w:rsid w:val="009B5EBB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9B5EBB"/>
    <w:pPr>
      <w:pBdr>
        <w:top w:val="double" w:sz="6" w:space="0" w:color="000000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9B5EBB"/>
    <w:pPr>
      <w:pBdr>
        <w:top w:val="single" w:sz="4" w:space="0" w:color="5B9BD5"/>
        <w:bottom w:val="single" w:sz="4" w:space="0" w:color="5B9BD5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9B5EBB"/>
    <w:pPr>
      <w:pBdr>
        <w:top w:val="single" w:sz="4" w:space="0" w:color="5B9BD5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9B5EBB"/>
    <w:pPr>
      <w:pBdr>
        <w:top w:val="single" w:sz="4" w:space="0" w:color="0070C0"/>
        <w:left w:val="single" w:sz="4" w:space="0" w:color="000000"/>
        <w:bottom w:val="single" w:sz="4" w:space="0" w:color="0070C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09">
    <w:name w:val="xl109"/>
    <w:basedOn w:val="Normalny"/>
    <w:rsid w:val="009B5EB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9B5EBB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8">
    <w:name w:val="xl118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9B5EBB"/>
    <w:pPr>
      <w:pBdr>
        <w:top w:val="single" w:sz="4" w:space="0" w:color="5B9BD5"/>
        <w:bottom w:val="single" w:sz="4" w:space="0" w:color="5B9BD5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9B5EBB"/>
    <w:pPr>
      <w:pBdr>
        <w:top w:val="single" w:sz="4" w:space="0" w:color="5B9BD5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9B5EB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2">
    <w:name w:val="xl122"/>
    <w:basedOn w:val="Normalny"/>
    <w:rsid w:val="009B5EBB"/>
    <w:pPr>
      <w:pBdr>
        <w:top w:val="double" w:sz="6" w:space="0" w:color="000000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3">
    <w:name w:val="xl123"/>
    <w:basedOn w:val="Normalny"/>
    <w:rsid w:val="009B5EBB"/>
    <w:pPr>
      <w:pBdr>
        <w:top w:val="double" w:sz="6" w:space="0" w:color="000000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9B5EBB"/>
    <w:pPr>
      <w:pBdr>
        <w:top w:val="single" w:sz="4" w:space="0" w:color="5B9BD5"/>
        <w:left w:val="single" w:sz="8" w:space="0" w:color="auto"/>
        <w:bottom w:val="single" w:sz="4" w:space="0" w:color="5B9BD5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9B5EBB"/>
    <w:pPr>
      <w:pBdr>
        <w:top w:val="single" w:sz="4" w:space="0" w:color="5B9BD5"/>
        <w:left w:val="single" w:sz="4" w:space="0" w:color="000000"/>
        <w:bottom w:val="single" w:sz="4" w:space="0" w:color="5B9BD5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9B5EBB"/>
    <w:pPr>
      <w:pBdr>
        <w:top w:val="single" w:sz="4" w:space="0" w:color="5B9BD5"/>
        <w:left w:val="single" w:sz="8" w:space="0" w:color="auto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7">
    <w:name w:val="xl127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9B5EBB"/>
    <w:pPr>
      <w:pBdr>
        <w:top w:val="single" w:sz="4" w:space="0" w:color="5B9BD5"/>
        <w:left w:val="single" w:sz="4" w:space="0" w:color="000000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2">
    <w:name w:val="xl132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3">
    <w:name w:val="xl133"/>
    <w:basedOn w:val="Normalny"/>
    <w:rsid w:val="009B5EBB"/>
    <w:pPr>
      <w:pBdr>
        <w:top w:val="double" w:sz="6" w:space="0" w:color="000000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rsid w:val="009B5EBB"/>
    <w:pPr>
      <w:pBdr>
        <w:top w:val="double" w:sz="6" w:space="0" w:color="000000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35">
    <w:name w:val="xl135"/>
    <w:basedOn w:val="Normalny"/>
    <w:rsid w:val="009B5EBB"/>
    <w:pPr>
      <w:pBdr>
        <w:top w:val="single" w:sz="4" w:space="0" w:color="5B9BD5"/>
        <w:left w:val="single" w:sz="8" w:space="0" w:color="000000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rsid w:val="009B5EBB"/>
    <w:pPr>
      <w:pBdr>
        <w:top w:val="single" w:sz="4" w:space="0" w:color="5B9BD5"/>
        <w:bottom w:val="single" w:sz="4" w:space="0" w:color="5B9BD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rsid w:val="009B5EBB"/>
    <w:pPr>
      <w:pBdr>
        <w:top w:val="double" w:sz="6" w:space="0" w:color="000000"/>
        <w:left w:val="single" w:sz="8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8">
    <w:name w:val="xl138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39">
    <w:name w:val="xl139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customStyle="1" w:styleId="xl140">
    <w:name w:val="xl140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rsid w:val="009B5EBB"/>
    <w:pPr>
      <w:pBdr>
        <w:top w:val="double" w:sz="6" w:space="0" w:color="000000"/>
        <w:left w:val="single" w:sz="8" w:space="0" w:color="auto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ny"/>
    <w:rsid w:val="009B5EBB"/>
    <w:pPr>
      <w:pBdr>
        <w:top w:val="double" w:sz="6" w:space="0" w:color="000000"/>
        <w:bottom w:val="double" w:sz="6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6"/>
      <w:szCs w:val="16"/>
      <w:lang w:eastAsia="pl-PL"/>
    </w:rPr>
  </w:style>
  <w:style w:type="paragraph" w:customStyle="1" w:styleId="xl144">
    <w:name w:val="xl144"/>
    <w:basedOn w:val="Normalny"/>
    <w:rsid w:val="009B5EBB"/>
    <w:pPr>
      <w:pBdr>
        <w:top w:val="double" w:sz="6" w:space="0" w:color="000000"/>
        <w:bottom w:val="double" w:sz="6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432"/>
  </w:style>
  <w:style w:type="paragraph" w:styleId="Stopka">
    <w:name w:val="footer"/>
    <w:basedOn w:val="Normalny"/>
    <w:link w:val="StopkaZnak"/>
    <w:uiPriority w:val="99"/>
    <w:unhideWhenUsed/>
    <w:rsid w:val="00BC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432"/>
  </w:style>
  <w:style w:type="paragraph" w:styleId="Tekstdymka">
    <w:name w:val="Balloon Text"/>
    <w:basedOn w:val="Normalny"/>
    <w:link w:val="TekstdymkaZnak"/>
    <w:uiPriority w:val="99"/>
    <w:semiHidden/>
    <w:unhideWhenUsed/>
    <w:rsid w:val="00522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25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2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2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4995</Words>
  <Characters>29974</Characters>
  <Application>Microsoft Office Word</Application>
  <DocSecurity>0</DocSecurity>
  <Lines>249</Lines>
  <Paragraphs>69</Paragraphs>
  <ScaleCrop>false</ScaleCrop>
  <Company/>
  <LinksUpToDate>false</LinksUpToDate>
  <CharactersWithSpaces>34900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Ciepiela</dc:creator>
  <cp:keywords/>
  <dc:description/>
  <cp:lastModifiedBy>Jolanta Ciepiela</cp:lastModifiedBy>
  <cp:revision>10</cp:revision>
  <dcterms:created xsi:type="dcterms:W3CDTF">2024-09-09T09:03:00Z</dcterms:created>
  <dcterms:modified xsi:type="dcterms:W3CDTF">2024-09-12T12:22:00Z</dcterms:modified>
</cp:coreProperties>
</file>