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0174" w14:textId="06AB69C4" w:rsidR="003A34EF" w:rsidRPr="003A34EF" w:rsidRDefault="003A34EF" w:rsidP="003A34EF">
      <w:pPr>
        <w:jc w:val="center"/>
        <w:rPr>
          <w:rFonts w:ascii="Source Sans Pro" w:hAnsi="Source Sans Pro"/>
          <w:b/>
          <w:bCs/>
          <w:sz w:val="24"/>
          <w:szCs w:val="24"/>
        </w:rPr>
      </w:pPr>
      <w:r w:rsidRPr="003A34EF">
        <w:rPr>
          <w:rFonts w:ascii="Source Sans Pro" w:hAnsi="Source Sans Pro"/>
          <w:b/>
          <w:bCs/>
          <w:sz w:val="24"/>
          <w:szCs w:val="24"/>
        </w:rPr>
        <w:t>PROGRAM FUNKCJONALNO- UŻYTKOWY</w:t>
      </w:r>
    </w:p>
    <w:p w14:paraId="141F470C" w14:textId="435EAF6F" w:rsidR="004B6AC4" w:rsidRPr="004B6AC4" w:rsidRDefault="004B6AC4">
      <w:pPr>
        <w:rPr>
          <w:rFonts w:ascii="Source Sans Pro" w:hAnsi="Source Sans Pro"/>
          <w:sz w:val="24"/>
          <w:szCs w:val="24"/>
        </w:rPr>
      </w:pPr>
      <w:r w:rsidRPr="004B6AC4">
        <w:rPr>
          <w:rFonts w:ascii="Source Sans Pro" w:hAnsi="Source Sans Pro"/>
          <w:sz w:val="24"/>
          <w:szCs w:val="24"/>
        </w:rPr>
        <w:t xml:space="preserve">Nazwa: </w:t>
      </w:r>
    </w:p>
    <w:p w14:paraId="760DA557" w14:textId="0E3C2638" w:rsidR="004B6AC4" w:rsidRPr="004B6AC4" w:rsidRDefault="004B6AC4" w:rsidP="003A34EF">
      <w:pPr>
        <w:jc w:val="both"/>
        <w:rPr>
          <w:rFonts w:ascii="Source Sans Pro" w:hAnsi="Source Sans Pro"/>
          <w:sz w:val="24"/>
          <w:szCs w:val="24"/>
        </w:rPr>
      </w:pPr>
      <w:r w:rsidRPr="004B6AC4">
        <w:rPr>
          <w:rFonts w:ascii="Source Sans Pro" w:hAnsi="Source Sans Pro"/>
          <w:sz w:val="24"/>
          <w:szCs w:val="24"/>
        </w:rPr>
        <w:t xml:space="preserve">Program </w:t>
      </w:r>
      <w:proofErr w:type="spellStart"/>
      <w:r w:rsidRPr="004B6AC4">
        <w:rPr>
          <w:rFonts w:ascii="Source Sans Pro" w:hAnsi="Source Sans Pro"/>
          <w:sz w:val="24"/>
          <w:szCs w:val="24"/>
        </w:rPr>
        <w:t>funkcjonalno</w:t>
      </w:r>
      <w:proofErr w:type="spellEnd"/>
      <w:r w:rsidRPr="004B6AC4">
        <w:rPr>
          <w:rFonts w:ascii="Source Sans Pro" w:hAnsi="Source Sans Pro"/>
          <w:sz w:val="24"/>
          <w:szCs w:val="24"/>
        </w:rPr>
        <w:t xml:space="preserve"> - użytkowy dotyczący prac związanych z poprawą bezpieczeństwa pieszych poprzez doświetlenie przejść dla pieszych</w:t>
      </w:r>
      <w:r w:rsidR="00044283">
        <w:rPr>
          <w:rFonts w:ascii="Source Sans Pro" w:hAnsi="Source Sans Pro"/>
          <w:sz w:val="24"/>
          <w:szCs w:val="24"/>
        </w:rPr>
        <w:t xml:space="preserve">, </w:t>
      </w:r>
      <w:bookmarkStart w:id="0" w:name="_Hlk81911741"/>
      <w:r w:rsidR="00044283">
        <w:rPr>
          <w:rFonts w:ascii="Source Sans Pro" w:hAnsi="Source Sans Pro"/>
          <w:sz w:val="24"/>
          <w:szCs w:val="24"/>
        </w:rPr>
        <w:t xml:space="preserve">wykonanie aktywnego oznakowania drogowego, wykonanie nawierzchni </w:t>
      </w:r>
      <w:r w:rsidR="008E364A">
        <w:rPr>
          <w:rFonts w:ascii="Source Sans Pro" w:hAnsi="Source Sans Pro"/>
          <w:sz w:val="24"/>
          <w:szCs w:val="24"/>
        </w:rPr>
        <w:t>antypoślizgowych</w:t>
      </w:r>
      <w:r w:rsidR="005A4D06">
        <w:rPr>
          <w:rFonts w:ascii="Source Sans Pro" w:hAnsi="Source Sans Pro"/>
          <w:sz w:val="24"/>
          <w:szCs w:val="24"/>
        </w:rPr>
        <w:t xml:space="preserve"> wraz z pozostałymi pracami w zakresie oznakowania i przebudowy elementów pasa drogowego</w:t>
      </w:r>
      <w:bookmarkEnd w:id="0"/>
      <w:r w:rsidRPr="004B6AC4">
        <w:rPr>
          <w:rFonts w:ascii="Source Sans Pro" w:hAnsi="Source Sans Pro"/>
          <w:sz w:val="24"/>
          <w:szCs w:val="24"/>
        </w:rPr>
        <w:t xml:space="preserve"> w wybranych lokalizacjach na terenie Gminy Miasta Dębicy </w:t>
      </w:r>
    </w:p>
    <w:p w14:paraId="2BBE9424" w14:textId="52467FFA" w:rsidR="004B6AC4" w:rsidRPr="004B6AC4" w:rsidRDefault="004B6AC4">
      <w:pPr>
        <w:rPr>
          <w:rFonts w:ascii="Source Sans Pro" w:hAnsi="Source Sans Pro"/>
          <w:sz w:val="24"/>
          <w:szCs w:val="24"/>
        </w:rPr>
      </w:pPr>
      <w:r w:rsidRPr="004B6AC4">
        <w:rPr>
          <w:rFonts w:ascii="Source Sans Pro" w:hAnsi="Source Sans Pro"/>
          <w:sz w:val="24"/>
          <w:szCs w:val="24"/>
        </w:rPr>
        <w:t>Adres obiektu:</w:t>
      </w:r>
      <w:r w:rsidR="00784AFB">
        <w:rPr>
          <w:rFonts w:ascii="Source Sans Pro" w:hAnsi="Source Sans Pro"/>
          <w:sz w:val="24"/>
          <w:szCs w:val="24"/>
        </w:rPr>
        <w:t xml:space="preserve"> Tabela nr 1</w:t>
      </w:r>
    </w:p>
    <w:p w14:paraId="5EABE8DA" w14:textId="0410D249"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Przejścia dla pieszych zlokalizowane na terenie Miasta Dębicy </w:t>
      </w:r>
    </w:p>
    <w:p w14:paraId="50569BD9" w14:textId="77777777" w:rsidR="004B6AC4" w:rsidRPr="004B6AC4" w:rsidRDefault="004B6AC4" w:rsidP="004B6AC4">
      <w:pPr>
        <w:rPr>
          <w:rFonts w:ascii="Source Sans Pro" w:hAnsi="Source Sans Pro"/>
          <w:sz w:val="24"/>
          <w:szCs w:val="24"/>
        </w:rPr>
      </w:pPr>
      <w:r w:rsidRPr="004B6AC4">
        <w:rPr>
          <w:rFonts w:ascii="Source Sans Pro" w:hAnsi="Source Sans Pro"/>
          <w:sz w:val="24"/>
          <w:szCs w:val="24"/>
        </w:rPr>
        <w:t>Nazwy i kody robót:</w:t>
      </w:r>
    </w:p>
    <w:p w14:paraId="637F8910" w14:textId="78D6C1C3" w:rsidR="004B6AC4" w:rsidRPr="004B6AC4" w:rsidRDefault="004B6AC4" w:rsidP="004B6AC4">
      <w:pPr>
        <w:rPr>
          <w:rFonts w:ascii="Source Sans Pro" w:hAnsi="Source Sans Pro"/>
          <w:sz w:val="24"/>
          <w:szCs w:val="24"/>
        </w:rPr>
      </w:pPr>
      <w:r w:rsidRPr="004B6AC4">
        <w:rPr>
          <w:rFonts w:ascii="Source Sans Pro" w:hAnsi="Source Sans Pro"/>
          <w:sz w:val="24"/>
          <w:szCs w:val="24"/>
        </w:rPr>
        <w:t>CPV: 71</w:t>
      </w:r>
      <w:r>
        <w:rPr>
          <w:rFonts w:ascii="Source Sans Pro" w:hAnsi="Source Sans Pro"/>
          <w:sz w:val="24"/>
          <w:szCs w:val="24"/>
        </w:rPr>
        <w:t xml:space="preserve"> </w:t>
      </w:r>
      <w:r w:rsidRPr="004B6AC4">
        <w:rPr>
          <w:rFonts w:ascii="Source Sans Pro" w:hAnsi="Source Sans Pro"/>
          <w:sz w:val="24"/>
          <w:szCs w:val="24"/>
        </w:rPr>
        <w:t xml:space="preserve">320000-7 Usługi Inżynieryjne w zakresie projektowania </w:t>
      </w:r>
    </w:p>
    <w:p w14:paraId="35451ED1" w14:textId="05B48173" w:rsidR="004B6AC4" w:rsidRPr="004B6AC4" w:rsidRDefault="004B6AC4" w:rsidP="004B6AC4">
      <w:pPr>
        <w:rPr>
          <w:rFonts w:ascii="Source Sans Pro" w:hAnsi="Source Sans Pro"/>
          <w:sz w:val="24"/>
          <w:szCs w:val="24"/>
        </w:rPr>
      </w:pPr>
      <w:r w:rsidRPr="004B6AC4">
        <w:rPr>
          <w:rFonts w:ascii="Source Sans Pro" w:hAnsi="Source Sans Pro"/>
          <w:sz w:val="24"/>
          <w:szCs w:val="24"/>
        </w:rPr>
        <w:t>CPV: 45</w:t>
      </w:r>
      <w:r>
        <w:rPr>
          <w:rFonts w:ascii="Source Sans Pro" w:hAnsi="Source Sans Pro"/>
          <w:sz w:val="24"/>
          <w:szCs w:val="24"/>
        </w:rPr>
        <w:t xml:space="preserve"> </w:t>
      </w:r>
      <w:r w:rsidRPr="004B6AC4">
        <w:rPr>
          <w:rFonts w:ascii="Source Sans Pro" w:hAnsi="Source Sans Pro"/>
          <w:sz w:val="24"/>
          <w:szCs w:val="24"/>
        </w:rPr>
        <w:t>316110-9 Instalowanie urządzeń oświetlenia drogowego</w:t>
      </w:r>
    </w:p>
    <w:p w14:paraId="2644005E" w14:textId="2E6CE5EB"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311100-1 Roboty w zakresie okablowania elektrycznego </w:t>
      </w:r>
    </w:p>
    <w:p w14:paraId="4EDBE33B" w14:textId="77777777"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316110-9 Instalowanie urządzeń oświetlenia drogowego </w:t>
      </w:r>
    </w:p>
    <w:p w14:paraId="04134054" w14:textId="77777777"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317000-2 Inne instalacje elektryczne </w:t>
      </w:r>
    </w:p>
    <w:p w14:paraId="626489FE" w14:textId="77777777" w:rsidR="004B6AC4"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 xml:space="preserve">45 111000-8 Roboty w zakresie burzenia, roboty ziemne </w:t>
      </w:r>
    </w:p>
    <w:p w14:paraId="38664929" w14:textId="77777777" w:rsidR="00C3165D" w:rsidRDefault="004B6AC4" w:rsidP="004B6AC4">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45 231000-5 Roboty budowalne w zakresie budowy rurociągów, ciągów komunikacyjnych i linii energetycznych</w:t>
      </w:r>
    </w:p>
    <w:p w14:paraId="38A16C77" w14:textId="77777777" w:rsidR="00C3165D" w:rsidRDefault="004B6AC4" w:rsidP="00C3165D">
      <w:pPr>
        <w:rPr>
          <w:rFonts w:ascii="Source Sans Pro" w:hAnsi="Source Sans Pro"/>
          <w:sz w:val="24"/>
          <w:szCs w:val="24"/>
        </w:rPr>
      </w:pPr>
      <w:r>
        <w:rPr>
          <w:rFonts w:ascii="Source Sans Pro" w:hAnsi="Source Sans Pro"/>
          <w:sz w:val="24"/>
          <w:szCs w:val="24"/>
        </w:rPr>
        <w:t xml:space="preserve">CPV: </w:t>
      </w:r>
      <w:r w:rsidRPr="004B6AC4">
        <w:rPr>
          <w:rFonts w:ascii="Source Sans Pro" w:hAnsi="Source Sans Pro"/>
          <w:sz w:val="24"/>
          <w:szCs w:val="24"/>
        </w:rPr>
        <w:t>45 233000-9 Roboty w zakresie konstruowania, fundamentowania oraz wykonania nawierzchni autostrad, dróg</w:t>
      </w:r>
    </w:p>
    <w:p w14:paraId="6E4817EC" w14:textId="7A28B326" w:rsidR="00C3165D" w:rsidRDefault="00C3165D" w:rsidP="00C3165D">
      <w:pPr>
        <w:rPr>
          <w:rFonts w:ascii="Source Sans Pro" w:hAnsi="Source Sans Pro"/>
          <w:sz w:val="24"/>
          <w:szCs w:val="24"/>
        </w:rPr>
      </w:pPr>
      <w:r>
        <w:rPr>
          <w:rFonts w:ascii="Source Sans Pro" w:hAnsi="Source Sans Pro"/>
          <w:sz w:val="24"/>
          <w:szCs w:val="24"/>
        </w:rPr>
        <w:t xml:space="preserve">CPV: 45 233140-2 Roboty drogowe  </w:t>
      </w:r>
      <w:r w:rsidRPr="004B6AC4">
        <w:rPr>
          <w:rFonts w:ascii="Source Sans Pro" w:hAnsi="Source Sans Pro"/>
          <w:sz w:val="24"/>
          <w:szCs w:val="24"/>
        </w:rPr>
        <w:t xml:space="preserve"> </w:t>
      </w:r>
    </w:p>
    <w:p w14:paraId="6444AB8C" w14:textId="5ECAA4C8" w:rsidR="004B6AC4" w:rsidRPr="004B6AC4" w:rsidRDefault="004B6AC4" w:rsidP="004B6AC4">
      <w:pPr>
        <w:rPr>
          <w:rFonts w:ascii="Source Sans Pro" w:hAnsi="Source Sans Pro"/>
          <w:sz w:val="24"/>
          <w:szCs w:val="24"/>
        </w:rPr>
      </w:pPr>
    </w:p>
    <w:p w14:paraId="4605123C" w14:textId="77777777"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 Zamawiający: </w:t>
      </w:r>
    </w:p>
    <w:p w14:paraId="743F549B" w14:textId="611BA963" w:rsidR="004B6AC4" w:rsidRPr="004B6AC4" w:rsidRDefault="004B6AC4" w:rsidP="004B6AC4">
      <w:pPr>
        <w:rPr>
          <w:rFonts w:ascii="Source Sans Pro" w:hAnsi="Source Sans Pro"/>
          <w:sz w:val="24"/>
          <w:szCs w:val="24"/>
        </w:rPr>
      </w:pPr>
      <w:r w:rsidRPr="004B6AC4">
        <w:rPr>
          <w:rFonts w:ascii="Source Sans Pro" w:hAnsi="Source Sans Pro"/>
          <w:sz w:val="24"/>
          <w:szCs w:val="24"/>
        </w:rPr>
        <w:t xml:space="preserve">Gmina Miasta Dębicy ul. Ratuszowa 2, 39-200 Dębica </w:t>
      </w:r>
    </w:p>
    <w:p w14:paraId="56CCD9AA" w14:textId="77777777" w:rsidR="004B6AC4" w:rsidRPr="004B6AC4" w:rsidRDefault="004B6AC4" w:rsidP="004B6AC4">
      <w:pPr>
        <w:rPr>
          <w:rFonts w:ascii="Source Sans Pro" w:hAnsi="Source Sans Pro"/>
          <w:sz w:val="24"/>
          <w:szCs w:val="24"/>
        </w:rPr>
      </w:pPr>
      <w:r w:rsidRPr="004B6AC4">
        <w:rPr>
          <w:rFonts w:ascii="Source Sans Pro" w:hAnsi="Source Sans Pro"/>
          <w:sz w:val="24"/>
          <w:szCs w:val="24"/>
        </w:rPr>
        <w:t>Spis zawartości:</w:t>
      </w:r>
    </w:p>
    <w:p w14:paraId="7313FFC0" w14:textId="3DF545FE" w:rsidR="004B6AC4" w:rsidRPr="004B6AC4" w:rsidRDefault="004B6AC4" w:rsidP="004B6AC4">
      <w:pPr>
        <w:pStyle w:val="Akapitzlist"/>
        <w:numPr>
          <w:ilvl w:val="0"/>
          <w:numId w:val="2"/>
        </w:numPr>
        <w:rPr>
          <w:rFonts w:ascii="Source Sans Pro" w:hAnsi="Source Sans Pro"/>
          <w:sz w:val="24"/>
          <w:szCs w:val="24"/>
        </w:rPr>
      </w:pPr>
      <w:r w:rsidRPr="004B6AC4">
        <w:rPr>
          <w:rFonts w:ascii="Source Sans Pro" w:hAnsi="Source Sans Pro"/>
          <w:sz w:val="24"/>
          <w:szCs w:val="24"/>
        </w:rPr>
        <w:t xml:space="preserve">Część opisowa </w:t>
      </w:r>
    </w:p>
    <w:p w14:paraId="21CCEEAE" w14:textId="70A706AA" w:rsidR="00C43712" w:rsidRPr="004B6AC4" w:rsidRDefault="004B6AC4" w:rsidP="004B6AC4">
      <w:pPr>
        <w:pStyle w:val="Akapitzlist"/>
        <w:numPr>
          <w:ilvl w:val="0"/>
          <w:numId w:val="2"/>
        </w:numPr>
        <w:rPr>
          <w:rFonts w:ascii="Source Sans Pro" w:hAnsi="Source Sans Pro"/>
          <w:sz w:val="24"/>
          <w:szCs w:val="24"/>
        </w:rPr>
      </w:pPr>
      <w:r w:rsidRPr="004B6AC4">
        <w:rPr>
          <w:rFonts w:ascii="Source Sans Pro" w:hAnsi="Source Sans Pro"/>
          <w:sz w:val="24"/>
          <w:szCs w:val="24"/>
        </w:rPr>
        <w:t>Część informacyjna</w:t>
      </w:r>
    </w:p>
    <w:p w14:paraId="79EBE378" w14:textId="77777777" w:rsidR="004B6AC4" w:rsidRDefault="004B6AC4" w:rsidP="004B6AC4">
      <w:pPr>
        <w:jc w:val="both"/>
        <w:rPr>
          <w:rFonts w:ascii="Source Sans Pro" w:hAnsi="Source Sans Pro"/>
          <w:sz w:val="24"/>
          <w:szCs w:val="24"/>
        </w:rPr>
      </w:pPr>
    </w:p>
    <w:p w14:paraId="4CC58A7E" w14:textId="77777777" w:rsidR="004B6AC4" w:rsidRDefault="004B6AC4" w:rsidP="004B6AC4">
      <w:pPr>
        <w:jc w:val="both"/>
        <w:rPr>
          <w:rFonts w:ascii="Source Sans Pro" w:hAnsi="Source Sans Pro"/>
          <w:sz w:val="24"/>
          <w:szCs w:val="24"/>
        </w:rPr>
      </w:pPr>
    </w:p>
    <w:p w14:paraId="419368BF" w14:textId="77777777" w:rsidR="004B6AC4" w:rsidRDefault="004B6AC4" w:rsidP="004B6AC4">
      <w:pPr>
        <w:jc w:val="both"/>
        <w:rPr>
          <w:rFonts w:ascii="Source Sans Pro" w:hAnsi="Source Sans Pro"/>
          <w:sz w:val="24"/>
          <w:szCs w:val="24"/>
        </w:rPr>
      </w:pPr>
    </w:p>
    <w:p w14:paraId="56056603" w14:textId="77777777" w:rsidR="004B6AC4" w:rsidRDefault="004B6AC4" w:rsidP="004B6AC4">
      <w:pPr>
        <w:jc w:val="both"/>
        <w:rPr>
          <w:rFonts w:ascii="Source Sans Pro" w:hAnsi="Source Sans Pro"/>
          <w:sz w:val="24"/>
          <w:szCs w:val="24"/>
        </w:rPr>
      </w:pPr>
    </w:p>
    <w:p w14:paraId="3F84F157" w14:textId="10232402" w:rsidR="004B6AC4" w:rsidRDefault="004B6AC4" w:rsidP="004B6AC4">
      <w:pPr>
        <w:jc w:val="both"/>
        <w:rPr>
          <w:rFonts w:ascii="Source Sans Pro" w:hAnsi="Source Sans Pro"/>
          <w:sz w:val="24"/>
          <w:szCs w:val="24"/>
        </w:rPr>
      </w:pPr>
      <w:r w:rsidRPr="004B6AC4">
        <w:rPr>
          <w:rFonts w:ascii="Source Sans Pro" w:hAnsi="Source Sans Pro"/>
          <w:sz w:val="24"/>
          <w:szCs w:val="24"/>
        </w:rPr>
        <w:lastRenderedPageBreak/>
        <w:t>Opis ogólny</w:t>
      </w:r>
    </w:p>
    <w:p w14:paraId="38B1AE4C" w14:textId="77777777" w:rsidR="004B6AC4" w:rsidRDefault="004B6AC4" w:rsidP="004B6AC4">
      <w:pPr>
        <w:ind w:firstLine="708"/>
        <w:jc w:val="both"/>
        <w:rPr>
          <w:rFonts w:ascii="Source Sans Pro" w:hAnsi="Source Sans Pro"/>
          <w:sz w:val="24"/>
          <w:szCs w:val="24"/>
        </w:rPr>
      </w:pPr>
      <w:r w:rsidRPr="004B6AC4">
        <w:rPr>
          <w:rFonts w:ascii="Source Sans Pro" w:hAnsi="Source Sans Pro"/>
          <w:sz w:val="24"/>
          <w:szCs w:val="24"/>
        </w:rPr>
        <w:t>Wielkość i zakres robót</w:t>
      </w:r>
    </w:p>
    <w:p w14:paraId="0A2DBA6D" w14:textId="73F563E2" w:rsidR="004B6AC4" w:rsidRDefault="004B6AC4" w:rsidP="004B6AC4">
      <w:pPr>
        <w:ind w:firstLine="708"/>
        <w:jc w:val="both"/>
        <w:rPr>
          <w:rFonts w:ascii="Source Sans Pro" w:hAnsi="Source Sans Pro"/>
          <w:sz w:val="24"/>
          <w:szCs w:val="24"/>
        </w:rPr>
      </w:pPr>
      <w:r w:rsidRPr="004B6AC4">
        <w:rPr>
          <w:rFonts w:ascii="Source Sans Pro" w:hAnsi="Source Sans Pro"/>
          <w:sz w:val="24"/>
          <w:szCs w:val="24"/>
        </w:rPr>
        <w:t xml:space="preserve"> Przedmiotem niniejszego programu </w:t>
      </w:r>
      <w:proofErr w:type="spellStart"/>
      <w:r w:rsidRPr="004B6AC4">
        <w:rPr>
          <w:rFonts w:ascii="Source Sans Pro" w:hAnsi="Source Sans Pro"/>
          <w:sz w:val="24"/>
          <w:szCs w:val="24"/>
        </w:rPr>
        <w:t>funkcjonalno</w:t>
      </w:r>
      <w:proofErr w:type="spellEnd"/>
      <w:r w:rsidRPr="004B6AC4">
        <w:rPr>
          <w:rFonts w:ascii="Source Sans Pro" w:hAnsi="Source Sans Pro"/>
          <w:sz w:val="24"/>
          <w:szCs w:val="24"/>
        </w:rPr>
        <w:t xml:space="preserve"> – użytkowego jest określenie prac związanych z doświetleniem przejść dla pieszych (zgodnie z poniższą tabelą) zlokalizowanych na terenie </w:t>
      </w:r>
      <w:r>
        <w:rPr>
          <w:rFonts w:ascii="Source Sans Pro" w:hAnsi="Source Sans Pro"/>
          <w:sz w:val="24"/>
          <w:szCs w:val="24"/>
        </w:rPr>
        <w:t>Gminy Miasta Dębicy</w:t>
      </w:r>
      <w:r w:rsidRPr="004B6AC4">
        <w:rPr>
          <w:rFonts w:ascii="Source Sans Pro" w:hAnsi="Source Sans Pro"/>
          <w:sz w:val="24"/>
          <w:szCs w:val="24"/>
        </w:rPr>
        <w:t xml:space="preserve">. Doświetlenie przejść dla pieszych polega na zamontowaniu dodatkowych dedykowanych do oświetlenia przejść dla pieszych, specjalnych opraw o świetle białym </w:t>
      </w:r>
      <w:r w:rsidR="00E30A8D">
        <w:rPr>
          <w:rFonts w:ascii="Source Sans Pro" w:hAnsi="Source Sans Pro"/>
          <w:sz w:val="24"/>
          <w:szCs w:val="24"/>
        </w:rPr>
        <w:t>LED</w:t>
      </w:r>
      <w:r w:rsidRPr="004B6AC4">
        <w:rPr>
          <w:rFonts w:ascii="Source Sans Pro" w:hAnsi="Source Sans Pro"/>
          <w:sz w:val="24"/>
          <w:szCs w:val="24"/>
        </w:rPr>
        <w:t xml:space="preserve"> umieszczonych na dodatkowych słupach oświetleniowych</w:t>
      </w:r>
      <w:r>
        <w:rPr>
          <w:rFonts w:ascii="Source Sans Pro" w:hAnsi="Source Sans Pro"/>
          <w:sz w:val="24"/>
          <w:szCs w:val="24"/>
        </w:rPr>
        <w:t>, montaż aktywnego oznakowania przejścia dla pieszych,</w:t>
      </w:r>
      <w:r w:rsidR="00D53B81">
        <w:rPr>
          <w:rFonts w:ascii="Source Sans Pro" w:hAnsi="Source Sans Pro"/>
          <w:sz w:val="24"/>
          <w:szCs w:val="24"/>
        </w:rPr>
        <w:t xml:space="preserve"> </w:t>
      </w:r>
      <w:r w:rsidRPr="004B6AC4">
        <w:rPr>
          <w:rFonts w:ascii="Source Sans Pro" w:hAnsi="Source Sans Pro"/>
          <w:sz w:val="24"/>
          <w:szCs w:val="24"/>
        </w:rPr>
        <w:t>zasilenie</w:t>
      </w:r>
      <w:r w:rsidR="002C39F9">
        <w:rPr>
          <w:rFonts w:ascii="Source Sans Pro" w:hAnsi="Source Sans Pro"/>
          <w:sz w:val="24"/>
          <w:szCs w:val="24"/>
        </w:rPr>
        <w:t xml:space="preserve"> ich</w:t>
      </w:r>
      <w:r w:rsidR="00D53B81">
        <w:rPr>
          <w:rFonts w:ascii="Source Sans Pro" w:hAnsi="Source Sans Pro"/>
          <w:sz w:val="24"/>
          <w:szCs w:val="24"/>
        </w:rPr>
        <w:t xml:space="preserve"> w oparciu o wydane warunki przyłączenia lub zasilenia</w:t>
      </w:r>
      <w:r w:rsidR="002C39F9">
        <w:rPr>
          <w:rFonts w:ascii="Source Sans Pro" w:hAnsi="Source Sans Pro"/>
          <w:sz w:val="24"/>
          <w:szCs w:val="24"/>
        </w:rPr>
        <w:t xml:space="preserve"> z istniejącego źródła energii</w:t>
      </w:r>
      <w:r w:rsidR="00044283">
        <w:rPr>
          <w:rFonts w:ascii="Source Sans Pro" w:hAnsi="Source Sans Pro"/>
          <w:sz w:val="24"/>
          <w:szCs w:val="24"/>
        </w:rPr>
        <w:t>, wykonanie nawierzchni antypoślizgowych</w:t>
      </w:r>
      <w:r w:rsidR="002C39F9">
        <w:rPr>
          <w:rFonts w:ascii="Source Sans Pro" w:hAnsi="Source Sans Pro"/>
          <w:sz w:val="24"/>
          <w:szCs w:val="24"/>
        </w:rPr>
        <w:t xml:space="preserve"> oraz</w:t>
      </w:r>
      <w:r w:rsidR="002C39F9" w:rsidRPr="002C39F9">
        <w:rPr>
          <w:rFonts w:ascii="Source Sans Pro" w:hAnsi="Source Sans Pro"/>
          <w:sz w:val="24"/>
          <w:szCs w:val="24"/>
        </w:rPr>
        <w:t xml:space="preserve"> </w:t>
      </w:r>
      <w:r w:rsidR="002C39F9">
        <w:rPr>
          <w:rFonts w:ascii="Source Sans Pro" w:hAnsi="Source Sans Pro"/>
          <w:sz w:val="24"/>
          <w:szCs w:val="24"/>
        </w:rPr>
        <w:t>budowa kanału technologicznego</w:t>
      </w:r>
      <w:r w:rsidRPr="004B6AC4">
        <w:rPr>
          <w:rFonts w:ascii="Source Sans Pro" w:hAnsi="Source Sans Pro"/>
          <w:sz w:val="24"/>
          <w:szCs w:val="24"/>
        </w:rPr>
        <w:t>. Przedmiot zamówienia należy zaprojektować i wykonać zgodnie z obowiązującymi przepisami, warunkami wydanymi przez zarządcę drogi, warunkami technicznymi przyłączenia urządzeń elektroenergetycznych do sieci oświetleniowej, oraz niniejszym programem funkcjonalno-użytkowym stanowiącym załącznik do SIWZ.</w:t>
      </w:r>
    </w:p>
    <w:p w14:paraId="00AA5D4D" w14:textId="11699FFE" w:rsidR="00D53B81" w:rsidRPr="00B97413" w:rsidRDefault="00D53B81" w:rsidP="004B6AC4">
      <w:pPr>
        <w:ind w:firstLine="708"/>
        <w:jc w:val="both"/>
        <w:rPr>
          <w:rFonts w:ascii="Source Sans Pro" w:hAnsi="Source Sans Pro"/>
          <w:sz w:val="24"/>
          <w:szCs w:val="24"/>
        </w:rPr>
      </w:pPr>
      <w:r w:rsidRPr="00B97413">
        <w:rPr>
          <w:rFonts w:ascii="Source Sans Pro" w:hAnsi="Source Sans Pro"/>
          <w:sz w:val="24"/>
          <w:szCs w:val="24"/>
        </w:rPr>
        <w:t>Tabela nr 1. Lokalizacja przejść dla pieszych</w:t>
      </w:r>
    </w:p>
    <w:tbl>
      <w:tblPr>
        <w:tblW w:w="10165" w:type="dxa"/>
        <w:tblInd w:w="-425" w:type="dxa"/>
        <w:tblLayout w:type="fixed"/>
        <w:tblCellMar>
          <w:left w:w="70" w:type="dxa"/>
          <w:right w:w="70" w:type="dxa"/>
        </w:tblCellMar>
        <w:tblLook w:val="04A0" w:firstRow="1" w:lastRow="0" w:firstColumn="1" w:lastColumn="0" w:noHBand="0" w:noVBand="1"/>
      </w:tblPr>
      <w:tblGrid>
        <w:gridCol w:w="1634"/>
        <w:gridCol w:w="1422"/>
        <w:gridCol w:w="1849"/>
        <w:gridCol w:w="1848"/>
        <w:gridCol w:w="1706"/>
        <w:gridCol w:w="1706"/>
      </w:tblGrid>
      <w:tr w:rsidR="00B97413" w:rsidRPr="007C044B" w14:paraId="7BED1C8F" w14:textId="77777777" w:rsidTr="00CF4383">
        <w:trPr>
          <w:trHeight w:val="394"/>
        </w:trPr>
        <w:tc>
          <w:tcPr>
            <w:tcW w:w="1634"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bottom"/>
            <w:hideMark/>
          </w:tcPr>
          <w:p w14:paraId="1EC1E1FC" w14:textId="77777777" w:rsidR="00B97413" w:rsidRPr="00B97413" w:rsidRDefault="00B97413" w:rsidP="00CF4383">
            <w:pPr>
              <w:spacing w:after="0" w:line="240" w:lineRule="auto"/>
              <w:rPr>
                <w:rFonts w:ascii="Source Sans Pro" w:eastAsia="Times New Roman" w:hAnsi="Source Sans Pro" w:cs="Calibri"/>
                <w:color w:val="000000"/>
                <w:sz w:val="24"/>
                <w:szCs w:val="24"/>
                <w:lang w:eastAsia="pl-PL"/>
              </w:rPr>
            </w:pPr>
            <w:r w:rsidRPr="00B97413">
              <w:rPr>
                <w:rFonts w:ascii="Source Sans Pro" w:eastAsia="Times New Roman" w:hAnsi="Source Sans Pro" w:cs="Calibri"/>
                <w:color w:val="000000"/>
                <w:sz w:val="24"/>
                <w:szCs w:val="24"/>
                <w:lang w:eastAsia="pl-PL"/>
              </w:rPr>
              <w:t> </w:t>
            </w:r>
          </w:p>
        </w:tc>
        <w:tc>
          <w:tcPr>
            <w:tcW w:w="1422" w:type="dxa"/>
            <w:tcBorders>
              <w:top w:val="single" w:sz="4" w:space="0" w:color="auto"/>
              <w:left w:val="nil"/>
              <w:bottom w:val="single" w:sz="4" w:space="0" w:color="auto"/>
              <w:right w:val="single" w:sz="4" w:space="0" w:color="auto"/>
            </w:tcBorders>
            <w:shd w:val="clear" w:color="000000" w:fill="A6A6A6"/>
            <w:noWrap/>
            <w:vAlign w:val="center"/>
            <w:hideMark/>
          </w:tcPr>
          <w:p w14:paraId="0F0750A6" w14:textId="55759F91"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 xml:space="preserve">Przejście </w:t>
            </w:r>
            <w:r w:rsidR="003A34EF">
              <w:rPr>
                <w:rFonts w:ascii="Source Sans Pro" w:eastAsia="Times New Roman" w:hAnsi="Source Sans Pro" w:cs="Calibri"/>
                <w:sz w:val="24"/>
                <w:szCs w:val="24"/>
                <w:lang w:eastAsia="pl-PL"/>
              </w:rPr>
              <w:t>6</w:t>
            </w:r>
          </w:p>
        </w:tc>
        <w:tc>
          <w:tcPr>
            <w:tcW w:w="1849" w:type="dxa"/>
            <w:tcBorders>
              <w:top w:val="single" w:sz="4" w:space="0" w:color="auto"/>
              <w:left w:val="nil"/>
              <w:bottom w:val="single" w:sz="4" w:space="0" w:color="auto"/>
              <w:right w:val="single" w:sz="4" w:space="0" w:color="auto"/>
            </w:tcBorders>
            <w:shd w:val="clear" w:color="000000" w:fill="A6A6A6"/>
            <w:vAlign w:val="center"/>
          </w:tcPr>
          <w:p w14:paraId="26ADAA73" w14:textId="2B2B6031"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 xml:space="preserve">Przejście </w:t>
            </w:r>
            <w:r w:rsidR="003A34EF">
              <w:rPr>
                <w:rFonts w:ascii="Source Sans Pro" w:eastAsia="Times New Roman" w:hAnsi="Source Sans Pro" w:cs="Calibri"/>
                <w:sz w:val="24"/>
                <w:szCs w:val="24"/>
                <w:lang w:eastAsia="pl-PL"/>
              </w:rPr>
              <w:t>7</w:t>
            </w:r>
          </w:p>
        </w:tc>
        <w:tc>
          <w:tcPr>
            <w:tcW w:w="184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F70D5D1" w14:textId="7BC69136"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 xml:space="preserve">Przejście </w:t>
            </w:r>
            <w:r w:rsidR="003A34EF">
              <w:rPr>
                <w:rFonts w:ascii="Source Sans Pro" w:eastAsia="Times New Roman" w:hAnsi="Source Sans Pro" w:cs="Calibri"/>
                <w:sz w:val="24"/>
                <w:szCs w:val="24"/>
                <w:lang w:eastAsia="pl-PL"/>
              </w:rPr>
              <w:t>8</w:t>
            </w:r>
          </w:p>
        </w:tc>
        <w:tc>
          <w:tcPr>
            <w:tcW w:w="1706" w:type="dxa"/>
            <w:tcBorders>
              <w:top w:val="single" w:sz="4" w:space="0" w:color="auto"/>
              <w:left w:val="nil"/>
              <w:bottom w:val="single" w:sz="4" w:space="0" w:color="auto"/>
              <w:right w:val="single" w:sz="4" w:space="0" w:color="auto"/>
            </w:tcBorders>
            <w:shd w:val="clear" w:color="000000" w:fill="A6A6A6"/>
            <w:vAlign w:val="center"/>
          </w:tcPr>
          <w:p w14:paraId="56C79D2C" w14:textId="0AF23581"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 xml:space="preserve">Przejście </w:t>
            </w:r>
            <w:r w:rsidR="003A34EF">
              <w:rPr>
                <w:rFonts w:ascii="Source Sans Pro" w:eastAsia="Times New Roman" w:hAnsi="Source Sans Pro" w:cs="Calibri"/>
                <w:sz w:val="24"/>
                <w:szCs w:val="24"/>
                <w:lang w:eastAsia="pl-PL"/>
              </w:rPr>
              <w:t>9</w:t>
            </w:r>
          </w:p>
        </w:tc>
        <w:tc>
          <w:tcPr>
            <w:tcW w:w="170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2E590B4" w14:textId="7C7652B2" w:rsidR="00B97413" w:rsidRPr="00B97413" w:rsidRDefault="00B97413" w:rsidP="00CF4383">
            <w:pPr>
              <w:spacing w:after="0" w:line="240" w:lineRule="auto"/>
              <w:jc w:val="center"/>
              <w:rPr>
                <w:rFonts w:ascii="Source Sans Pro" w:eastAsia="Times New Roman" w:hAnsi="Source Sans Pro" w:cs="Calibri"/>
                <w:sz w:val="24"/>
                <w:szCs w:val="24"/>
                <w:lang w:eastAsia="pl-PL"/>
              </w:rPr>
            </w:pPr>
            <w:r w:rsidRPr="00B97413">
              <w:rPr>
                <w:rFonts w:ascii="Source Sans Pro" w:eastAsia="Times New Roman" w:hAnsi="Source Sans Pro" w:cs="Calibri"/>
                <w:sz w:val="24"/>
                <w:szCs w:val="24"/>
                <w:lang w:eastAsia="pl-PL"/>
              </w:rPr>
              <w:t xml:space="preserve">Przejście </w:t>
            </w:r>
            <w:r w:rsidR="003A34EF">
              <w:rPr>
                <w:rFonts w:ascii="Source Sans Pro" w:eastAsia="Times New Roman" w:hAnsi="Source Sans Pro" w:cs="Calibri"/>
                <w:sz w:val="24"/>
                <w:szCs w:val="24"/>
                <w:lang w:eastAsia="pl-PL"/>
              </w:rPr>
              <w:t>10</w:t>
            </w:r>
          </w:p>
        </w:tc>
      </w:tr>
      <w:tr w:rsidR="00B97413" w:rsidRPr="007C044B" w14:paraId="72B66AFF" w14:textId="77777777" w:rsidTr="00CF4383">
        <w:trPr>
          <w:trHeight w:val="394"/>
        </w:trPr>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D8B9D" w14:textId="77777777" w:rsidR="00B97413" w:rsidRPr="009C0153" w:rsidRDefault="00B97413" w:rsidP="00CF4383">
            <w:pPr>
              <w:spacing w:after="0" w:line="240" w:lineRule="auto"/>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Powiat</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14:paraId="4F91F501"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Dębicki</w:t>
            </w:r>
          </w:p>
        </w:tc>
        <w:tc>
          <w:tcPr>
            <w:tcW w:w="1849" w:type="dxa"/>
            <w:tcBorders>
              <w:top w:val="single" w:sz="4" w:space="0" w:color="auto"/>
              <w:left w:val="nil"/>
              <w:bottom w:val="single" w:sz="4" w:space="0" w:color="auto"/>
              <w:right w:val="single" w:sz="4" w:space="0" w:color="auto"/>
            </w:tcBorders>
            <w:shd w:val="clear" w:color="000000" w:fill="FFFFFF"/>
            <w:vAlign w:val="center"/>
          </w:tcPr>
          <w:p w14:paraId="2D710194"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Dębicki</w:t>
            </w:r>
          </w:p>
        </w:tc>
        <w:tc>
          <w:tcPr>
            <w:tcW w:w="1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658EA"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Dębicki</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29DF429"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Dębicki</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C72A2"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Dębicki</w:t>
            </w:r>
          </w:p>
        </w:tc>
      </w:tr>
      <w:tr w:rsidR="00B97413" w:rsidRPr="007C044B" w14:paraId="3A35AF8A" w14:textId="77777777"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14:paraId="5B33A7AC" w14:textId="77777777" w:rsidR="00B97413" w:rsidRPr="009C0153" w:rsidRDefault="00B97413" w:rsidP="00CF4383">
            <w:pPr>
              <w:spacing w:after="0" w:line="240" w:lineRule="auto"/>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Gmina</w:t>
            </w:r>
          </w:p>
        </w:tc>
        <w:tc>
          <w:tcPr>
            <w:tcW w:w="1422" w:type="dxa"/>
            <w:tcBorders>
              <w:top w:val="nil"/>
              <w:left w:val="nil"/>
              <w:bottom w:val="single" w:sz="4" w:space="0" w:color="auto"/>
              <w:right w:val="single" w:sz="4" w:space="0" w:color="auto"/>
            </w:tcBorders>
            <w:shd w:val="clear" w:color="000000" w:fill="FFFFFF"/>
            <w:noWrap/>
            <w:vAlign w:val="center"/>
            <w:hideMark/>
          </w:tcPr>
          <w:p w14:paraId="67B465FF"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Miasto Dębica</w:t>
            </w:r>
          </w:p>
        </w:tc>
        <w:tc>
          <w:tcPr>
            <w:tcW w:w="1849" w:type="dxa"/>
            <w:tcBorders>
              <w:top w:val="single" w:sz="4" w:space="0" w:color="auto"/>
              <w:left w:val="nil"/>
              <w:bottom w:val="single" w:sz="4" w:space="0" w:color="auto"/>
              <w:right w:val="single" w:sz="4" w:space="0" w:color="auto"/>
            </w:tcBorders>
            <w:shd w:val="clear" w:color="000000" w:fill="FFFFFF"/>
            <w:vAlign w:val="center"/>
          </w:tcPr>
          <w:p w14:paraId="0EB9D2CA"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Miasto Dębica</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14:paraId="09D8391F"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Miasto Dębica</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7141468"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Miasto Dębica</w:t>
            </w:r>
          </w:p>
        </w:tc>
        <w:tc>
          <w:tcPr>
            <w:tcW w:w="1706" w:type="dxa"/>
            <w:tcBorders>
              <w:top w:val="nil"/>
              <w:left w:val="single" w:sz="4" w:space="0" w:color="auto"/>
              <w:bottom w:val="single" w:sz="4" w:space="0" w:color="auto"/>
              <w:right w:val="single" w:sz="4" w:space="0" w:color="auto"/>
            </w:tcBorders>
            <w:shd w:val="clear" w:color="000000" w:fill="FFFFFF"/>
            <w:noWrap/>
            <w:vAlign w:val="center"/>
            <w:hideMark/>
          </w:tcPr>
          <w:p w14:paraId="685FB1D2"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Miasto Dębica</w:t>
            </w:r>
          </w:p>
        </w:tc>
      </w:tr>
      <w:tr w:rsidR="00B97413" w:rsidRPr="007C044B" w14:paraId="3C5D3825" w14:textId="77777777" w:rsidTr="00CF4383">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14:paraId="389C0A57" w14:textId="77777777" w:rsidR="00B97413" w:rsidRPr="009C0153" w:rsidRDefault="00B97413" w:rsidP="00CF4383">
            <w:pPr>
              <w:spacing w:after="0" w:line="240" w:lineRule="auto"/>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Miejscowość</w:t>
            </w:r>
          </w:p>
        </w:tc>
        <w:tc>
          <w:tcPr>
            <w:tcW w:w="1422" w:type="dxa"/>
            <w:tcBorders>
              <w:top w:val="nil"/>
              <w:left w:val="nil"/>
              <w:bottom w:val="single" w:sz="4" w:space="0" w:color="auto"/>
              <w:right w:val="single" w:sz="4" w:space="0" w:color="auto"/>
            </w:tcBorders>
            <w:shd w:val="clear" w:color="000000" w:fill="FFFFFF"/>
            <w:noWrap/>
            <w:vAlign w:val="center"/>
            <w:hideMark/>
          </w:tcPr>
          <w:p w14:paraId="554570D7"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Dębica</w:t>
            </w:r>
          </w:p>
        </w:tc>
        <w:tc>
          <w:tcPr>
            <w:tcW w:w="1849" w:type="dxa"/>
            <w:tcBorders>
              <w:top w:val="single" w:sz="4" w:space="0" w:color="auto"/>
              <w:left w:val="nil"/>
              <w:bottom w:val="single" w:sz="4" w:space="0" w:color="auto"/>
              <w:right w:val="single" w:sz="4" w:space="0" w:color="auto"/>
            </w:tcBorders>
            <w:shd w:val="clear" w:color="000000" w:fill="FFFFFF"/>
            <w:vAlign w:val="center"/>
          </w:tcPr>
          <w:p w14:paraId="6406BBA6"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Dębica</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14:paraId="7159BD72"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Dębica</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1AC5BF12"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Dębica</w:t>
            </w:r>
          </w:p>
        </w:tc>
        <w:tc>
          <w:tcPr>
            <w:tcW w:w="1706" w:type="dxa"/>
            <w:tcBorders>
              <w:top w:val="nil"/>
              <w:left w:val="single" w:sz="4" w:space="0" w:color="auto"/>
              <w:bottom w:val="single" w:sz="4" w:space="0" w:color="auto"/>
              <w:right w:val="single" w:sz="4" w:space="0" w:color="auto"/>
            </w:tcBorders>
            <w:shd w:val="clear" w:color="000000" w:fill="FFFFFF"/>
            <w:noWrap/>
            <w:vAlign w:val="center"/>
            <w:hideMark/>
          </w:tcPr>
          <w:p w14:paraId="2F3FC45F" w14:textId="77777777" w:rsidR="00B97413" w:rsidRPr="009C0153" w:rsidRDefault="00B97413" w:rsidP="00CF438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Dębica</w:t>
            </w:r>
          </w:p>
        </w:tc>
      </w:tr>
      <w:tr w:rsidR="009C0153" w:rsidRPr="007C044B" w14:paraId="3A9415E5" w14:textId="77777777" w:rsidTr="00EF515A">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tcPr>
          <w:p w14:paraId="5F3FAFCB" w14:textId="77777777" w:rsidR="009C0153" w:rsidRPr="009C0153" w:rsidRDefault="009C0153" w:rsidP="009C0153">
            <w:pPr>
              <w:spacing w:after="0" w:line="240" w:lineRule="auto"/>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Nazwa ulicy/ nr drogi</w:t>
            </w:r>
          </w:p>
        </w:tc>
        <w:tc>
          <w:tcPr>
            <w:tcW w:w="1422" w:type="dxa"/>
            <w:tcBorders>
              <w:top w:val="nil"/>
              <w:left w:val="nil"/>
              <w:bottom w:val="single" w:sz="4" w:space="0" w:color="auto"/>
              <w:right w:val="single" w:sz="4" w:space="0" w:color="auto"/>
            </w:tcBorders>
            <w:shd w:val="clear" w:color="auto" w:fill="FFFFFF"/>
            <w:noWrap/>
            <w:vAlign w:val="center"/>
          </w:tcPr>
          <w:p w14:paraId="2947DC1C" w14:textId="55115B10"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ul. Cmentarna/ 105859R</w:t>
            </w:r>
          </w:p>
        </w:tc>
        <w:tc>
          <w:tcPr>
            <w:tcW w:w="1849" w:type="dxa"/>
            <w:tcBorders>
              <w:top w:val="single" w:sz="4" w:space="0" w:color="auto"/>
              <w:left w:val="nil"/>
              <w:bottom w:val="single" w:sz="4" w:space="0" w:color="auto"/>
              <w:right w:val="single" w:sz="4" w:space="0" w:color="auto"/>
            </w:tcBorders>
            <w:shd w:val="clear" w:color="auto" w:fill="FFFFFF"/>
            <w:vAlign w:val="center"/>
          </w:tcPr>
          <w:p w14:paraId="0EFBC983" w14:textId="4DAFDF4F"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 xml:space="preserve">ul. </w:t>
            </w:r>
            <w:r w:rsidRPr="009C0153">
              <w:rPr>
                <w:rFonts w:ascii="Source Sans Pro" w:eastAsia="Times New Roman" w:hAnsi="Source Sans Pro" w:cstheme="minorHAnsi"/>
                <w:sz w:val="24"/>
                <w:szCs w:val="24"/>
                <w:lang w:eastAsia="pl-PL"/>
              </w:rPr>
              <w:t>Głowackiego</w:t>
            </w:r>
            <w:r w:rsidRPr="009C0153">
              <w:rPr>
                <w:rFonts w:ascii="Source Sans Pro" w:eastAsia="Times New Roman" w:hAnsi="Source Sans Pro" w:cs="Calibri"/>
                <w:color w:val="000000"/>
                <w:sz w:val="24"/>
                <w:szCs w:val="24"/>
                <w:lang w:eastAsia="pl-PL"/>
              </w:rPr>
              <w:t xml:space="preserve"> /105890R</w:t>
            </w:r>
          </w:p>
        </w:tc>
        <w:tc>
          <w:tcPr>
            <w:tcW w:w="1848" w:type="dxa"/>
            <w:tcBorders>
              <w:top w:val="nil"/>
              <w:left w:val="single" w:sz="4" w:space="0" w:color="auto"/>
              <w:bottom w:val="single" w:sz="4" w:space="0" w:color="auto"/>
              <w:right w:val="single" w:sz="4" w:space="0" w:color="auto"/>
            </w:tcBorders>
            <w:shd w:val="clear" w:color="auto" w:fill="FFFFFF"/>
            <w:noWrap/>
            <w:vAlign w:val="center"/>
          </w:tcPr>
          <w:p w14:paraId="6C6E600F" w14:textId="319D8E65"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 xml:space="preserve">ul. </w:t>
            </w:r>
            <w:r w:rsidRPr="009C0153">
              <w:rPr>
                <w:rFonts w:ascii="Source Sans Pro" w:eastAsia="Times New Roman" w:hAnsi="Source Sans Pro" w:cstheme="minorHAnsi"/>
                <w:sz w:val="24"/>
                <w:szCs w:val="24"/>
                <w:lang w:eastAsia="pl-PL"/>
              </w:rPr>
              <w:t>Kraszewskiego</w:t>
            </w:r>
            <w:r w:rsidRPr="009C0153">
              <w:rPr>
                <w:rFonts w:ascii="Source Sans Pro" w:eastAsia="Times New Roman" w:hAnsi="Source Sans Pro" w:cs="Calibri"/>
                <w:color w:val="000000"/>
                <w:sz w:val="24"/>
                <w:szCs w:val="24"/>
                <w:lang w:eastAsia="pl-PL"/>
              </w:rPr>
              <w:t xml:space="preserve"> /105891R </w:t>
            </w:r>
          </w:p>
        </w:tc>
        <w:tc>
          <w:tcPr>
            <w:tcW w:w="1706" w:type="dxa"/>
            <w:tcBorders>
              <w:top w:val="single" w:sz="4" w:space="0" w:color="auto"/>
              <w:left w:val="nil"/>
              <w:bottom w:val="single" w:sz="4" w:space="0" w:color="auto"/>
              <w:right w:val="single" w:sz="4" w:space="0" w:color="auto"/>
            </w:tcBorders>
            <w:shd w:val="clear" w:color="auto" w:fill="FFFFFF"/>
            <w:vAlign w:val="center"/>
          </w:tcPr>
          <w:p w14:paraId="61680580" w14:textId="52CE4DA2"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 xml:space="preserve">ul. </w:t>
            </w:r>
            <w:r w:rsidRPr="009C0153">
              <w:rPr>
                <w:rFonts w:ascii="Source Sans Pro" w:eastAsia="Times New Roman" w:hAnsi="Source Sans Pro" w:cstheme="minorHAnsi"/>
                <w:sz w:val="24"/>
                <w:szCs w:val="24"/>
                <w:lang w:eastAsia="pl-PL"/>
              </w:rPr>
              <w:t>Piłsudskiego</w:t>
            </w:r>
            <w:r w:rsidRPr="009C0153">
              <w:rPr>
                <w:rFonts w:ascii="Source Sans Pro" w:eastAsia="Times New Roman" w:hAnsi="Source Sans Pro" w:cs="Calibri"/>
                <w:color w:val="000000"/>
                <w:sz w:val="24"/>
                <w:szCs w:val="24"/>
                <w:lang w:eastAsia="pl-PL"/>
              </w:rPr>
              <w:t>/ 105863R</w:t>
            </w:r>
          </w:p>
        </w:tc>
        <w:tc>
          <w:tcPr>
            <w:tcW w:w="1706" w:type="dxa"/>
            <w:tcBorders>
              <w:top w:val="nil"/>
              <w:left w:val="single" w:sz="4" w:space="0" w:color="auto"/>
              <w:bottom w:val="single" w:sz="4" w:space="0" w:color="auto"/>
              <w:right w:val="single" w:sz="4" w:space="0" w:color="auto"/>
            </w:tcBorders>
            <w:shd w:val="clear" w:color="auto" w:fill="FFFFFF"/>
            <w:noWrap/>
            <w:vAlign w:val="center"/>
          </w:tcPr>
          <w:p w14:paraId="6EA7E89F" w14:textId="3EB63E4D"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 xml:space="preserve">ul. </w:t>
            </w:r>
            <w:r w:rsidRPr="009C0153">
              <w:rPr>
                <w:rFonts w:ascii="Source Sans Pro" w:eastAsia="Times New Roman" w:hAnsi="Source Sans Pro" w:cstheme="minorHAnsi"/>
                <w:sz w:val="24"/>
                <w:szCs w:val="24"/>
                <w:lang w:eastAsia="pl-PL"/>
              </w:rPr>
              <w:t>Cmentarna</w:t>
            </w:r>
            <w:r w:rsidRPr="009C0153">
              <w:rPr>
                <w:rFonts w:ascii="Source Sans Pro" w:eastAsia="Times New Roman" w:hAnsi="Source Sans Pro" w:cs="Calibri"/>
                <w:color w:val="000000"/>
                <w:sz w:val="24"/>
                <w:szCs w:val="24"/>
                <w:lang w:eastAsia="pl-PL"/>
              </w:rPr>
              <w:t>/ 105829R</w:t>
            </w:r>
          </w:p>
        </w:tc>
      </w:tr>
      <w:tr w:rsidR="009C0153" w:rsidRPr="007C044B" w14:paraId="55073492" w14:textId="77777777" w:rsidTr="00EF515A">
        <w:trPr>
          <w:trHeight w:val="394"/>
        </w:trPr>
        <w:tc>
          <w:tcPr>
            <w:tcW w:w="1634" w:type="dxa"/>
            <w:tcBorders>
              <w:top w:val="nil"/>
              <w:left w:val="single" w:sz="4" w:space="0" w:color="auto"/>
              <w:bottom w:val="single" w:sz="4" w:space="0" w:color="auto"/>
              <w:right w:val="single" w:sz="4" w:space="0" w:color="auto"/>
            </w:tcBorders>
            <w:shd w:val="clear" w:color="000000" w:fill="FFFFFF"/>
            <w:noWrap/>
            <w:vAlign w:val="center"/>
          </w:tcPr>
          <w:p w14:paraId="5E18CF07" w14:textId="77777777" w:rsidR="009C0153" w:rsidRPr="009C0153" w:rsidRDefault="009C0153" w:rsidP="009C0153">
            <w:pPr>
              <w:spacing w:after="0" w:line="240" w:lineRule="auto"/>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Lokalizacja przejścia/</w:t>
            </w:r>
          </w:p>
          <w:p w14:paraId="78CB1B67" w14:textId="77777777" w:rsidR="009C0153" w:rsidRPr="009C0153" w:rsidRDefault="009C0153" w:rsidP="009C0153">
            <w:pPr>
              <w:spacing w:after="0" w:line="240" w:lineRule="auto"/>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kilometraż drogi</w:t>
            </w:r>
          </w:p>
        </w:tc>
        <w:tc>
          <w:tcPr>
            <w:tcW w:w="1422" w:type="dxa"/>
            <w:tcBorders>
              <w:top w:val="nil"/>
              <w:left w:val="nil"/>
              <w:bottom w:val="single" w:sz="4" w:space="0" w:color="auto"/>
              <w:right w:val="single" w:sz="4" w:space="0" w:color="auto"/>
            </w:tcBorders>
            <w:shd w:val="clear" w:color="auto" w:fill="FFFFFF"/>
            <w:noWrap/>
            <w:vAlign w:val="center"/>
          </w:tcPr>
          <w:p w14:paraId="1ECA08E4" w14:textId="77777777"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Obok Przedszkola Miejskiego nr 12/</w:t>
            </w:r>
          </w:p>
          <w:p w14:paraId="3ACE9FDC" w14:textId="47C3C3E8"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km 1+343</w:t>
            </w:r>
          </w:p>
        </w:tc>
        <w:tc>
          <w:tcPr>
            <w:tcW w:w="1849" w:type="dxa"/>
            <w:tcBorders>
              <w:top w:val="single" w:sz="4" w:space="0" w:color="auto"/>
              <w:left w:val="nil"/>
              <w:bottom w:val="single" w:sz="4" w:space="0" w:color="auto"/>
              <w:right w:val="single" w:sz="4" w:space="0" w:color="auto"/>
            </w:tcBorders>
            <w:shd w:val="clear" w:color="auto" w:fill="FFFFFF"/>
            <w:vAlign w:val="center"/>
          </w:tcPr>
          <w:p w14:paraId="6957999D" w14:textId="77777777"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Na wysokości Poczty Polskiej/</w:t>
            </w:r>
          </w:p>
          <w:p w14:paraId="46033E5B" w14:textId="60AD04A2"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km 0 + 471</w:t>
            </w:r>
          </w:p>
        </w:tc>
        <w:tc>
          <w:tcPr>
            <w:tcW w:w="1848" w:type="dxa"/>
            <w:tcBorders>
              <w:top w:val="nil"/>
              <w:left w:val="single" w:sz="4" w:space="0" w:color="auto"/>
              <w:bottom w:val="single" w:sz="4" w:space="0" w:color="auto"/>
              <w:right w:val="single" w:sz="4" w:space="0" w:color="auto"/>
            </w:tcBorders>
            <w:shd w:val="clear" w:color="auto" w:fill="FFFFFF"/>
            <w:noWrap/>
            <w:vAlign w:val="center"/>
          </w:tcPr>
          <w:p w14:paraId="1D777636" w14:textId="77777777"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Pomiędzy SP 3 a Świetlicą Środowiskową/</w:t>
            </w:r>
          </w:p>
          <w:p w14:paraId="012367C2" w14:textId="0AFEC0EC"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km 0+454</w:t>
            </w:r>
          </w:p>
        </w:tc>
        <w:tc>
          <w:tcPr>
            <w:tcW w:w="1706" w:type="dxa"/>
            <w:tcBorders>
              <w:top w:val="single" w:sz="4" w:space="0" w:color="auto"/>
              <w:left w:val="nil"/>
              <w:bottom w:val="single" w:sz="4" w:space="0" w:color="auto"/>
              <w:right w:val="single" w:sz="4" w:space="0" w:color="auto"/>
            </w:tcBorders>
            <w:shd w:val="clear" w:color="auto" w:fill="FFFFFF"/>
            <w:vAlign w:val="center"/>
          </w:tcPr>
          <w:p w14:paraId="16FD91F4" w14:textId="77777777"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Na wysokości Sklepu Jubilata</w:t>
            </w:r>
          </w:p>
          <w:p w14:paraId="0C000300" w14:textId="18D4E98D"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km 0+487</w:t>
            </w:r>
          </w:p>
        </w:tc>
        <w:tc>
          <w:tcPr>
            <w:tcW w:w="1706" w:type="dxa"/>
            <w:tcBorders>
              <w:top w:val="nil"/>
              <w:left w:val="single" w:sz="4" w:space="0" w:color="auto"/>
              <w:bottom w:val="single" w:sz="4" w:space="0" w:color="auto"/>
              <w:right w:val="single" w:sz="4" w:space="0" w:color="auto"/>
            </w:tcBorders>
            <w:shd w:val="clear" w:color="auto" w:fill="FFFFFF"/>
            <w:noWrap/>
            <w:vAlign w:val="center"/>
          </w:tcPr>
          <w:p w14:paraId="04A33C7A" w14:textId="77777777"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Na wysokości Urzędu Pracy/</w:t>
            </w:r>
          </w:p>
          <w:p w14:paraId="7D5C326B" w14:textId="0553BCB6" w:rsidR="009C0153" w:rsidRPr="009C0153" w:rsidRDefault="009C0153" w:rsidP="009C0153">
            <w:pPr>
              <w:spacing w:after="0" w:line="240" w:lineRule="auto"/>
              <w:jc w:val="center"/>
              <w:rPr>
                <w:rFonts w:ascii="Source Sans Pro" w:eastAsia="Times New Roman" w:hAnsi="Source Sans Pro" w:cs="Calibri"/>
                <w:color w:val="000000"/>
                <w:sz w:val="24"/>
                <w:szCs w:val="24"/>
                <w:lang w:eastAsia="pl-PL"/>
              </w:rPr>
            </w:pPr>
            <w:r w:rsidRPr="009C0153">
              <w:rPr>
                <w:rFonts w:ascii="Source Sans Pro" w:eastAsia="Times New Roman" w:hAnsi="Source Sans Pro" w:cs="Calibri"/>
                <w:color w:val="000000"/>
                <w:sz w:val="24"/>
                <w:szCs w:val="24"/>
                <w:lang w:eastAsia="pl-PL"/>
              </w:rPr>
              <w:t>km 1+034</w:t>
            </w:r>
          </w:p>
        </w:tc>
      </w:tr>
    </w:tbl>
    <w:p w14:paraId="1E1FADEE" w14:textId="77777777" w:rsidR="003A34EF" w:rsidRDefault="003A34EF" w:rsidP="00B97413">
      <w:pPr>
        <w:jc w:val="both"/>
        <w:rPr>
          <w:rFonts w:ascii="Source Sans Pro" w:hAnsi="Source Sans Pro"/>
          <w:sz w:val="24"/>
          <w:szCs w:val="24"/>
        </w:rPr>
      </w:pPr>
    </w:p>
    <w:p w14:paraId="208962C9" w14:textId="624F7A9C" w:rsidR="00B97413" w:rsidRPr="00B97413" w:rsidRDefault="00B97413" w:rsidP="00B97413">
      <w:pPr>
        <w:jc w:val="both"/>
        <w:rPr>
          <w:rFonts w:ascii="Source Sans Pro" w:hAnsi="Source Sans Pro"/>
          <w:sz w:val="24"/>
          <w:szCs w:val="24"/>
        </w:rPr>
      </w:pPr>
      <w:r w:rsidRPr="00B97413">
        <w:rPr>
          <w:rFonts w:ascii="Source Sans Pro" w:hAnsi="Source Sans Pro"/>
          <w:sz w:val="24"/>
          <w:szCs w:val="24"/>
        </w:rPr>
        <w:t>Zakres prac:</w:t>
      </w:r>
    </w:p>
    <w:p w14:paraId="6A0E0F64" w14:textId="0C462699" w:rsidR="00B97413" w:rsidRPr="00B97413" w:rsidRDefault="00B97413" w:rsidP="00B97413">
      <w:pPr>
        <w:spacing w:before="80" w:after="0"/>
        <w:jc w:val="both"/>
        <w:rPr>
          <w:rFonts w:ascii="Source Sans Pro" w:hAnsi="Source Sans Pro" w:cs="Times New Roman"/>
          <w:b/>
          <w:sz w:val="24"/>
          <w:szCs w:val="24"/>
        </w:rPr>
      </w:pPr>
      <w:r w:rsidRPr="00B97413">
        <w:rPr>
          <w:rFonts w:ascii="Source Sans Pro" w:hAnsi="Source Sans Pro"/>
          <w:sz w:val="24"/>
          <w:szCs w:val="24"/>
        </w:rPr>
        <w:t xml:space="preserve">opracowanie dokumentacji technicznej zgodnie z obowiązującymi przepisami umożliwiającej wykonanie doświetlenia ww. przejść dla pieszych, wg wytycznych dostępnych na stronie </w:t>
      </w:r>
      <w:hyperlink r:id="rId5" w:history="1">
        <w:r w:rsidR="005A4D06" w:rsidRPr="001A12BD">
          <w:rPr>
            <w:rStyle w:val="Hipercze"/>
            <w:rFonts w:ascii="Source Sans Pro" w:hAnsi="Source Sans Pro" w:cs="Times New Roman"/>
            <w:sz w:val="24"/>
            <w:szCs w:val="24"/>
          </w:rPr>
          <w:t>https://www.gov.pl/web/infrastruktura/wr-d</w:t>
        </w:r>
      </w:hyperlink>
      <w:r w:rsidR="005A4D06">
        <w:rPr>
          <w:rFonts w:ascii="Source Sans Pro" w:hAnsi="Source Sans Pro" w:cs="Times New Roman"/>
          <w:sz w:val="24"/>
          <w:szCs w:val="24"/>
        </w:rPr>
        <w:t xml:space="preserve">, </w:t>
      </w:r>
      <w:r w:rsidR="005A4D06">
        <w:rPr>
          <w:rFonts w:ascii="Source Sans Pro" w:hAnsi="Source Sans Pro"/>
          <w:sz w:val="24"/>
          <w:szCs w:val="24"/>
        </w:rPr>
        <w:t>wykonanie aktywnego oznakowania drogowego, wykonanie nawierzchni antypoślizgowych wraz z pozostałymi pracami w zakresie oznakowania i przebudowy elementów pasa drogowego.</w:t>
      </w:r>
    </w:p>
    <w:p w14:paraId="024B9370" w14:textId="38715F32" w:rsidR="00B97413" w:rsidRPr="00B97413" w:rsidRDefault="00B97413" w:rsidP="00B97413">
      <w:pPr>
        <w:pStyle w:val="Akapitzlist"/>
        <w:jc w:val="both"/>
        <w:rPr>
          <w:rFonts w:ascii="Source Sans Pro" w:hAnsi="Source Sans Pro"/>
          <w:sz w:val="24"/>
          <w:szCs w:val="24"/>
        </w:rPr>
      </w:pPr>
    </w:p>
    <w:p w14:paraId="70F3E4E7" w14:textId="77777777"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dokumentacja winna zawierać wszelkie uzgodnienia i pozwolenia niezbędne do wykonania ww. prac, </w:t>
      </w:r>
    </w:p>
    <w:p w14:paraId="753B7607" w14:textId="72AEFCC7"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lastRenderedPageBreak/>
        <w:t xml:space="preserve">wykonanie muf kablowych do 1kV na istniejących kablach oświetleniowych aluminiowych lub miedzianych, </w:t>
      </w:r>
    </w:p>
    <w:p w14:paraId="6833863A" w14:textId="77777777" w:rsidR="00B97413" w:rsidRP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uzupełnianie istniejących kabli miedzianych oraz aluminiowych, </w:t>
      </w:r>
    </w:p>
    <w:p w14:paraId="5ECCEB1A" w14:textId="63093123"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w:t>
      </w:r>
      <w:proofErr w:type="spellStart"/>
      <w:r w:rsidRPr="00B97413">
        <w:rPr>
          <w:rFonts w:ascii="Source Sans Pro" w:hAnsi="Source Sans Pro"/>
          <w:sz w:val="24"/>
          <w:szCs w:val="24"/>
        </w:rPr>
        <w:t>przecisków</w:t>
      </w:r>
      <w:proofErr w:type="spellEnd"/>
      <w:r w:rsidRPr="00B97413">
        <w:rPr>
          <w:rFonts w:ascii="Source Sans Pro" w:hAnsi="Source Sans Pro"/>
          <w:sz w:val="24"/>
          <w:szCs w:val="24"/>
        </w:rPr>
        <w:t xml:space="preserve"> pod jezdniami, zabezpieczenie projektowanych kabli oraz istniejącej podziemnej infrastruktury technicznej, rurami osłonowymi o  średnicy</w:t>
      </w:r>
      <w:r>
        <w:rPr>
          <w:rFonts w:ascii="Source Sans Pro" w:hAnsi="Source Sans Pro"/>
          <w:sz w:val="24"/>
          <w:szCs w:val="24"/>
        </w:rPr>
        <w:t xml:space="preserve"> 125</w:t>
      </w:r>
      <w:r w:rsidR="00FC3651">
        <w:rPr>
          <w:rFonts w:ascii="Source Sans Pro" w:hAnsi="Source Sans Pro"/>
          <w:sz w:val="24"/>
          <w:szCs w:val="24"/>
        </w:rPr>
        <w:t>mm</w:t>
      </w:r>
      <w:r w:rsidRPr="00B97413">
        <w:rPr>
          <w:rFonts w:ascii="Source Sans Pro" w:hAnsi="Source Sans Pro"/>
          <w:sz w:val="24"/>
          <w:szCs w:val="24"/>
        </w:rPr>
        <w:t xml:space="preserve">, </w:t>
      </w:r>
    </w:p>
    <w:p w14:paraId="181B5F94" w14:textId="274D7EE0"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wykonanie wykopów i rowów pod kable</w:t>
      </w:r>
      <w:r>
        <w:rPr>
          <w:rFonts w:ascii="Source Sans Pro" w:hAnsi="Source Sans Pro"/>
          <w:sz w:val="24"/>
          <w:szCs w:val="24"/>
        </w:rPr>
        <w:t>, kanał technologiczny, studnie kablowe</w:t>
      </w:r>
      <w:r w:rsidRPr="00B97413">
        <w:rPr>
          <w:rFonts w:ascii="Source Sans Pro" w:hAnsi="Source Sans Pro"/>
          <w:sz w:val="24"/>
          <w:szCs w:val="24"/>
        </w:rPr>
        <w:t xml:space="preserve"> i fundamenty, </w:t>
      </w:r>
    </w:p>
    <w:p w14:paraId="32B346CC" w14:textId="2AA56CD9"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układanie ręczne kabli miedzianych wielożyłowych w ziemi</w:t>
      </w:r>
      <w:r>
        <w:rPr>
          <w:rFonts w:ascii="Source Sans Pro" w:hAnsi="Source Sans Pro"/>
          <w:sz w:val="24"/>
          <w:szCs w:val="24"/>
        </w:rPr>
        <w:t xml:space="preserve"> i w kanale technologicznym</w:t>
      </w:r>
      <w:r w:rsidRPr="00B97413">
        <w:rPr>
          <w:rFonts w:ascii="Source Sans Pro" w:hAnsi="Source Sans Pro"/>
          <w:sz w:val="24"/>
          <w:szCs w:val="24"/>
        </w:rPr>
        <w:t>,</w:t>
      </w:r>
    </w:p>
    <w:p w14:paraId="4974C169" w14:textId="01C2D657"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w:t>
      </w:r>
      <w:proofErr w:type="spellStart"/>
      <w:r>
        <w:rPr>
          <w:rFonts w:ascii="Source Sans Pro" w:hAnsi="Source Sans Pro"/>
          <w:sz w:val="24"/>
          <w:szCs w:val="24"/>
        </w:rPr>
        <w:t>wlz</w:t>
      </w:r>
      <w:proofErr w:type="spellEnd"/>
      <w:r>
        <w:rPr>
          <w:rFonts w:ascii="Source Sans Pro" w:hAnsi="Source Sans Pro"/>
          <w:sz w:val="24"/>
          <w:szCs w:val="24"/>
        </w:rPr>
        <w:t>-</w:t>
      </w:r>
      <w:r w:rsidRPr="00B97413">
        <w:rPr>
          <w:rFonts w:ascii="Source Sans Pro" w:hAnsi="Source Sans Pro"/>
          <w:sz w:val="24"/>
          <w:szCs w:val="24"/>
        </w:rPr>
        <w:t xml:space="preserve">ów zasilających poszczególne oprawy, – montaż typowych fundamentów prefabrykowanych do słupów wg. zaleceń producenta, </w:t>
      </w:r>
    </w:p>
    <w:p w14:paraId="1271EB27" w14:textId="49B9299B"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słupów oświetleniowych stalowych ocynkowanych o podwyższonej wytrzymałości wraz z odpowiednim wysięgnikiem, </w:t>
      </w:r>
    </w:p>
    <w:p w14:paraId="5680E6FF" w14:textId="5F7E0CED"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zabezpieczenia antykorozyjnego słupa i fundamentu, </w:t>
      </w:r>
    </w:p>
    <w:p w14:paraId="526D43A2" w14:textId="3A42470E"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tabliczek bezpiecznikowych, </w:t>
      </w:r>
    </w:p>
    <w:p w14:paraId="742E0674" w14:textId="1BACB71C"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palczatek termokurczliwych, </w:t>
      </w:r>
    </w:p>
    <w:p w14:paraId="528BB9D6" w14:textId="4BF96A8A"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opraw dedykowanych do oświetlenia przejścia dla pieszych, </w:t>
      </w:r>
    </w:p>
    <w:p w14:paraId="5A850DD7" w14:textId="3A7900E8"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podłączenie do sieci oświetleniowej</w:t>
      </w:r>
      <w:r>
        <w:rPr>
          <w:rFonts w:ascii="Source Sans Pro" w:hAnsi="Source Sans Pro"/>
          <w:sz w:val="24"/>
          <w:szCs w:val="24"/>
        </w:rPr>
        <w:t xml:space="preserve"> lub do</w:t>
      </w:r>
      <w:r w:rsidR="002C39F9">
        <w:rPr>
          <w:rFonts w:ascii="Source Sans Pro" w:hAnsi="Source Sans Pro"/>
          <w:sz w:val="24"/>
          <w:szCs w:val="24"/>
        </w:rPr>
        <w:t xml:space="preserve"> punktu wskazanego w warunkach przyłączenia (układ pomiarowy w pasie drogowym)</w:t>
      </w:r>
      <w:r>
        <w:rPr>
          <w:rFonts w:ascii="Source Sans Pro" w:hAnsi="Source Sans Pro"/>
          <w:sz w:val="24"/>
          <w:szCs w:val="24"/>
        </w:rPr>
        <w:t xml:space="preserve"> </w:t>
      </w:r>
      <w:r w:rsidRPr="00B97413">
        <w:rPr>
          <w:rFonts w:ascii="Source Sans Pro" w:hAnsi="Source Sans Pro"/>
          <w:sz w:val="24"/>
          <w:szCs w:val="24"/>
        </w:rPr>
        <w:t xml:space="preserve">, </w:t>
      </w:r>
    </w:p>
    <w:p w14:paraId="12D178B2" w14:textId="4F2496C7" w:rsidR="00B97413"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montaż uziomu prętowego pionowego, </w:t>
      </w:r>
    </w:p>
    <w:p w14:paraId="504F9AFF" w14:textId="194C55AE" w:rsidR="002C39F9" w:rsidRPr="002C39F9" w:rsidRDefault="00B97413" w:rsidP="00B97413">
      <w:pPr>
        <w:pStyle w:val="Akapitzlist"/>
        <w:numPr>
          <w:ilvl w:val="0"/>
          <w:numId w:val="4"/>
        </w:numPr>
        <w:jc w:val="both"/>
        <w:rPr>
          <w:rFonts w:ascii="Source Sans Pro" w:hAnsi="Source Sans Pro"/>
          <w:sz w:val="24"/>
          <w:szCs w:val="24"/>
        </w:rPr>
      </w:pPr>
      <w:r w:rsidRPr="00B97413">
        <w:rPr>
          <w:rFonts w:ascii="Source Sans Pro" w:hAnsi="Source Sans Pro"/>
          <w:sz w:val="24"/>
          <w:szCs w:val="24"/>
        </w:rPr>
        <w:t xml:space="preserve">wykonanie niezbędnych pomiarów i badań oraz innych czynności mających na celu </w:t>
      </w:r>
      <w:r w:rsidRPr="002C39F9">
        <w:rPr>
          <w:rFonts w:ascii="Source Sans Pro" w:hAnsi="Source Sans Pro"/>
          <w:sz w:val="24"/>
          <w:szCs w:val="24"/>
        </w:rPr>
        <w:t xml:space="preserve">sprawne funkcjonowanie ww. urządzeń, </w:t>
      </w:r>
    </w:p>
    <w:p w14:paraId="00E0D37B" w14:textId="5DC75042" w:rsidR="00B97413" w:rsidRDefault="00B97413"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dostarczeniu pełnej dokumentacji powykonawczej</w:t>
      </w:r>
      <w:r w:rsidR="002C39F9" w:rsidRPr="002C39F9">
        <w:rPr>
          <w:rFonts w:ascii="Source Sans Pro" w:hAnsi="Source Sans Pro"/>
          <w:sz w:val="24"/>
          <w:szCs w:val="24"/>
        </w:rPr>
        <w:t>,</w:t>
      </w:r>
    </w:p>
    <w:p w14:paraId="425EE8DD" w14:textId="77B466A2" w:rsidR="000C4BC1" w:rsidRDefault="000C4BC1" w:rsidP="00B97413">
      <w:pPr>
        <w:pStyle w:val="Akapitzlist"/>
        <w:numPr>
          <w:ilvl w:val="0"/>
          <w:numId w:val="4"/>
        </w:numPr>
        <w:jc w:val="both"/>
        <w:rPr>
          <w:rFonts w:ascii="Source Sans Pro" w:hAnsi="Source Sans Pro"/>
          <w:sz w:val="24"/>
          <w:szCs w:val="24"/>
        </w:rPr>
      </w:pPr>
      <w:proofErr w:type="spellStart"/>
      <w:r>
        <w:rPr>
          <w:rFonts w:ascii="Source Sans Pro" w:hAnsi="Source Sans Pro"/>
          <w:sz w:val="24"/>
          <w:szCs w:val="24"/>
        </w:rPr>
        <w:t>uszorstnienie</w:t>
      </w:r>
      <w:proofErr w:type="spellEnd"/>
      <w:r>
        <w:rPr>
          <w:rFonts w:ascii="Source Sans Pro" w:hAnsi="Source Sans Pro"/>
          <w:sz w:val="24"/>
          <w:szCs w:val="24"/>
        </w:rPr>
        <w:t xml:space="preserve"> nawierzchni na drogach pod wykonanie nawierzchni antypoślizgowej poprzez frezowanie i śrutowanie,</w:t>
      </w:r>
    </w:p>
    <w:p w14:paraId="77D6A8BB" w14:textId="41BB7487" w:rsidR="000C4BC1" w:rsidRPr="002C39F9" w:rsidRDefault="000C4BC1" w:rsidP="00B97413">
      <w:pPr>
        <w:pStyle w:val="Akapitzlist"/>
        <w:numPr>
          <w:ilvl w:val="0"/>
          <w:numId w:val="4"/>
        </w:numPr>
        <w:jc w:val="both"/>
        <w:rPr>
          <w:rFonts w:ascii="Source Sans Pro" w:hAnsi="Source Sans Pro"/>
          <w:sz w:val="24"/>
          <w:szCs w:val="24"/>
        </w:rPr>
      </w:pPr>
      <w:r>
        <w:rPr>
          <w:rFonts w:ascii="Source Sans Pro" w:hAnsi="Source Sans Pro"/>
          <w:sz w:val="24"/>
          <w:szCs w:val="24"/>
        </w:rPr>
        <w:t>wykonanie nawierzchni antypoślizgowej z kruszywem boksytowym w lepiszczu poliuretanowym o grubości do 3mm,</w:t>
      </w:r>
    </w:p>
    <w:p w14:paraId="24CEA079" w14:textId="3CB1A6D1" w:rsidR="002C39F9" w:rsidRPr="002C39F9" w:rsidRDefault="002C39F9"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 xml:space="preserve">wykonanie oznakowania poziomego grubowarstwowego wraz z płytami integracyjnymi, </w:t>
      </w:r>
    </w:p>
    <w:p w14:paraId="1BA841AF" w14:textId="52511425" w:rsidR="002C39F9" w:rsidRPr="002C39F9" w:rsidRDefault="002C39F9"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ustawienie aktywnego oznakowania pionowego</w:t>
      </w:r>
      <w:r>
        <w:rPr>
          <w:rFonts w:ascii="Source Sans Pro" w:hAnsi="Source Sans Pro"/>
          <w:sz w:val="24"/>
          <w:szCs w:val="24"/>
        </w:rPr>
        <w:t xml:space="preserve"> D-6 SING FLASH</w:t>
      </w:r>
      <w:r w:rsidRPr="002C39F9">
        <w:rPr>
          <w:rFonts w:ascii="Source Sans Pro" w:hAnsi="Source Sans Pro"/>
          <w:sz w:val="24"/>
          <w:szCs w:val="24"/>
        </w:rPr>
        <w:t>,</w:t>
      </w:r>
      <w:r>
        <w:rPr>
          <w:rFonts w:ascii="Source Sans Pro" w:hAnsi="Source Sans Pro"/>
          <w:sz w:val="24"/>
          <w:szCs w:val="24"/>
        </w:rPr>
        <w:t xml:space="preserve"> z detekcją ruchu</w:t>
      </w:r>
      <w:r w:rsidR="00C3165D">
        <w:rPr>
          <w:rFonts w:ascii="Source Sans Pro" w:hAnsi="Source Sans Pro"/>
          <w:sz w:val="24"/>
          <w:szCs w:val="24"/>
        </w:rPr>
        <w:t>,</w:t>
      </w:r>
    </w:p>
    <w:p w14:paraId="2183AAD8" w14:textId="67980D5C" w:rsidR="002C39F9" w:rsidRPr="002C39F9" w:rsidRDefault="00C3165D" w:rsidP="00B97413">
      <w:pPr>
        <w:pStyle w:val="Akapitzlist"/>
        <w:numPr>
          <w:ilvl w:val="0"/>
          <w:numId w:val="4"/>
        </w:numPr>
        <w:jc w:val="both"/>
        <w:rPr>
          <w:rFonts w:ascii="Source Sans Pro" w:hAnsi="Source Sans Pro"/>
          <w:sz w:val="24"/>
          <w:szCs w:val="24"/>
        </w:rPr>
      </w:pPr>
      <w:r>
        <w:rPr>
          <w:rFonts w:ascii="Source Sans Pro" w:hAnsi="Source Sans Pro"/>
          <w:sz w:val="24"/>
          <w:szCs w:val="24"/>
        </w:rPr>
        <w:t>przebudowę</w:t>
      </w:r>
      <w:r w:rsidR="002C39F9" w:rsidRPr="002C39F9">
        <w:rPr>
          <w:rFonts w:ascii="Source Sans Pro" w:hAnsi="Source Sans Pro"/>
          <w:sz w:val="24"/>
          <w:szCs w:val="24"/>
        </w:rPr>
        <w:t xml:space="preserve"> chodnika przy przejściu dla pieszych, </w:t>
      </w:r>
    </w:p>
    <w:p w14:paraId="1B3F1AE0" w14:textId="630EC54C" w:rsidR="00EE7788" w:rsidRDefault="002C39F9" w:rsidP="00B97413">
      <w:pPr>
        <w:pStyle w:val="Akapitzlist"/>
        <w:numPr>
          <w:ilvl w:val="0"/>
          <w:numId w:val="4"/>
        </w:numPr>
        <w:jc w:val="both"/>
        <w:rPr>
          <w:rFonts w:ascii="Source Sans Pro" w:hAnsi="Source Sans Pro"/>
          <w:sz w:val="24"/>
          <w:szCs w:val="24"/>
        </w:rPr>
      </w:pPr>
      <w:r w:rsidRPr="002C39F9">
        <w:rPr>
          <w:rFonts w:ascii="Source Sans Pro" w:hAnsi="Source Sans Pro"/>
          <w:sz w:val="24"/>
          <w:szCs w:val="24"/>
        </w:rPr>
        <w:t xml:space="preserve">wykonanie pomiarów ochronnych, </w:t>
      </w:r>
    </w:p>
    <w:p w14:paraId="030F426A" w14:textId="48B3F171" w:rsidR="002C39F9" w:rsidRDefault="00FC3651" w:rsidP="00B97413">
      <w:pPr>
        <w:pStyle w:val="Akapitzlist"/>
        <w:numPr>
          <w:ilvl w:val="0"/>
          <w:numId w:val="4"/>
        </w:numPr>
        <w:jc w:val="both"/>
        <w:rPr>
          <w:rFonts w:ascii="Source Sans Pro" w:hAnsi="Source Sans Pro"/>
          <w:sz w:val="24"/>
          <w:szCs w:val="24"/>
        </w:rPr>
      </w:pPr>
      <w:r>
        <w:rPr>
          <w:rFonts w:ascii="Source Sans Pro" w:hAnsi="Source Sans Pro"/>
          <w:sz w:val="24"/>
          <w:szCs w:val="24"/>
        </w:rPr>
        <w:t>w</w:t>
      </w:r>
      <w:r w:rsidR="002C39F9" w:rsidRPr="002C39F9">
        <w:rPr>
          <w:rFonts w:ascii="Source Sans Pro" w:hAnsi="Source Sans Pro"/>
          <w:sz w:val="24"/>
          <w:szCs w:val="24"/>
        </w:rPr>
        <w:t>ykonanie pomiarów fotometrycznych</w:t>
      </w:r>
      <w:r w:rsidR="00EE7788">
        <w:rPr>
          <w:rFonts w:ascii="Source Sans Pro" w:hAnsi="Source Sans Pro"/>
          <w:sz w:val="24"/>
          <w:szCs w:val="24"/>
        </w:rPr>
        <w:t>.</w:t>
      </w:r>
    </w:p>
    <w:p w14:paraId="4E263939" w14:textId="6126E8A3" w:rsidR="00EE7788" w:rsidRDefault="00EE7788" w:rsidP="00E30A8D">
      <w:pPr>
        <w:ind w:firstLine="360"/>
        <w:jc w:val="both"/>
        <w:rPr>
          <w:rFonts w:ascii="Source Sans Pro" w:hAnsi="Source Sans Pro"/>
          <w:sz w:val="24"/>
          <w:szCs w:val="24"/>
        </w:rPr>
      </w:pPr>
      <w:r w:rsidRPr="00EE7788">
        <w:rPr>
          <w:rFonts w:ascii="Source Sans Pro" w:hAnsi="Source Sans Pro"/>
          <w:sz w:val="24"/>
          <w:szCs w:val="24"/>
        </w:rPr>
        <w:t>Wszystkie prace związane z podłączeniem do miejskiej sieci oświetleniowej należy uzgodnić z obecnym konserwatorem oświetlenia ulicznego i realizować zgodnie z aktualnymi warunkami technicznymi. Po wykonaniu inwestycji należy wykonać pełną dokumentację powykonawczą wraz z deklaracjami użytych materiałów. Wszystkie stosowane elementy muszą posiadać odpowiednie atesty i certyfikaty dopuszczające do ich stosowania</w:t>
      </w:r>
      <w:r>
        <w:rPr>
          <w:rFonts w:ascii="Source Sans Pro" w:hAnsi="Source Sans Pro"/>
          <w:sz w:val="24"/>
          <w:szCs w:val="24"/>
        </w:rPr>
        <w:t>.</w:t>
      </w:r>
    </w:p>
    <w:p w14:paraId="4AC011F7" w14:textId="77777777" w:rsidR="003A34EF" w:rsidRDefault="003A34EF" w:rsidP="00EE7788">
      <w:pPr>
        <w:ind w:firstLine="360"/>
        <w:jc w:val="both"/>
        <w:rPr>
          <w:rFonts w:ascii="Source Sans Pro" w:hAnsi="Source Sans Pro"/>
          <w:sz w:val="24"/>
          <w:szCs w:val="24"/>
        </w:rPr>
      </w:pPr>
    </w:p>
    <w:p w14:paraId="3BD0CAC5" w14:textId="40605595" w:rsidR="00EE7788" w:rsidRPr="00EE7788" w:rsidRDefault="00EE7788" w:rsidP="00EE7788">
      <w:pPr>
        <w:ind w:firstLine="360"/>
        <w:jc w:val="both"/>
        <w:rPr>
          <w:rFonts w:ascii="Source Sans Pro" w:hAnsi="Source Sans Pro"/>
          <w:sz w:val="24"/>
          <w:szCs w:val="24"/>
        </w:rPr>
      </w:pPr>
      <w:r w:rsidRPr="00EE7788">
        <w:rPr>
          <w:rFonts w:ascii="Source Sans Pro" w:hAnsi="Source Sans Pro"/>
          <w:sz w:val="24"/>
          <w:szCs w:val="24"/>
        </w:rPr>
        <w:lastRenderedPageBreak/>
        <w:t>Aktualne uwarunkowania</w:t>
      </w:r>
    </w:p>
    <w:p w14:paraId="735703E9" w14:textId="2837A649" w:rsidR="00B97413" w:rsidRPr="00EE7788" w:rsidRDefault="00EE7788" w:rsidP="004B6AC4">
      <w:pPr>
        <w:ind w:firstLine="708"/>
        <w:jc w:val="both"/>
        <w:rPr>
          <w:rFonts w:ascii="Source Sans Pro" w:hAnsi="Source Sans Pro"/>
          <w:sz w:val="24"/>
          <w:szCs w:val="24"/>
        </w:rPr>
      </w:pPr>
      <w:r w:rsidRPr="00EE7788">
        <w:rPr>
          <w:rFonts w:ascii="Source Sans Pro" w:hAnsi="Source Sans Pro"/>
          <w:sz w:val="24"/>
          <w:szCs w:val="24"/>
        </w:rPr>
        <w:t>Poruszając się po zmroku korzystamy z zastępczego źródła światła. Może nim być księżyc w pełni lub latarka w ręku. Jadąc samochodem po drodze, oświetlamy ją światłami własnego pojazdu. Gdy jesteśmy jedynymi jej użytkownikami włączamy światła długie i zyskujemy bardzo dobre warunki do poruszania się. Sytuacja się zmienia, gdy pojawiają się pojazdy z naprzeciwka. Po pierwsze jesteśmy wtedy zmuszeni do zmiany świateł na krótkie, po drugie światła nadjeżdżającego pojazdu wpływają na zmianę stanu adaptacji naszych oczu. W skrócie, gdy jedziemy sami przy światłach długich, mamy stałe warunki oświetleniowe, do których wzrok się przyzwyczaja i możemy mówić wtedy o pewnym komforcie jazdy. Gdy nadjeżdżają pojazdy z naprzeciwka, to ich światła wywołują olśnienie i nasz wzrok jest zmuszany do reakcji. Światła te wywołują zwężenie źrenic kierowcy, przez co automatycznie droga, po której jedziemy staje się ciemniejsza. Dlatego w sytuacji pojawienia się przeszkody na drodze maleje szansa na odpowiednio wczesne jej zauważenie. Im większy ruch na drodze i więcej źródeł olśnienia z przodu i we wstecznym lusterku, tym gorzej widzimy i łatwiej o wypadek. Wpływa to również na szybsze zmęczenie kierowcy. Wyjściem z tej sytuacji jest wprowadzenie oświetlenia sztucznego drogi. Wówczas radykalnie zmieniają się warunki adaptacyjne kierowcy. Nasze oczy otrzymują lepszą możliwość obserwacji drogi, a światła z innych pojazdów już nie wywołują takiego olśnienia. Bezpieczeństwo na drodze zwiększa się przez prowadzenie wzrokowe. Oprawy oświetleniowe zawieszone nad drogą dają kierowcy dodatkową informację o kierunku drogi. W ostatnim czasie podniesiono kwestie związane z bezpieczeństwem na drodze i stwierdzono, iż przejścia dla pieszych nie objęte sygnalizacją świetlną powinny być oświetlane innym rodzajem oświetlenia. Może to być zrealizowane na przykład oprawami wieszanymi na innej wysokości lub wyposażonymi w źródła o innej barwie światła (np. metalohalogenkowej). Wówczas kierowca już z dużym wyprzedzeniem ma informację o kierunku jazdy i zbliżającej się przeszkodzie. Takie rozwiązanie również znalazło odzwierciedlenie w działaniach podejmowanych przez Gminę. W związku z powyższym podjęte zostały działania w celu kontynuacji akcji „Bezpieczne przejście dla pieszych” w której spośród zgłoszeń mieszkańców wraz z Wydziałem Ruchu Drogowego KPP wytypowano przejścia do dodatkowego oświetlenia zgodnie z tabelką nr 1.</w:t>
      </w:r>
    </w:p>
    <w:p w14:paraId="3122AC4C" w14:textId="77777777" w:rsidR="00EE7788" w:rsidRPr="00EE7788" w:rsidRDefault="00EE7788" w:rsidP="00EE7788">
      <w:pPr>
        <w:jc w:val="both"/>
        <w:rPr>
          <w:rFonts w:ascii="Source Sans Pro" w:hAnsi="Source Sans Pro"/>
          <w:sz w:val="24"/>
          <w:szCs w:val="24"/>
        </w:rPr>
      </w:pPr>
    </w:p>
    <w:p w14:paraId="649A1BAE" w14:textId="1A38B1A9" w:rsidR="00EE7788" w:rsidRPr="00EE7788" w:rsidRDefault="00EE7788" w:rsidP="00EE7788">
      <w:pPr>
        <w:jc w:val="both"/>
        <w:rPr>
          <w:rFonts w:ascii="Source Sans Pro" w:hAnsi="Source Sans Pro"/>
          <w:sz w:val="24"/>
          <w:szCs w:val="24"/>
        </w:rPr>
      </w:pPr>
      <w:r w:rsidRPr="00EE7788">
        <w:rPr>
          <w:rFonts w:ascii="Source Sans Pro" w:hAnsi="Source Sans Pro"/>
          <w:sz w:val="24"/>
          <w:szCs w:val="24"/>
        </w:rPr>
        <w:t>Ogólne właściwości funkcjonalno-użytkowe</w:t>
      </w:r>
    </w:p>
    <w:p w14:paraId="0C044FE7" w14:textId="00E4BE17" w:rsidR="00EE7788" w:rsidRDefault="00EE7788" w:rsidP="00EE7788">
      <w:pPr>
        <w:ind w:firstLine="708"/>
        <w:jc w:val="both"/>
        <w:rPr>
          <w:rFonts w:ascii="Source Sans Pro" w:hAnsi="Source Sans Pro"/>
          <w:sz w:val="24"/>
          <w:szCs w:val="24"/>
        </w:rPr>
      </w:pPr>
      <w:r w:rsidRPr="00EE7788">
        <w:rPr>
          <w:rFonts w:ascii="Source Sans Pro" w:hAnsi="Source Sans Pro"/>
          <w:sz w:val="24"/>
          <w:szCs w:val="24"/>
        </w:rPr>
        <w:t>Projektowane doświetlenia należy wykonać zgodnie z</w:t>
      </w:r>
      <w:r>
        <w:rPr>
          <w:rFonts w:ascii="Source Sans Pro" w:hAnsi="Source Sans Pro"/>
          <w:sz w:val="24"/>
          <w:szCs w:val="24"/>
        </w:rPr>
        <w:t xml:space="preserve"> WR-D-41-4,</w:t>
      </w:r>
      <w:r w:rsidRPr="00EE7788">
        <w:rPr>
          <w:rFonts w:ascii="Source Sans Pro" w:hAnsi="Source Sans Pro"/>
          <w:sz w:val="24"/>
          <w:szCs w:val="24"/>
        </w:rPr>
        <w:t xml:space="preserve"> warunkami </w:t>
      </w:r>
      <w:r>
        <w:rPr>
          <w:rFonts w:ascii="Source Sans Pro" w:hAnsi="Source Sans Pro"/>
          <w:sz w:val="24"/>
          <w:szCs w:val="24"/>
        </w:rPr>
        <w:t>Wydziału Infrastruktury</w:t>
      </w:r>
      <w:r w:rsidRPr="00EE7788">
        <w:rPr>
          <w:rFonts w:ascii="Source Sans Pro" w:hAnsi="Source Sans Pro"/>
          <w:sz w:val="24"/>
          <w:szCs w:val="24"/>
        </w:rPr>
        <w:t xml:space="preserve"> Miejski</w:t>
      </w:r>
      <w:r>
        <w:rPr>
          <w:rFonts w:ascii="Source Sans Pro" w:hAnsi="Source Sans Pro"/>
          <w:sz w:val="24"/>
          <w:szCs w:val="24"/>
        </w:rPr>
        <w:t>ej</w:t>
      </w:r>
      <w:r w:rsidRPr="00EE7788">
        <w:rPr>
          <w:rFonts w:ascii="Source Sans Pro" w:hAnsi="Source Sans Pro"/>
          <w:sz w:val="24"/>
          <w:szCs w:val="24"/>
        </w:rPr>
        <w:t xml:space="preserve"> Urzędu Miejskiego w </w:t>
      </w:r>
      <w:r>
        <w:rPr>
          <w:rFonts w:ascii="Source Sans Pro" w:hAnsi="Source Sans Pro"/>
          <w:sz w:val="24"/>
          <w:szCs w:val="24"/>
        </w:rPr>
        <w:t>Dębicy</w:t>
      </w:r>
      <w:r w:rsidRPr="00EE7788">
        <w:rPr>
          <w:rFonts w:ascii="Source Sans Pro" w:hAnsi="Source Sans Pro"/>
          <w:sz w:val="24"/>
          <w:szCs w:val="24"/>
        </w:rPr>
        <w:t xml:space="preserve">, warunkami właściciela pozostałej części urządzeń oświetlenia ulicznego tj. </w:t>
      </w:r>
      <w:r>
        <w:rPr>
          <w:rFonts w:ascii="Source Sans Pro" w:hAnsi="Source Sans Pro"/>
          <w:sz w:val="24"/>
          <w:szCs w:val="24"/>
        </w:rPr>
        <w:t>TAURON Dystrybucja S.A.</w:t>
      </w:r>
      <w:r w:rsidRPr="00EE7788">
        <w:rPr>
          <w:rFonts w:ascii="Source Sans Pro" w:hAnsi="Source Sans Pro"/>
          <w:sz w:val="24"/>
          <w:szCs w:val="24"/>
        </w:rPr>
        <w:t xml:space="preserve"> oraz warunkami technicznych przyłączenia urządzeń elektroenergetycznych do sieci oświetleniowej. Mapę do celów projektowych Wykonawca </w:t>
      </w:r>
      <w:r w:rsidR="004D56DE">
        <w:rPr>
          <w:rFonts w:ascii="Source Sans Pro" w:hAnsi="Source Sans Pro"/>
          <w:sz w:val="24"/>
          <w:szCs w:val="24"/>
        </w:rPr>
        <w:t>otrzymuje od zamawiającego</w:t>
      </w:r>
      <w:r w:rsidRPr="00EE7788">
        <w:rPr>
          <w:rFonts w:ascii="Source Sans Pro" w:hAnsi="Source Sans Pro"/>
          <w:sz w:val="24"/>
          <w:szCs w:val="24"/>
        </w:rPr>
        <w:t xml:space="preserve">. Zakres i formę dokumentacji technicznej, umożliwiającej uzyskanie stosownych uzgodnień należy opracować zgodnie z obowiązującymi przepisami i normami. Kolizje urządzeń projektowanych z istniejącą infrastrukturą podziemną uzgodnić z gestorami sieci. Opracowanie dokumentacji technicznych należy wykonać w formie planów, rysunków lub </w:t>
      </w:r>
      <w:r w:rsidRPr="00EE7788">
        <w:rPr>
          <w:rFonts w:ascii="Source Sans Pro" w:hAnsi="Source Sans Pro"/>
          <w:sz w:val="24"/>
          <w:szCs w:val="24"/>
        </w:rPr>
        <w:lastRenderedPageBreak/>
        <w:t xml:space="preserve">innych dokumentów umożliwiających jednoznacznie określenie rodzaju i zakresu robót budowlanych, dokładną lokalizacją i uwarunkowania ich wykonania. Uzyskanie na podstawie upoważnień otrzymanych od Zamawiającego, wymaganych obowiązującymi przepisami stosownych opinii i uzgodnień. Dokumentacja techniczna musi być przedstawiona do akceptacji Zamawiającemu. Wykonawca sporządzi taką ilość egzemplarzy poszczególnych opracowań projektowych, jaka jest potrzebna do uzyskania wymaganych opinii, uzgodnień i decyzji oraz dla potrzeb wykonawstwa robót. Wszystkie materiały wyjściowe, uzgodnienia, decyzje pozyskuje własnym staraniem Wykonawca. Zamawiający udzieli mu w tym celu stosownych upoważnień. Wykonawca dołączy do projektu oświadczenie, iż jest on wykonany zgodnie z umową obowiązującymi przepisami, normami i wytycznymi oraz, że został wykonany w stanie kompletnym z punktu widzenia celu, któremu ma służyć. Kompletny projekt wykonawczy przed rozpoczęciem prac budowlanych musi być zatwierdzony przez Zamawiającego. Warunki wykonania i odbioru robót budowlanych powinny być zgodne z zawartością odpowiednich specyfikacji technicznych. Roboty należy wykonać na podstawie opracowanej i zatwierdzonej przez Zamawiającego dokumentacji technicznej, zgodnie ze sztuką i wiedzą budowlaną. Realizacja robót w oparciu o zatwierdzone przez Zamawiającego projekty wykonawcze po wytyczeniu robót przez uprawnionego geodetę. Przekazanie zrealizowanych robót Zamawiającemu. Sporządzenie inwentaryzacji geodezyjnej powykonawczej. Sporządzenie dokumentacji powykonawczej. Realizacja powyższego zakresu winna być wykonana w oparciu o obowiązujące przepisy, w szczególności ustawy Prawo budowlane wraz z przepisami wykonawczymi, przez Wykonawcę posiadającego stosowne doświadczenie i potencjał wykonawczy określony w SIWZ oraz przez osoby posiadające odpowiednie kwalifikacje i doświadczenie. Wykonanie i oddanie do użytku musi być również zgodne z wszystkimi aktami prawnymi właściwymi dla przedmiotu zamówienia, z przepisami </w:t>
      </w:r>
      <w:proofErr w:type="spellStart"/>
      <w:r w:rsidRPr="00EE7788">
        <w:rPr>
          <w:rFonts w:ascii="Source Sans Pro" w:hAnsi="Source Sans Pro"/>
          <w:sz w:val="24"/>
          <w:szCs w:val="24"/>
        </w:rPr>
        <w:t>techniczno</w:t>
      </w:r>
      <w:proofErr w:type="spellEnd"/>
      <w:r w:rsidRPr="00EE7788">
        <w:rPr>
          <w:rFonts w:ascii="Source Sans Pro" w:hAnsi="Source Sans Pro"/>
          <w:sz w:val="24"/>
          <w:szCs w:val="24"/>
        </w:rPr>
        <w:t xml:space="preserve"> - budowlanymi obowiązującymi polskimi normami, wytycznymi oraz zasadami wiedzy technicznej. W celu oszacowania i wyceny zakresu robót dla potrzeb sporządzenia oferty należy kierować się wynikami szczegółowych wizji terenowych i inwentaryzacji własnych, wynikami opracowań własnych oraz zapisami niniejszego programu funkcjonalno-użytkowego. Wykonawca zrealizuje czynności niezbędne do przekazania inwestycji gestorowi uzbrojenia i zajęcia pasa drogowego </w:t>
      </w:r>
      <w:r>
        <w:rPr>
          <w:rFonts w:ascii="Source Sans Pro" w:hAnsi="Source Sans Pro"/>
          <w:sz w:val="24"/>
          <w:szCs w:val="24"/>
        </w:rPr>
        <w:t xml:space="preserve">Wydziałowi Infrastruktury Miejskiej </w:t>
      </w:r>
      <w:r w:rsidRPr="00EE7788">
        <w:rPr>
          <w:rFonts w:ascii="Source Sans Pro" w:hAnsi="Source Sans Pro"/>
          <w:sz w:val="24"/>
          <w:szCs w:val="24"/>
        </w:rPr>
        <w:t xml:space="preserve">Urzędu Miejskiego w </w:t>
      </w:r>
      <w:r>
        <w:rPr>
          <w:rFonts w:ascii="Source Sans Pro" w:hAnsi="Source Sans Pro"/>
          <w:sz w:val="24"/>
          <w:szCs w:val="24"/>
        </w:rPr>
        <w:t>Dębicy</w:t>
      </w:r>
      <w:r w:rsidRPr="00EE7788">
        <w:rPr>
          <w:rFonts w:ascii="Source Sans Pro" w:hAnsi="Source Sans Pro"/>
          <w:sz w:val="24"/>
          <w:szCs w:val="24"/>
        </w:rPr>
        <w:t>. Koszt</w:t>
      </w:r>
      <w:r>
        <w:rPr>
          <w:rFonts w:ascii="Source Sans Pro" w:hAnsi="Source Sans Pro"/>
          <w:sz w:val="24"/>
          <w:szCs w:val="24"/>
        </w:rPr>
        <w:t>y</w:t>
      </w:r>
      <w:r w:rsidRPr="00EE7788">
        <w:rPr>
          <w:rFonts w:ascii="Source Sans Pro" w:hAnsi="Source Sans Pro"/>
          <w:sz w:val="24"/>
          <w:szCs w:val="24"/>
        </w:rPr>
        <w:t xml:space="preserve"> związane z odbiorem technicznym pokryje wykonawca. Wykonawca zapewni organizację ruchu na okres budowy zgodnie z wykonanym projektem. Wykonawca musi liczyć się z sytuacją, że rodzaje i ilości robót określone w niniejszym opracowaniu mogą ulec zmianie po opracowaniu dokumentacji projektowej. Doświetlenie należy wykonać w możliwie krótkim czasie zachowując środki ostrożności, szczególnie uważając by nie uszkodzić istniejącej infrastruktury technicznej.</w:t>
      </w:r>
    </w:p>
    <w:p w14:paraId="1EFA14DC" w14:textId="10B264DC" w:rsidR="00EE7788" w:rsidRDefault="00EE7788" w:rsidP="00EE7788">
      <w:pPr>
        <w:jc w:val="both"/>
        <w:rPr>
          <w:rFonts w:ascii="Source Sans Pro" w:hAnsi="Source Sans Pro"/>
          <w:sz w:val="24"/>
          <w:szCs w:val="24"/>
        </w:rPr>
      </w:pPr>
    </w:p>
    <w:p w14:paraId="26D404A5" w14:textId="2EC2F4AD" w:rsidR="00F31147" w:rsidRDefault="00F31147" w:rsidP="00EE7788">
      <w:pPr>
        <w:jc w:val="both"/>
        <w:rPr>
          <w:rFonts w:ascii="Source Sans Pro" w:hAnsi="Source Sans Pro"/>
          <w:sz w:val="24"/>
          <w:szCs w:val="24"/>
        </w:rPr>
      </w:pPr>
    </w:p>
    <w:p w14:paraId="0831564F" w14:textId="67C8D6C9" w:rsidR="00F31147" w:rsidRDefault="00F31147" w:rsidP="00EE7788">
      <w:pPr>
        <w:jc w:val="both"/>
        <w:rPr>
          <w:rFonts w:ascii="Source Sans Pro" w:hAnsi="Source Sans Pro"/>
          <w:sz w:val="24"/>
          <w:szCs w:val="24"/>
        </w:rPr>
      </w:pPr>
    </w:p>
    <w:p w14:paraId="1EE4BECE" w14:textId="77777777" w:rsidR="00F31147" w:rsidRDefault="00F31147" w:rsidP="00EE7788">
      <w:pPr>
        <w:jc w:val="both"/>
        <w:rPr>
          <w:rFonts w:ascii="Source Sans Pro" w:hAnsi="Source Sans Pro"/>
          <w:sz w:val="24"/>
          <w:szCs w:val="24"/>
        </w:rPr>
      </w:pPr>
    </w:p>
    <w:p w14:paraId="24FE8204" w14:textId="7ED981E8" w:rsidR="00EE7788" w:rsidRPr="00EE7788" w:rsidRDefault="00EE7788" w:rsidP="00EE7788">
      <w:pPr>
        <w:jc w:val="both"/>
        <w:rPr>
          <w:rFonts w:ascii="Source Sans Pro" w:hAnsi="Source Sans Pro"/>
          <w:sz w:val="24"/>
          <w:szCs w:val="24"/>
        </w:rPr>
      </w:pPr>
      <w:r w:rsidRPr="00EE7788">
        <w:rPr>
          <w:rFonts w:ascii="Source Sans Pro" w:hAnsi="Source Sans Pro"/>
          <w:sz w:val="24"/>
          <w:szCs w:val="24"/>
        </w:rPr>
        <w:lastRenderedPageBreak/>
        <w:t>Szczegółowe właściwości funkcjonalno-użytkowe</w:t>
      </w:r>
    </w:p>
    <w:p w14:paraId="04F0C9EE" w14:textId="77777777" w:rsidR="0021013A" w:rsidRDefault="00EE7788" w:rsidP="00EE7788">
      <w:pPr>
        <w:jc w:val="both"/>
        <w:rPr>
          <w:rFonts w:ascii="Source Sans Pro" w:hAnsi="Source Sans Pro"/>
          <w:sz w:val="24"/>
          <w:szCs w:val="24"/>
        </w:rPr>
      </w:pPr>
      <w:r w:rsidRPr="00EE7788">
        <w:rPr>
          <w:rFonts w:ascii="Source Sans Pro" w:hAnsi="Source Sans Pro"/>
          <w:sz w:val="24"/>
          <w:szCs w:val="24"/>
        </w:rPr>
        <w:t xml:space="preserve">Wymagania techniczne </w:t>
      </w:r>
    </w:p>
    <w:p w14:paraId="758D7931"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B</w:t>
      </w:r>
      <w:r w:rsidR="00EE7788" w:rsidRPr="0021013A">
        <w:rPr>
          <w:rFonts w:ascii="Source Sans Pro" w:hAnsi="Source Sans Pro"/>
          <w:sz w:val="24"/>
          <w:szCs w:val="24"/>
        </w:rPr>
        <w:t xml:space="preserve">udowę nowych kablowych przyłączy zasilających </w:t>
      </w:r>
      <w:proofErr w:type="spellStart"/>
      <w:r w:rsidR="00EE7788" w:rsidRPr="0021013A">
        <w:rPr>
          <w:rFonts w:ascii="Source Sans Pro" w:hAnsi="Source Sans Pro"/>
          <w:sz w:val="24"/>
          <w:szCs w:val="24"/>
        </w:rPr>
        <w:t>nN</w:t>
      </w:r>
      <w:proofErr w:type="spellEnd"/>
      <w:r w:rsidR="00EE7788" w:rsidRPr="0021013A">
        <w:rPr>
          <w:rFonts w:ascii="Source Sans Pro" w:hAnsi="Source Sans Pro"/>
          <w:sz w:val="24"/>
          <w:szCs w:val="24"/>
        </w:rPr>
        <w:t xml:space="preserve"> 0,4kV oraz zaproponowane rozwiązania wykonać w sposób nie kolidujący z istniejącym i projektowanym zagospodarowaniem terenu, zachowując przepisowe odległości i normy, a w szczególności z normami: PN-76/E-05125, PKN-CEN/TR 13201:2007, PN-E-5 100- 1:1998, N-SEP-003 oraz N-SEP-004, </w:t>
      </w:r>
    </w:p>
    <w:p w14:paraId="769D8F49"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N</w:t>
      </w:r>
      <w:r w:rsidR="00EE7788" w:rsidRPr="0021013A">
        <w:rPr>
          <w:rFonts w:ascii="Source Sans Pro" w:hAnsi="Source Sans Pro"/>
          <w:sz w:val="24"/>
          <w:szCs w:val="24"/>
        </w:rPr>
        <w:t>owa lokalizacja słupów możliwa jest pod warunkiem zachowania skrajni drogowej tj. 0,5m od krawędzi jezdni oraz w taki sposób aby nie utrudniały użytkowania chodnika w tym przez osoby niepełnosprawne /Rozporządzenie Ministra Transportu i Gospodarki Morskiej z 2 marca 1999r. w sprawie warunków technicznych jakim powinny odpowiadać drogi publiczne i ich usytuowanie</w:t>
      </w:r>
      <w:r>
        <w:rPr>
          <w:rFonts w:ascii="Source Sans Pro" w:hAnsi="Source Sans Pro"/>
          <w:sz w:val="24"/>
          <w:szCs w:val="24"/>
        </w:rPr>
        <w:t>/</w:t>
      </w:r>
      <w:r w:rsidR="00EE7788" w:rsidRPr="0021013A">
        <w:rPr>
          <w:rFonts w:ascii="Source Sans Pro" w:hAnsi="Source Sans Pro"/>
          <w:sz w:val="24"/>
          <w:szCs w:val="24"/>
        </w:rPr>
        <w:t xml:space="preserve">, </w:t>
      </w:r>
    </w:p>
    <w:p w14:paraId="09BC30C6" w14:textId="6586317E"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e względu na konieczność dostosowania oświetlenia do potrzeb doświetlenia drogi w rejonie przejścia dla pieszych zaprojektować kabel zasilający miedziany o odpowiednim przekroju przewodu (min. 6mm2 ) oraz słupami (masztami) stalowymi ocynkowanymi</w:t>
      </w:r>
      <w:r w:rsidR="004D56DE">
        <w:rPr>
          <w:rFonts w:ascii="Source Sans Pro" w:hAnsi="Source Sans Pro"/>
          <w:sz w:val="24"/>
          <w:szCs w:val="24"/>
        </w:rPr>
        <w:t xml:space="preserve"> lub aluminiowymi</w:t>
      </w:r>
      <w:r w:rsidR="00EE7788" w:rsidRPr="0021013A">
        <w:rPr>
          <w:rFonts w:ascii="Source Sans Pro" w:hAnsi="Source Sans Pro"/>
          <w:sz w:val="24"/>
          <w:szCs w:val="24"/>
        </w:rPr>
        <w:t xml:space="preserve"> o podwyższonej wytrzymałości</w:t>
      </w:r>
      <w:r w:rsidR="004D56DE">
        <w:rPr>
          <w:rFonts w:ascii="Source Sans Pro" w:hAnsi="Source Sans Pro"/>
          <w:sz w:val="24"/>
          <w:szCs w:val="24"/>
        </w:rPr>
        <w:t xml:space="preserve"> z wysięgnikiem określonym w wytycznych</w:t>
      </w:r>
      <w:r w:rsidR="00EE7788" w:rsidRPr="0021013A">
        <w:rPr>
          <w:rFonts w:ascii="Source Sans Pro" w:hAnsi="Source Sans Pro"/>
          <w:sz w:val="24"/>
          <w:szCs w:val="24"/>
        </w:rPr>
        <w:t xml:space="preserve">, słupy i fundamenty zabezpieczyć przeciwwilgociowo, </w:t>
      </w:r>
    </w:p>
    <w:p w14:paraId="2D662C47"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D</w:t>
      </w:r>
      <w:r w:rsidR="00EE7788" w:rsidRPr="0021013A">
        <w:rPr>
          <w:rFonts w:ascii="Source Sans Pro" w:hAnsi="Source Sans Pro"/>
          <w:sz w:val="24"/>
          <w:szCs w:val="24"/>
        </w:rPr>
        <w:t xml:space="preserve">okonać obliczeń poboru mocy z istniejących szafek oświetleniowych zasilających poszczególne obwody oświetleniowe. W przypadku konieczności zwiększenia mocy przyłączeniowych należy przedłożyć wniosek o ich zwiększenie, </w:t>
      </w:r>
    </w:p>
    <w:p w14:paraId="430F3C47"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asilanie urządzeń doświetlenia przejść dla pieszych wykonać z miejskiej sieci oświetleniowej, nowoprojektowane przyłącza kablowe powiązać z istniejącym oświetleniem bez zmiany układu połączeń sieciowych, </w:t>
      </w:r>
    </w:p>
    <w:p w14:paraId="797A38BC" w14:textId="7CE60011"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aprojektować nowe oprawy oświetleniowe dedykowane do przejść dla pieszych kierunkowe do strony lewej i strony prawej kierunku najazdu o źródle światła </w:t>
      </w:r>
      <w:r w:rsidR="006F4549">
        <w:rPr>
          <w:rFonts w:ascii="Source Sans Pro" w:hAnsi="Source Sans Pro"/>
          <w:sz w:val="24"/>
          <w:szCs w:val="24"/>
        </w:rPr>
        <w:t>LED</w:t>
      </w:r>
      <w:r w:rsidR="00EE7788" w:rsidRPr="0021013A">
        <w:rPr>
          <w:rFonts w:ascii="Source Sans Pro" w:hAnsi="Source Sans Pro"/>
          <w:sz w:val="24"/>
          <w:szCs w:val="24"/>
        </w:rPr>
        <w:t xml:space="preserve"> </w:t>
      </w:r>
      <w:r w:rsidR="00EE7788" w:rsidRPr="0090295F">
        <w:rPr>
          <w:rFonts w:ascii="Source Sans Pro" w:hAnsi="Source Sans Pro"/>
          <w:color w:val="FF0000"/>
          <w:sz w:val="24"/>
          <w:szCs w:val="24"/>
        </w:rPr>
        <w:t xml:space="preserve"> </w:t>
      </w:r>
      <w:r w:rsidR="00EE7788" w:rsidRPr="0021013A">
        <w:rPr>
          <w:rFonts w:ascii="Source Sans Pro" w:hAnsi="Source Sans Pro"/>
          <w:sz w:val="24"/>
          <w:szCs w:val="24"/>
        </w:rPr>
        <w:t xml:space="preserve">w drugiej klasie ochronności o wskaźniku IP 66 dla komory optycznej, korpus z odlewanego ciśnieniowo aluminium, reflektor paraboliczny jednoczęściowy, klosz – płaski, szklany, odporny mechanicznie i temperaturowo, oprawa winna być wykonana z materiałów podlegających powtórnemu przetworzeniu oraz posiadać certyfikat jakości CE, </w:t>
      </w:r>
    </w:p>
    <w:p w14:paraId="04FAEE48" w14:textId="30A326FA"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S</w:t>
      </w:r>
      <w:r w:rsidR="00EE7788" w:rsidRPr="0021013A">
        <w:rPr>
          <w:rFonts w:ascii="Source Sans Pro" w:hAnsi="Source Sans Pro"/>
          <w:sz w:val="24"/>
          <w:szCs w:val="24"/>
        </w:rPr>
        <w:t>krzyżowanie kabla z drogą lub infrastrukturą techniczną zabezpieczyć rurą ochronną P</w:t>
      </w:r>
      <w:r>
        <w:rPr>
          <w:rFonts w:ascii="Source Sans Pro" w:hAnsi="Source Sans Pro"/>
          <w:sz w:val="24"/>
          <w:szCs w:val="24"/>
        </w:rPr>
        <w:t>E</w:t>
      </w:r>
      <w:r w:rsidR="00EE7788" w:rsidRPr="0021013A">
        <w:rPr>
          <w:rFonts w:ascii="Source Sans Pro" w:hAnsi="Source Sans Pro"/>
          <w:sz w:val="24"/>
          <w:szCs w:val="24"/>
        </w:rPr>
        <w:t xml:space="preserve"> o średnicy </w:t>
      </w:r>
      <w:r>
        <w:rPr>
          <w:rFonts w:ascii="Source Sans Pro" w:hAnsi="Source Sans Pro"/>
          <w:sz w:val="24"/>
          <w:szCs w:val="24"/>
        </w:rPr>
        <w:t>125</w:t>
      </w:r>
      <w:r w:rsidR="00EE7788" w:rsidRPr="0021013A">
        <w:rPr>
          <w:rFonts w:ascii="Source Sans Pro" w:hAnsi="Source Sans Pro"/>
          <w:sz w:val="24"/>
          <w:szCs w:val="24"/>
        </w:rPr>
        <w:t xml:space="preserve">mm, zastosować </w:t>
      </w:r>
      <w:r>
        <w:rPr>
          <w:rFonts w:ascii="Source Sans Pro" w:hAnsi="Source Sans Pro"/>
          <w:sz w:val="24"/>
          <w:szCs w:val="24"/>
        </w:rPr>
        <w:t>kanał technologiczny</w:t>
      </w:r>
      <w:r w:rsidR="00EE7788" w:rsidRPr="0021013A">
        <w:rPr>
          <w:rFonts w:ascii="Source Sans Pro" w:hAnsi="Source Sans Pro"/>
          <w:sz w:val="24"/>
          <w:szCs w:val="24"/>
        </w:rPr>
        <w:t xml:space="preserve">, </w:t>
      </w:r>
    </w:p>
    <w:p w14:paraId="3AB2FE6A" w14:textId="77777777" w:rsidR="0021013A" w:rsidRDefault="0021013A" w:rsidP="0021013A">
      <w:pPr>
        <w:pStyle w:val="Akapitzlist"/>
        <w:numPr>
          <w:ilvl w:val="0"/>
          <w:numId w:val="6"/>
        </w:numPr>
        <w:jc w:val="both"/>
        <w:rPr>
          <w:rFonts w:ascii="Source Sans Pro" w:hAnsi="Source Sans Pro"/>
          <w:sz w:val="24"/>
          <w:szCs w:val="24"/>
        </w:rPr>
      </w:pPr>
      <w:r>
        <w:rPr>
          <w:rFonts w:ascii="Source Sans Pro" w:hAnsi="Source Sans Pro"/>
          <w:sz w:val="24"/>
          <w:szCs w:val="24"/>
        </w:rPr>
        <w:t>Z</w:t>
      </w:r>
      <w:r w:rsidR="00EE7788" w:rsidRPr="0021013A">
        <w:rPr>
          <w:rFonts w:ascii="Source Sans Pro" w:hAnsi="Source Sans Pro"/>
          <w:sz w:val="24"/>
          <w:szCs w:val="24"/>
        </w:rPr>
        <w:t xml:space="preserve">astosować tabliczki bezpiecznikowe, kable w słupach zabezpieczyć palczatką termokurczliwą, </w:t>
      </w:r>
    </w:p>
    <w:p w14:paraId="256361D5" w14:textId="77777777"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S</w:t>
      </w:r>
      <w:r w:rsidRPr="0021013A">
        <w:rPr>
          <w:rFonts w:ascii="Source Sans Pro" w:hAnsi="Source Sans Pro"/>
          <w:sz w:val="24"/>
          <w:szCs w:val="24"/>
        </w:rPr>
        <w:t xml:space="preserve">zczegółowe rozwiązania techniczne nastąpią na etapie uzgodnienia rozwiązań szczegółowych, </w:t>
      </w:r>
    </w:p>
    <w:p w14:paraId="6DD63243" w14:textId="77777777"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P</w:t>
      </w:r>
      <w:r w:rsidRPr="0021013A">
        <w:rPr>
          <w:rFonts w:ascii="Source Sans Pro" w:hAnsi="Source Sans Pro"/>
          <w:sz w:val="24"/>
          <w:szCs w:val="24"/>
        </w:rPr>
        <w:t xml:space="preserve">rojekt podlega uzgodnieniu w </w:t>
      </w:r>
      <w:r w:rsidR="0021013A">
        <w:rPr>
          <w:rFonts w:ascii="Source Sans Pro" w:hAnsi="Source Sans Pro"/>
          <w:sz w:val="24"/>
          <w:szCs w:val="24"/>
        </w:rPr>
        <w:t>IM</w:t>
      </w:r>
      <w:r w:rsidRPr="0021013A">
        <w:rPr>
          <w:rFonts w:ascii="Source Sans Pro" w:hAnsi="Source Sans Pro"/>
          <w:sz w:val="24"/>
          <w:szCs w:val="24"/>
        </w:rPr>
        <w:t xml:space="preserve"> UM </w:t>
      </w:r>
      <w:r w:rsidR="0021013A">
        <w:rPr>
          <w:rFonts w:ascii="Source Sans Pro" w:hAnsi="Source Sans Pro"/>
          <w:sz w:val="24"/>
          <w:szCs w:val="24"/>
        </w:rPr>
        <w:t>Dębica</w:t>
      </w:r>
      <w:r w:rsidRPr="0021013A">
        <w:rPr>
          <w:rFonts w:ascii="Source Sans Pro" w:hAnsi="Source Sans Pro"/>
          <w:sz w:val="24"/>
          <w:szCs w:val="24"/>
        </w:rPr>
        <w:t xml:space="preserve">, </w:t>
      </w:r>
    </w:p>
    <w:p w14:paraId="789B0B03" w14:textId="77777777"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K</w:t>
      </w:r>
      <w:r w:rsidRPr="0021013A">
        <w:rPr>
          <w:rFonts w:ascii="Source Sans Pro" w:hAnsi="Source Sans Pro"/>
          <w:sz w:val="24"/>
          <w:szCs w:val="24"/>
        </w:rPr>
        <w:t xml:space="preserve">olizje urządzeń projektowanych z istniejącą infrastrukturą podziemną uzgodnić z gestorami tych sieci, </w:t>
      </w:r>
    </w:p>
    <w:p w14:paraId="7B28D858" w14:textId="018085B9" w:rsidR="0021013A" w:rsidRDefault="00EE7788" w:rsidP="0021013A">
      <w:pPr>
        <w:pStyle w:val="Akapitzlist"/>
        <w:numPr>
          <w:ilvl w:val="0"/>
          <w:numId w:val="6"/>
        </w:numPr>
        <w:jc w:val="both"/>
        <w:rPr>
          <w:rFonts w:ascii="Source Sans Pro" w:hAnsi="Source Sans Pro"/>
          <w:sz w:val="24"/>
          <w:szCs w:val="24"/>
        </w:rPr>
      </w:pPr>
      <w:r w:rsidRPr="0021013A">
        <w:rPr>
          <w:rFonts w:ascii="Source Sans Pro" w:hAnsi="Source Sans Pro"/>
          <w:sz w:val="24"/>
          <w:szCs w:val="24"/>
        </w:rPr>
        <w:t xml:space="preserve"> </w:t>
      </w:r>
      <w:r w:rsidR="0021013A">
        <w:rPr>
          <w:rFonts w:ascii="Source Sans Pro" w:hAnsi="Source Sans Pro"/>
          <w:sz w:val="24"/>
          <w:szCs w:val="24"/>
        </w:rPr>
        <w:t>N</w:t>
      </w:r>
      <w:r w:rsidRPr="0021013A">
        <w:rPr>
          <w:rFonts w:ascii="Source Sans Pro" w:hAnsi="Source Sans Pro"/>
          <w:sz w:val="24"/>
          <w:szCs w:val="24"/>
        </w:rPr>
        <w:t xml:space="preserve">owo wybudowane urządzenia pozostaną na majątku </w:t>
      </w:r>
      <w:r w:rsidR="0021013A">
        <w:rPr>
          <w:rFonts w:ascii="Source Sans Pro" w:hAnsi="Source Sans Pro"/>
          <w:sz w:val="24"/>
          <w:szCs w:val="24"/>
        </w:rPr>
        <w:t xml:space="preserve">Gminy </w:t>
      </w:r>
      <w:r w:rsidRPr="0021013A">
        <w:rPr>
          <w:rFonts w:ascii="Source Sans Pro" w:hAnsi="Source Sans Pro"/>
          <w:sz w:val="24"/>
          <w:szCs w:val="24"/>
        </w:rPr>
        <w:t xml:space="preserve">Miasta </w:t>
      </w:r>
      <w:r w:rsidR="0021013A">
        <w:rPr>
          <w:rFonts w:ascii="Source Sans Pro" w:hAnsi="Source Sans Pro"/>
          <w:sz w:val="24"/>
          <w:szCs w:val="24"/>
        </w:rPr>
        <w:t>Dębicy.</w:t>
      </w:r>
    </w:p>
    <w:p w14:paraId="3A96AE53" w14:textId="45179621" w:rsidR="0021013A" w:rsidRPr="0021013A" w:rsidRDefault="0021013A" w:rsidP="0021013A">
      <w:pPr>
        <w:jc w:val="both"/>
        <w:rPr>
          <w:rFonts w:ascii="Source Sans Pro" w:hAnsi="Source Sans Pro"/>
          <w:sz w:val="24"/>
          <w:szCs w:val="24"/>
        </w:rPr>
      </w:pPr>
    </w:p>
    <w:p w14:paraId="3EC3D801" w14:textId="77777777" w:rsidR="0021013A" w:rsidRPr="0021013A" w:rsidRDefault="0021013A" w:rsidP="0021013A">
      <w:pPr>
        <w:jc w:val="both"/>
        <w:rPr>
          <w:rFonts w:ascii="Source Sans Pro" w:hAnsi="Source Sans Pro"/>
          <w:sz w:val="24"/>
          <w:szCs w:val="24"/>
        </w:rPr>
      </w:pPr>
      <w:r w:rsidRPr="0021013A">
        <w:rPr>
          <w:rFonts w:ascii="Source Sans Pro" w:hAnsi="Source Sans Pro"/>
          <w:sz w:val="24"/>
          <w:szCs w:val="24"/>
        </w:rPr>
        <w:lastRenderedPageBreak/>
        <w:t>Wymagania materiałowe</w:t>
      </w:r>
    </w:p>
    <w:p w14:paraId="05956021"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Folia</w:t>
      </w:r>
    </w:p>
    <w:p w14:paraId="56709775"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Folia służąca do osłony kabla przed uszkodzeniami mechanicznymi, powinna być folią kalandrowaną z uplastycznionego PCW o grubości minimum 0,5mm, gatunku I, posiadająca niezbędne atesty.</w:t>
      </w:r>
    </w:p>
    <w:p w14:paraId="1FB65D74"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Przepusty kablowe</w:t>
      </w:r>
    </w:p>
    <w:p w14:paraId="58362300"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Przepusty kablowe powinny być wykonane z materiałów niepalnych, z tworzyw sztucznych, wytrzymałych mechanicznie, chemicznie i odpornych na działanie łuku elektrycznego. Rury używane do wykonania przepustów powinny być dostatecznie wytrzymałe na działające na nie obciążenia. Wnętrza ścianek powinny być gładkie lub powleczone warstwą wygładzającą ich powierzchnie dla ułatwienia przesuwania się kabli. Osłona rurowa wykonana z polipropylenu o dużej gęstości. Rury na przepusty kablowe należy przechowywać na utwardzonym placu, w nienasłonecznionych miejscach zabezpieczonych przed ich uszkodzeniem.</w:t>
      </w:r>
    </w:p>
    <w:p w14:paraId="2FF307EF"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 Kable </w:t>
      </w:r>
    </w:p>
    <w:p w14:paraId="4F370136" w14:textId="77777777"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Kable używane do oświetlenia powinny spełniać wymagania odpowiednich norm. Przy budowie przyłączy kablowych (zasilających) należy stosować kable miedziane typu YKY. Bębny z kablami należy przechowywać w miejscach pokrytych dachem, zabezpieczonych przed opadami atmosferycznymi i bezpośrednim działaniem promieni słonecznych. </w:t>
      </w:r>
    </w:p>
    <w:p w14:paraId="7B3D43C7" w14:textId="785E2825"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Oprawy </w:t>
      </w:r>
    </w:p>
    <w:p w14:paraId="5B58A044" w14:textId="77777777"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Należy zastosować oprawy dedykowane do oświetlenia przejść dla pieszych spełniające wymagania normy oświetleniowej. Do opraw zastosować źródła światła metalohalogenkowe o mocy 150W/250W. Wszystkie oprawy powinny być wykonane w II klasie ochronności z materiałów podlegających powtórnemu przetworzeniu oraz posiadać certyfikat jakości CE. Oprawy należy zamówić w wersji IP66 dla komory optycznej, z kloszem płaskim, szklanym, odpornym mechanicznie i temperaturowo. Oprawy powinny być przechowywane w pomieszczeniach o temperaturze nie niższej niż -5˚C i wilgotności względnej powietrza nie przekraczającej 80% i w opakowaniach fabrycznych. </w:t>
      </w:r>
    </w:p>
    <w:p w14:paraId="696931D9" w14:textId="77777777"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Słupy oświetleniowe </w:t>
      </w:r>
    </w:p>
    <w:p w14:paraId="3761FD38" w14:textId="77777777"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Słupy oświetleniowe powinny być wykonane zgodnie z warunkami technicznymi. Słupy powinny przenieść obciążenia wynikające z zawieszenia opraw oraz parcia wiatru. W dolnej części słupy posiadają wnękę zamykaną drzwiczkami. Wnękę należy przystosować do zainstalowania typowej tabliczki bezpiecznikowo-zaciskowej. Elementy słupów ii masztów powinny być proste w granicach dopuszczalnych odchyłek podanych w odpowiedniej normie. Spoiny nie mogą wykazywać pęknięć, a otwory na elementy łączące nie powinny mieć podniesionych krawędzi. Składowanie słupów i masztów oświetleniowych na placu budowy, powinno być na wyrównanym podłożu w pozycji poziomej, z zastosowaniem </w:t>
      </w:r>
      <w:r w:rsidRPr="0021013A">
        <w:rPr>
          <w:rFonts w:ascii="Source Sans Pro" w:hAnsi="Source Sans Pro"/>
          <w:sz w:val="24"/>
          <w:szCs w:val="24"/>
        </w:rPr>
        <w:lastRenderedPageBreak/>
        <w:t xml:space="preserve">przekładek z drewna miękkiego. Słupy powinny być spawane plazmowo. Część słupów powinna być przystosowana do podłączenia czterech kabli oświetleniowych. </w:t>
      </w:r>
    </w:p>
    <w:p w14:paraId="2EEED0CD" w14:textId="77777777" w:rsidR="0089590F" w:rsidRDefault="0021013A" w:rsidP="0021013A">
      <w:pPr>
        <w:jc w:val="both"/>
        <w:rPr>
          <w:rFonts w:ascii="Source Sans Pro" w:hAnsi="Source Sans Pro"/>
          <w:sz w:val="24"/>
          <w:szCs w:val="24"/>
        </w:rPr>
      </w:pPr>
      <w:r w:rsidRPr="0021013A">
        <w:rPr>
          <w:rFonts w:ascii="Source Sans Pro" w:hAnsi="Source Sans Pro"/>
          <w:sz w:val="24"/>
          <w:szCs w:val="24"/>
        </w:rPr>
        <w:t xml:space="preserve">Tabliczki bezpiecznikowo-zaciskowe </w:t>
      </w:r>
    </w:p>
    <w:p w14:paraId="34E74136" w14:textId="0D0DA86C" w:rsidR="0021013A" w:rsidRDefault="0021013A" w:rsidP="0021013A">
      <w:pPr>
        <w:jc w:val="both"/>
        <w:rPr>
          <w:rFonts w:ascii="Source Sans Pro" w:hAnsi="Source Sans Pro"/>
          <w:sz w:val="24"/>
          <w:szCs w:val="24"/>
        </w:rPr>
      </w:pPr>
      <w:r w:rsidRPr="0021013A">
        <w:rPr>
          <w:rFonts w:ascii="Source Sans Pro" w:hAnsi="Source Sans Pro"/>
          <w:sz w:val="24"/>
          <w:szCs w:val="24"/>
        </w:rPr>
        <w:t xml:space="preserve">Tabliczkę bezpiecznikowo-zaciskową należy wykonać zgodnie z warunkami technicznymi. Tabliczka powinna posiadać odpowiednią ilość podstaw bezpiecznikowych 16A (E-14) oraz trzy/pięć zacisków przystosowanych do podłączenia trzech żył kabla o odpowiednim przekroju. Przed montażem tabliczek bezpiecznikowo-zaciskowych ich typ należy potwierdzić z Inwestorem przyjęte jako standard </w:t>
      </w:r>
      <w:r w:rsidR="0089590F">
        <w:rPr>
          <w:rFonts w:ascii="Source Sans Pro" w:hAnsi="Source Sans Pro"/>
          <w:sz w:val="24"/>
          <w:szCs w:val="24"/>
        </w:rPr>
        <w:t xml:space="preserve"> Gminy </w:t>
      </w:r>
      <w:r w:rsidRPr="0021013A">
        <w:rPr>
          <w:rFonts w:ascii="Source Sans Pro" w:hAnsi="Source Sans Pro"/>
          <w:sz w:val="24"/>
          <w:szCs w:val="24"/>
        </w:rPr>
        <w:t xml:space="preserve">Miasta </w:t>
      </w:r>
      <w:r w:rsidR="0089590F">
        <w:rPr>
          <w:rFonts w:ascii="Source Sans Pro" w:hAnsi="Source Sans Pro"/>
          <w:sz w:val="24"/>
          <w:szCs w:val="24"/>
        </w:rPr>
        <w:t>Dębicy</w:t>
      </w:r>
      <w:r w:rsidRPr="0021013A">
        <w:rPr>
          <w:rFonts w:ascii="Source Sans Pro" w:hAnsi="Source Sans Pro"/>
          <w:sz w:val="24"/>
          <w:szCs w:val="24"/>
        </w:rPr>
        <w:t>.</w:t>
      </w:r>
    </w:p>
    <w:p w14:paraId="53EB798B"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Wymagania sprzętowe </w:t>
      </w:r>
    </w:p>
    <w:p w14:paraId="7D3DBF6C"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Materiał </w:t>
      </w:r>
    </w:p>
    <w:p w14:paraId="3663621B"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Wykonawca przystępujący do wykonania oświetlenia drogowego winien posiadać następujące maszyny i sprzętu gwarantujących właściwą jakość robot: - dźwigu samochodowego, - samochodu specjalnego linowego z platformą i balkonem, - wiertnicy na podwoziu samochodowym ze świdrem, - </w:t>
      </w:r>
      <w:proofErr w:type="spellStart"/>
      <w:r w:rsidRPr="0089590F">
        <w:rPr>
          <w:rFonts w:ascii="Source Sans Pro" w:hAnsi="Source Sans Pro"/>
          <w:sz w:val="24"/>
          <w:szCs w:val="24"/>
        </w:rPr>
        <w:t>pogrążacza</w:t>
      </w:r>
      <w:proofErr w:type="spellEnd"/>
      <w:r w:rsidRPr="0089590F">
        <w:rPr>
          <w:rFonts w:ascii="Source Sans Pro" w:hAnsi="Source Sans Pro"/>
          <w:sz w:val="24"/>
          <w:szCs w:val="24"/>
        </w:rPr>
        <w:t xml:space="preserve"> uziomów, - zagęszczarki wibracyjnej, - zespołu prądotwórczego, - urządzeń pomiarowych (mierniki), - urządzenia </w:t>
      </w:r>
      <w:proofErr w:type="spellStart"/>
      <w:r w:rsidRPr="0089590F">
        <w:rPr>
          <w:rFonts w:ascii="Source Sans Pro" w:hAnsi="Source Sans Pro"/>
          <w:sz w:val="24"/>
          <w:szCs w:val="24"/>
        </w:rPr>
        <w:t>przeciskowego</w:t>
      </w:r>
      <w:proofErr w:type="spellEnd"/>
      <w:r w:rsidRPr="0089590F">
        <w:rPr>
          <w:rFonts w:ascii="Source Sans Pro" w:hAnsi="Source Sans Pro"/>
          <w:sz w:val="24"/>
          <w:szCs w:val="24"/>
        </w:rPr>
        <w:t xml:space="preserve"> do przeciskania rur ochronnych. </w:t>
      </w:r>
    </w:p>
    <w:p w14:paraId="2504A554"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Transport </w:t>
      </w:r>
    </w:p>
    <w:p w14:paraId="53605260"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Na środkach transportu przewożone materiały i elementy powinny być zabezpieczone przed ich przemieszczaniem, układane zgodnie z warunkami transportu wydanymi przez wytwórcę dla poszczególnych elementów. Wykonawca jest zobowiązany do stosowania jedynie takich środków transportu, które nie wpłyną niekorzystnie na jakość wykonywanych robot. Wykonawca przystępujący do wykonania oświetlenia winien posiadać następujące środki transportu: </w:t>
      </w:r>
    </w:p>
    <w:p w14:paraId="4324A95D"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 samochodu skrzyniowego, </w:t>
      </w:r>
    </w:p>
    <w:p w14:paraId="4DCA9BB8"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 samochodu dostawczego. </w:t>
      </w:r>
    </w:p>
    <w:p w14:paraId="460ABE20" w14:textId="77777777"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Pomiary oświetleniowe </w:t>
      </w:r>
    </w:p>
    <w:p w14:paraId="60030037" w14:textId="5CEA4292" w:rsidR="0089590F" w:rsidRDefault="0089590F" w:rsidP="0021013A">
      <w:pPr>
        <w:jc w:val="both"/>
        <w:rPr>
          <w:rFonts w:ascii="Source Sans Pro" w:hAnsi="Source Sans Pro"/>
          <w:sz w:val="24"/>
          <w:szCs w:val="24"/>
        </w:rPr>
      </w:pPr>
      <w:r w:rsidRPr="0089590F">
        <w:rPr>
          <w:rFonts w:ascii="Source Sans Pro" w:hAnsi="Source Sans Pro"/>
          <w:sz w:val="24"/>
          <w:szCs w:val="24"/>
        </w:rPr>
        <w:t xml:space="preserve">Pomiary oświetleniowe należy wykonywać po upływie co najmniej 0,5 godz. od włączenia lamp. Lampy przed pomiarem powinny być wyświecone minimum przez 100 godzin. Pomiary należy wykonywać przy suchej nawierzchni, wolnej od pojazdów, pieszych i jakichkolwiek obiektów obcych, mogących zniekształcić przebieg pomiaru. Pomiarów nie należy przeprowadzać podczas nocy księżycowych oraz w złych warunkach atmosferycznych (mgła, śnieżyca, unoszący się kurz itp.). Do pomiarów należy używać przyrządów pomiarowych o zakresach zapewniających przy każdym pomiarze odchylenia nie mniejsze od 30% całej skali na danym zakresie. Pomiary natężenia oświetlania należy wykonywać za pomocą luksomierza, który powinien posiadać atesty i certyfikaty odpowiednie dla urządzenia pomiarowego. Pomiary należy przeprowadzać dla punktów </w:t>
      </w:r>
      <w:r w:rsidRPr="0089590F">
        <w:rPr>
          <w:rFonts w:ascii="Source Sans Pro" w:hAnsi="Source Sans Pro"/>
          <w:sz w:val="24"/>
          <w:szCs w:val="24"/>
        </w:rPr>
        <w:lastRenderedPageBreak/>
        <w:t>jezdni, zgodnie z polską normą i aktualnymi zaleceniami opublikowanymi przez Polski Komitet Oświetleniowy.</w:t>
      </w:r>
    </w:p>
    <w:p w14:paraId="2208D433" w14:textId="47C1775A" w:rsidR="0089590F" w:rsidRPr="0089590F" w:rsidRDefault="0089590F" w:rsidP="0021013A">
      <w:pPr>
        <w:jc w:val="both"/>
        <w:rPr>
          <w:rFonts w:ascii="Source Sans Pro" w:hAnsi="Source Sans Pro"/>
          <w:sz w:val="24"/>
          <w:szCs w:val="24"/>
        </w:rPr>
      </w:pPr>
    </w:p>
    <w:p w14:paraId="2D9B2B98" w14:textId="77D1C566" w:rsidR="0089590F" w:rsidRPr="00E30A8D" w:rsidRDefault="0089590F" w:rsidP="00E30A8D">
      <w:pPr>
        <w:jc w:val="both"/>
        <w:rPr>
          <w:rFonts w:ascii="Source Sans Pro" w:hAnsi="Source Sans Pro"/>
          <w:sz w:val="24"/>
          <w:szCs w:val="24"/>
        </w:rPr>
      </w:pPr>
      <w:r w:rsidRPr="00E30A8D">
        <w:rPr>
          <w:rFonts w:ascii="Source Sans Pro" w:hAnsi="Source Sans Pro"/>
          <w:sz w:val="24"/>
          <w:szCs w:val="24"/>
        </w:rPr>
        <w:t xml:space="preserve">Część informacyjna </w:t>
      </w:r>
    </w:p>
    <w:p w14:paraId="3285FC1D" w14:textId="5925C2F2" w:rsidR="0089590F" w:rsidRPr="0089590F" w:rsidRDefault="0089590F" w:rsidP="0089590F">
      <w:pPr>
        <w:pStyle w:val="Akapitzlist"/>
        <w:numPr>
          <w:ilvl w:val="1"/>
          <w:numId w:val="2"/>
        </w:numPr>
        <w:jc w:val="both"/>
        <w:rPr>
          <w:rFonts w:ascii="Source Sans Pro" w:hAnsi="Source Sans Pro"/>
          <w:sz w:val="24"/>
          <w:szCs w:val="24"/>
        </w:rPr>
      </w:pPr>
      <w:r w:rsidRPr="0089590F">
        <w:rPr>
          <w:rFonts w:ascii="Source Sans Pro" w:hAnsi="Source Sans Pro"/>
          <w:sz w:val="24"/>
          <w:szCs w:val="24"/>
        </w:rPr>
        <w:t xml:space="preserve">Przepisy prawne i normy związane z projektowaniem i wykonaniem zamierzonych prac. </w:t>
      </w:r>
    </w:p>
    <w:p w14:paraId="402AE6BB" w14:textId="77777777" w:rsidR="0089590F" w:rsidRPr="0089590F" w:rsidRDefault="0089590F" w:rsidP="0089590F">
      <w:pPr>
        <w:pStyle w:val="Akapitzlist"/>
        <w:ind w:left="450"/>
        <w:jc w:val="both"/>
        <w:rPr>
          <w:rFonts w:ascii="Source Sans Pro" w:hAnsi="Source Sans Pro"/>
          <w:sz w:val="24"/>
          <w:szCs w:val="24"/>
        </w:rPr>
      </w:pPr>
    </w:p>
    <w:p w14:paraId="32B6A9CD" w14:textId="77777777" w:rsidR="0089590F" w:rsidRPr="0089590F" w:rsidRDefault="0089590F" w:rsidP="0089590F">
      <w:pPr>
        <w:pStyle w:val="Akapitzlist"/>
        <w:ind w:left="450"/>
        <w:jc w:val="both"/>
        <w:rPr>
          <w:rFonts w:ascii="Source Sans Pro" w:hAnsi="Source Sans Pro"/>
          <w:sz w:val="24"/>
          <w:szCs w:val="24"/>
        </w:rPr>
      </w:pPr>
      <w:r w:rsidRPr="0089590F">
        <w:rPr>
          <w:rFonts w:ascii="Source Sans Pro" w:hAnsi="Source Sans Pro"/>
          <w:sz w:val="24"/>
          <w:szCs w:val="24"/>
        </w:rPr>
        <w:t xml:space="preserve">Niniejszy program </w:t>
      </w:r>
      <w:proofErr w:type="spellStart"/>
      <w:r w:rsidRPr="0089590F">
        <w:rPr>
          <w:rFonts w:ascii="Source Sans Pro" w:hAnsi="Source Sans Pro"/>
          <w:sz w:val="24"/>
          <w:szCs w:val="24"/>
        </w:rPr>
        <w:t>funkcjonalno</w:t>
      </w:r>
      <w:proofErr w:type="spellEnd"/>
      <w:r w:rsidRPr="0089590F">
        <w:rPr>
          <w:rFonts w:ascii="Source Sans Pro" w:hAnsi="Source Sans Pro"/>
          <w:sz w:val="24"/>
          <w:szCs w:val="24"/>
        </w:rPr>
        <w:t xml:space="preserve"> - użytkowy został opracowany na podstawie:</w:t>
      </w:r>
    </w:p>
    <w:p w14:paraId="3111148B" w14:textId="308ECB93" w:rsidR="0089590F" w:rsidRPr="0089590F" w:rsidRDefault="0089590F" w:rsidP="00E30A8D">
      <w:pPr>
        <w:pStyle w:val="Akapitzlist"/>
        <w:numPr>
          <w:ilvl w:val="0"/>
          <w:numId w:val="7"/>
        </w:numPr>
        <w:ind w:left="709"/>
        <w:jc w:val="both"/>
        <w:rPr>
          <w:rFonts w:ascii="Source Sans Pro" w:hAnsi="Source Sans Pro"/>
          <w:sz w:val="24"/>
          <w:szCs w:val="24"/>
        </w:rPr>
      </w:pPr>
      <w:r w:rsidRPr="0089590F">
        <w:rPr>
          <w:rFonts w:ascii="Source Sans Pro" w:hAnsi="Source Sans Pro"/>
          <w:sz w:val="24"/>
          <w:szCs w:val="24"/>
        </w:rPr>
        <w:t xml:space="preserve">Rozporządzenia Ministra z dnia 2 września 2004r. w sprawie szczegółowego zakresu i formy dokumentacji projektowej, specyfikacji technicznych wykonania i odbioru robót budowlanych oraz programu </w:t>
      </w:r>
      <w:proofErr w:type="spellStart"/>
      <w:r w:rsidRPr="0089590F">
        <w:rPr>
          <w:rFonts w:ascii="Source Sans Pro" w:hAnsi="Source Sans Pro"/>
          <w:sz w:val="24"/>
          <w:szCs w:val="24"/>
        </w:rPr>
        <w:t>funkcjonalno</w:t>
      </w:r>
      <w:proofErr w:type="spellEnd"/>
      <w:r w:rsidRPr="0089590F">
        <w:rPr>
          <w:rFonts w:ascii="Source Sans Pro" w:hAnsi="Source Sans Pro"/>
          <w:sz w:val="24"/>
          <w:szCs w:val="24"/>
        </w:rPr>
        <w:t xml:space="preserve"> – użytkowego. </w:t>
      </w:r>
    </w:p>
    <w:p w14:paraId="01B8DD0D" w14:textId="39AA5E89" w:rsidR="0089590F" w:rsidRPr="0089590F" w:rsidRDefault="0089590F" w:rsidP="00E30A8D">
      <w:pPr>
        <w:pStyle w:val="Akapitzlist"/>
        <w:numPr>
          <w:ilvl w:val="0"/>
          <w:numId w:val="7"/>
        </w:numPr>
        <w:ind w:left="709"/>
        <w:jc w:val="both"/>
        <w:rPr>
          <w:rFonts w:ascii="Source Sans Pro" w:hAnsi="Source Sans Pro"/>
          <w:sz w:val="24"/>
          <w:szCs w:val="24"/>
        </w:rPr>
      </w:pPr>
      <w:r w:rsidRPr="0089590F">
        <w:rPr>
          <w:rFonts w:ascii="Source Sans Pro" w:hAnsi="Source Sans Pro"/>
          <w:sz w:val="24"/>
          <w:szCs w:val="24"/>
        </w:rPr>
        <w:t xml:space="preserve">Szczegółowych Specyfikacji Technicznych. </w:t>
      </w:r>
    </w:p>
    <w:p w14:paraId="547607E8" w14:textId="7A9AB166" w:rsidR="0089590F" w:rsidRPr="00F92C2D" w:rsidRDefault="0089590F" w:rsidP="00E30A8D">
      <w:pPr>
        <w:pStyle w:val="Akapitzlist"/>
        <w:numPr>
          <w:ilvl w:val="0"/>
          <w:numId w:val="7"/>
        </w:numPr>
        <w:ind w:left="709"/>
        <w:jc w:val="both"/>
        <w:rPr>
          <w:rFonts w:ascii="Source Sans Pro" w:hAnsi="Source Sans Pro"/>
          <w:sz w:val="24"/>
          <w:szCs w:val="24"/>
        </w:rPr>
      </w:pPr>
      <w:r w:rsidRPr="00F92C2D">
        <w:rPr>
          <w:rFonts w:ascii="Source Sans Pro" w:hAnsi="Source Sans Pro"/>
          <w:sz w:val="24"/>
          <w:szCs w:val="24"/>
        </w:rPr>
        <w:t xml:space="preserve">Oględzin i przeglądów w terenie. </w:t>
      </w:r>
    </w:p>
    <w:p w14:paraId="640C94D4" w14:textId="1AB958FA" w:rsidR="0089590F" w:rsidRPr="00F92C2D" w:rsidRDefault="0089590F" w:rsidP="00E30A8D">
      <w:pPr>
        <w:pStyle w:val="Akapitzlist"/>
        <w:numPr>
          <w:ilvl w:val="0"/>
          <w:numId w:val="7"/>
        </w:numPr>
        <w:ind w:left="709"/>
        <w:jc w:val="both"/>
        <w:rPr>
          <w:rFonts w:ascii="Source Sans Pro" w:hAnsi="Source Sans Pro"/>
          <w:sz w:val="24"/>
          <w:szCs w:val="24"/>
        </w:rPr>
      </w:pPr>
      <w:r w:rsidRPr="00F92C2D">
        <w:rPr>
          <w:rFonts w:ascii="Source Sans Pro" w:hAnsi="Source Sans Pro"/>
          <w:sz w:val="24"/>
          <w:szCs w:val="24"/>
        </w:rPr>
        <w:t>Odpowiednich norm i przepisów.</w:t>
      </w:r>
    </w:p>
    <w:p w14:paraId="53972A16" w14:textId="281F4D69" w:rsidR="0089590F" w:rsidRPr="00F92C2D" w:rsidRDefault="0089590F" w:rsidP="0089590F">
      <w:pPr>
        <w:jc w:val="both"/>
        <w:rPr>
          <w:rFonts w:ascii="Source Sans Pro" w:hAnsi="Source Sans Pro"/>
          <w:sz w:val="24"/>
          <w:szCs w:val="24"/>
        </w:rPr>
      </w:pPr>
      <w:r w:rsidRPr="00F92C2D">
        <w:rPr>
          <w:rFonts w:ascii="Source Sans Pro" w:hAnsi="Source Sans Pro"/>
          <w:sz w:val="24"/>
          <w:szCs w:val="24"/>
        </w:rPr>
        <w:t>Oświetlenie zaprojektować w oparciu o:</w:t>
      </w:r>
    </w:p>
    <w:p w14:paraId="122FC7E7" w14:textId="2D6D488E" w:rsidR="00125D78" w:rsidRPr="00125D78" w:rsidRDefault="00125D78" w:rsidP="00125D78">
      <w:pPr>
        <w:pStyle w:val="Akapitzlist"/>
        <w:numPr>
          <w:ilvl w:val="0"/>
          <w:numId w:val="9"/>
        </w:numPr>
        <w:jc w:val="both"/>
        <w:rPr>
          <w:rFonts w:ascii="Source Sans Pro" w:hAnsi="Source Sans Pro"/>
          <w:sz w:val="24"/>
          <w:szCs w:val="24"/>
        </w:rPr>
      </w:pPr>
      <w:r>
        <w:rPr>
          <w:rFonts w:ascii="Source Sans Pro" w:hAnsi="Source Sans Pro"/>
          <w:sz w:val="24"/>
          <w:szCs w:val="24"/>
        </w:rPr>
        <w:t>Wytyczne projektowania infrastruktury dla pieszych  WR-D-41-3, WR-D-41-4</w:t>
      </w:r>
    </w:p>
    <w:p w14:paraId="681EB530" w14:textId="1591B740" w:rsidR="00F92C2D" w:rsidRDefault="0089590F" w:rsidP="00F92C2D">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zalecenia Polskiego Komitetu Oświetleniowego, </w:t>
      </w:r>
    </w:p>
    <w:p w14:paraId="76B28989"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PKN-CEN/TR 13201-1:2016-02 Oświetlenie dróg. Część 1: Wytyczne dotyczące wyboru</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klas oświetlenia</w:t>
      </w:r>
      <w:r>
        <w:rPr>
          <w:rFonts w:ascii="Source Sans Pro" w:eastAsia="CIDFont+F1" w:hAnsi="Source Sans Pro" w:cs="CIDFont+F1"/>
          <w:sz w:val="24"/>
          <w:szCs w:val="24"/>
        </w:rPr>
        <w:t>,</w:t>
      </w:r>
    </w:p>
    <w:p w14:paraId="4B4DCA76"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13201-2:2016-03 Oświetlenie dróg. Część 2: Wymagania eksploatacyjne</w:t>
      </w:r>
      <w:r>
        <w:rPr>
          <w:rFonts w:ascii="Source Sans Pro" w:eastAsia="CIDFont+F1" w:hAnsi="Source Sans Pro" w:cs="CIDFont+F1"/>
          <w:sz w:val="24"/>
          <w:szCs w:val="24"/>
        </w:rPr>
        <w:t>,</w:t>
      </w:r>
    </w:p>
    <w:p w14:paraId="6AA192E6"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13201-3:2016-03 Oświetlenie dróg. Część 3: Obliczenia parametrów</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oświetleniowych</w:t>
      </w:r>
      <w:r>
        <w:rPr>
          <w:rFonts w:ascii="Source Sans Pro" w:eastAsia="CIDFont+F1" w:hAnsi="Source Sans Pro" w:cs="CIDFont+F1"/>
          <w:sz w:val="24"/>
          <w:szCs w:val="24"/>
        </w:rPr>
        <w:t>,</w:t>
      </w:r>
    </w:p>
    <w:p w14:paraId="6507E60D" w14:textId="7B116C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13201-4:2016-03 Oświetlenie dróg. Część 4: Metody pomiaru efektywności</w:t>
      </w:r>
      <w:r>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oświetlenia</w:t>
      </w:r>
      <w:r>
        <w:rPr>
          <w:rFonts w:ascii="Source Sans Pro" w:eastAsia="CIDFont+F1" w:hAnsi="Source Sans Pro" w:cs="CIDFont+F1"/>
          <w:sz w:val="24"/>
          <w:szCs w:val="24"/>
        </w:rPr>
        <w:t>,</w:t>
      </w:r>
    </w:p>
    <w:p w14:paraId="351D1040" w14:textId="1146D28B"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PN-EN 13201-5:2016-03 Oświetlenie dróg. Część 5: Wskaźniki efektywności</w:t>
      </w:r>
    </w:p>
    <w:p w14:paraId="09EAB8A8" w14:textId="3705296A"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energetycznej.</w:t>
      </w:r>
    </w:p>
    <w:p w14:paraId="7D50A73A" w14:textId="77777777"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normy PN-76/E-05125, PKN-CEN/TR 13201:2007, PN-E-5 100-1:1998, N-SEP-003 oraz N-SEP-004 </w:t>
      </w:r>
    </w:p>
    <w:p w14:paraId="0201E03F" w14:textId="1D047E25"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Warunki przyłączenia urządzeń elektroenergetycznych do sieci oświetleniowej, </w:t>
      </w:r>
    </w:p>
    <w:p w14:paraId="5507F0E2" w14:textId="0DEC44E0" w:rsidR="0089590F"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Warunki przyłączenia urządzeń elektroenergetycznych sieci oświetleniowej wydane przez TAURON Dystrybucja S.A. </w:t>
      </w:r>
    </w:p>
    <w:p w14:paraId="54DF2F35" w14:textId="59FB76E1"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Ustawę z dnia 07 lipca 1994r. - Prawo budowlane (Dz. U. z 2010 r. nr 243, poz. 1623 z</w:t>
      </w:r>
      <w:r w:rsidR="009C0153">
        <w:rPr>
          <w:rFonts w:ascii="Source Sans Pro" w:hAnsi="Source Sans Pro"/>
          <w:sz w:val="24"/>
          <w:szCs w:val="24"/>
        </w:rPr>
        <w:t xml:space="preserve"> </w:t>
      </w:r>
      <w:r w:rsidRPr="00F92C2D">
        <w:rPr>
          <w:rFonts w:ascii="Source Sans Pro" w:hAnsi="Source Sans Pro"/>
          <w:sz w:val="24"/>
          <w:szCs w:val="24"/>
        </w:rPr>
        <w:t xml:space="preserve"> zm.). </w:t>
      </w:r>
    </w:p>
    <w:p w14:paraId="65739FEA" w14:textId="395290CB"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Transportu, Budownictwa i Gospodarki Morskiej z dnia 25 kwietnia 2012 r. w sprawie szczegółowego zakresu i formy projektu budowlanego (Dz. U. z 2012 r. poz. 462). </w:t>
      </w:r>
    </w:p>
    <w:p w14:paraId="2DCF6374" w14:textId="4F4DECCC"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Rozporządzenie Ministra Spraw Wewnętrznych i Administracji z dnia 24 września 1998r. w sprawie ustalania geotechnicznych warunków posadowienia obiektów budowlanych (Dz. U. Nr 126, poz. 839 z  zm.). </w:t>
      </w:r>
    </w:p>
    <w:p w14:paraId="119E1624" w14:textId="34E7BD36"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lastRenderedPageBreak/>
        <w:t xml:space="preserve">Rozporządzenie Ministra Gospodarki Przestrzennej i Budownictwa w sprawie rodzajów i zakresu opracowań </w:t>
      </w:r>
      <w:proofErr w:type="spellStart"/>
      <w:r w:rsidRPr="00F92C2D">
        <w:rPr>
          <w:rFonts w:ascii="Source Sans Pro" w:hAnsi="Source Sans Pro"/>
          <w:sz w:val="24"/>
          <w:szCs w:val="24"/>
        </w:rPr>
        <w:t>geodezyjno</w:t>
      </w:r>
      <w:proofErr w:type="spellEnd"/>
      <w:r w:rsidRPr="00F92C2D">
        <w:rPr>
          <w:rFonts w:ascii="Source Sans Pro" w:hAnsi="Source Sans Pro"/>
          <w:sz w:val="24"/>
          <w:szCs w:val="24"/>
        </w:rPr>
        <w:t xml:space="preserve"> - kartograficznych oraz czynności geodezyjnych obowiązujących w budownictwie ( Dz. U. z 1995r., Nr 25, poz. 133 ). </w:t>
      </w:r>
    </w:p>
    <w:p w14:paraId="0643FB57" w14:textId="46FF154B"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Rozporządzenie Ministra Infrastruktury z dnia 23 czerwca 2003r. w sprawie informacji dotyczącej bezpieczeństwa i ochrony zdrowia oraz planu bezpieczeństwa i ochrony zdrowia (Dz. U. Nr 120, poz. 1126 z  zm.). </w:t>
      </w:r>
    </w:p>
    <w:p w14:paraId="733C6BA9" w14:textId="3D243D23"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Infrastruktury z dnia 23 czerwca 2003r. w sprawie wzorów wniosku o pozwolenie na budowę, oświadczenia o posiadanym prawie do dysponowania nieruchomością na cele budowlane i decyzji o pozwoleniu na budowę (Dz. U. Nr 120, poz. 1127 z  zm.). </w:t>
      </w:r>
    </w:p>
    <w:p w14:paraId="0BBA2D06" w14:textId="77D8D5D8" w:rsidR="00F92C2D" w:rsidRP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 Ustawę z dnia 29 stycznia 2004r. Prawo zamówień publicznych (Dz. U. z 2015 r., poz. 2164 z</w:t>
      </w:r>
      <w:r w:rsidR="009C0153">
        <w:rPr>
          <w:rFonts w:ascii="Source Sans Pro" w:hAnsi="Source Sans Pro"/>
          <w:sz w:val="24"/>
          <w:szCs w:val="24"/>
        </w:rPr>
        <w:t xml:space="preserve"> </w:t>
      </w:r>
      <w:r w:rsidRPr="00F92C2D">
        <w:rPr>
          <w:rFonts w:ascii="Source Sans Pro" w:hAnsi="Source Sans Pro"/>
          <w:sz w:val="24"/>
          <w:szCs w:val="24"/>
        </w:rPr>
        <w:t xml:space="preserve">zm.) </w:t>
      </w:r>
    </w:p>
    <w:p w14:paraId="7C73B488" w14:textId="5C23AA13" w:rsidR="00F92C2D" w:rsidRDefault="0089590F" w:rsidP="0089590F">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rsidRPr="00F92C2D">
        <w:rPr>
          <w:rFonts w:ascii="Source Sans Pro" w:hAnsi="Source Sans Pro"/>
          <w:sz w:val="24"/>
          <w:szCs w:val="24"/>
        </w:rPr>
        <w:t>funkcjonalno</w:t>
      </w:r>
      <w:proofErr w:type="spellEnd"/>
      <w:r w:rsidRPr="00F92C2D">
        <w:rPr>
          <w:rFonts w:ascii="Source Sans Pro" w:hAnsi="Source Sans Pro"/>
          <w:sz w:val="24"/>
          <w:szCs w:val="24"/>
        </w:rPr>
        <w:t xml:space="preserve"> - użytkowym ( Dz. U. nr 130, poz. 1389 z zm.). </w:t>
      </w:r>
    </w:p>
    <w:p w14:paraId="1E3D82D3" w14:textId="1A8DA69F" w:rsidR="00F92C2D" w:rsidRDefault="0089590F" w:rsidP="00F92C2D">
      <w:pPr>
        <w:pStyle w:val="Akapitzlist"/>
        <w:numPr>
          <w:ilvl w:val="0"/>
          <w:numId w:val="9"/>
        </w:numPr>
        <w:jc w:val="both"/>
        <w:rPr>
          <w:rFonts w:ascii="Source Sans Pro" w:hAnsi="Source Sans Pro"/>
          <w:sz w:val="24"/>
          <w:szCs w:val="24"/>
        </w:rPr>
      </w:pPr>
      <w:r w:rsidRPr="00F92C2D">
        <w:rPr>
          <w:rFonts w:ascii="Source Sans Pro" w:hAnsi="Source Sans Pro"/>
          <w:sz w:val="24"/>
          <w:szCs w:val="24"/>
        </w:rPr>
        <w:t xml:space="preserve">Rozporządzenie Ministra Infrastruktury z dnia 2 września 2004r. w sprawie szczegółowego zakresu i formy dokumentacji projektowej, specyfikacji technicznych wykonania i odbioru robót budowlanych oraz programu </w:t>
      </w:r>
      <w:proofErr w:type="spellStart"/>
      <w:r w:rsidRPr="00F92C2D">
        <w:rPr>
          <w:rFonts w:ascii="Source Sans Pro" w:hAnsi="Source Sans Pro"/>
          <w:sz w:val="24"/>
          <w:szCs w:val="24"/>
        </w:rPr>
        <w:t>funkcjonalno</w:t>
      </w:r>
      <w:proofErr w:type="spellEnd"/>
      <w:r w:rsidRPr="00F92C2D">
        <w:rPr>
          <w:rFonts w:ascii="Source Sans Pro" w:hAnsi="Source Sans Pro"/>
          <w:sz w:val="24"/>
          <w:szCs w:val="24"/>
        </w:rPr>
        <w:t xml:space="preserve"> - użytkowego (Dz. U. z 2013 r. poz.1129 z  zm.)</w:t>
      </w:r>
    </w:p>
    <w:p w14:paraId="24321D2D" w14:textId="162ACC9A" w:rsidR="00F92C2D" w:rsidRPr="00F92C2D" w:rsidRDefault="0089590F"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Ustawa z dnia 20 czerwca 1997 r. – Prawo o ruchu drogowym (Dz. U. z 2020 r. poz. 110,z  zm.).</w:t>
      </w:r>
    </w:p>
    <w:p w14:paraId="5CF5C8D3" w14:textId="518EB90D" w:rsidR="00F92C2D" w:rsidRPr="00F92C2D" w:rsidRDefault="0089590F"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sz w:val="24"/>
          <w:szCs w:val="24"/>
        </w:rPr>
        <w:t>Rozporządzenie Ministra Infrastruktury z dnia 3 lipca 2003 r. w sprawie szczegółowych</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warunków technicznych dla znaków i sygnałów drogowych oraz urządzeń bezpieczeństwa</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ruchu drogowego i warunków ich umieszczania na drogach (Dz. U. z 2019 r. poz. 2311,</w:t>
      </w:r>
      <w:r w:rsidR="00F92C2D">
        <w:rPr>
          <w:rFonts w:ascii="Source Sans Pro" w:eastAsia="CIDFont+F1" w:hAnsi="Source Sans Pro" w:cs="CIDFont+F1"/>
          <w:sz w:val="24"/>
          <w:szCs w:val="24"/>
        </w:rPr>
        <w:t xml:space="preserve"> </w:t>
      </w:r>
      <w:r w:rsidRPr="00F92C2D">
        <w:rPr>
          <w:rFonts w:ascii="Source Sans Pro" w:eastAsia="CIDFont+F1" w:hAnsi="Source Sans Pro" w:cs="CIDFont+F1"/>
          <w:sz w:val="24"/>
          <w:szCs w:val="24"/>
        </w:rPr>
        <w:t>z  zm.)</w:t>
      </w:r>
      <w:r w:rsidR="00F92C2D">
        <w:rPr>
          <w:rFonts w:ascii="Source Sans Pro" w:eastAsia="CIDFont+F1" w:hAnsi="Source Sans Pro" w:cs="CIDFont+F1"/>
          <w:sz w:val="24"/>
          <w:szCs w:val="24"/>
        </w:rPr>
        <w:t>,</w:t>
      </w:r>
    </w:p>
    <w:p w14:paraId="0EEE5122"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Instytut Ochrony Środowiska – Państwowy Instytut Badawczy, Wskaźniki emisyjności CO2,SO2,NOx, CO i pyłu całkowitego dla energii elektrycznej, 2017</w:t>
      </w:r>
      <w:r>
        <w:rPr>
          <w:rFonts w:ascii="Source Sans Pro" w:eastAsia="CIDFont+F1" w:hAnsi="Source Sans Pro" w:cs="CIDFont+F1"/>
          <w:color w:val="000000"/>
          <w:sz w:val="24"/>
          <w:szCs w:val="24"/>
        </w:rPr>
        <w:t>,</w:t>
      </w:r>
    </w:p>
    <w:p w14:paraId="41DF7B0A"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Jamroz K., Metoda zarządzania ryzykiem w inżynierii drogowej, Wydawnictwo Politechniki</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Gdańskiej, Gdańsk, 2011</w:t>
      </w:r>
      <w:r>
        <w:rPr>
          <w:rFonts w:ascii="Source Sans Pro" w:eastAsia="CIDFont+F1" w:hAnsi="Source Sans Pro" w:cs="CIDFont+F1"/>
          <w:color w:val="000000"/>
          <w:sz w:val="24"/>
          <w:szCs w:val="24"/>
        </w:rPr>
        <w:t xml:space="preserve">, </w:t>
      </w:r>
    </w:p>
    <w:p w14:paraId="0E79FE25"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 xml:space="preserve">Jamroz K., </w:t>
      </w:r>
      <w:proofErr w:type="spellStart"/>
      <w:r w:rsidRPr="00F92C2D">
        <w:rPr>
          <w:rFonts w:ascii="Source Sans Pro" w:eastAsia="CIDFont+F1" w:hAnsi="Source Sans Pro" w:cs="CIDFont+F1"/>
          <w:color w:val="000000"/>
          <w:sz w:val="24"/>
          <w:szCs w:val="24"/>
        </w:rPr>
        <w:t>Mackun</w:t>
      </w:r>
      <w:proofErr w:type="spellEnd"/>
      <w:r w:rsidRPr="00F92C2D">
        <w:rPr>
          <w:rFonts w:ascii="Source Sans Pro" w:eastAsia="CIDFont+F1" w:hAnsi="Source Sans Pro" w:cs="CIDFont+F1"/>
          <w:color w:val="000000"/>
          <w:sz w:val="24"/>
          <w:szCs w:val="24"/>
        </w:rPr>
        <w:t xml:space="preserve"> T. i inni, Metoda wyznaczania obszaru dobrej widoczności 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przejściach dla pieszych w Polsce, Transport Miejski i Regionalny 04/2015</w:t>
      </w:r>
      <w:r>
        <w:rPr>
          <w:rFonts w:ascii="Source Sans Pro" w:eastAsia="CIDFont+F1" w:hAnsi="Source Sans Pro" w:cs="CIDFont+F1"/>
          <w:color w:val="000000"/>
          <w:sz w:val="24"/>
          <w:szCs w:val="24"/>
        </w:rPr>
        <w:t xml:space="preserve">, </w:t>
      </w:r>
    </w:p>
    <w:p w14:paraId="76781C92" w14:textId="77777777" w:rsidR="00F92C2D" w:rsidRPr="00F92C2D"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Jaspers, Niebieska Księga – Infrastruktura Drogowa, Warszawa, 2015</w:t>
      </w:r>
      <w:r>
        <w:rPr>
          <w:rFonts w:ascii="Source Sans Pro" w:eastAsia="CIDFont+F1" w:hAnsi="Source Sans Pro" w:cs="CIDFont+F1"/>
          <w:color w:val="000000"/>
          <w:sz w:val="24"/>
          <w:szCs w:val="24"/>
        </w:rPr>
        <w:t xml:space="preserve">, </w:t>
      </w:r>
    </w:p>
    <w:p w14:paraId="627AD200" w14:textId="77777777" w:rsidR="00F92C2D" w:rsidRPr="00F92C2D" w:rsidRDefault="00F92C2D" w:rsidP="00F92C2D">
      <w:pPr>
        <w:pStyle w:val="Akapitzlist"/>
        <w:numPr>
          <w:ilvl w:val="0"/>
          <w:numId w:val="9"/>
        </w:numPr>
        <w:jc w:val="both"/>
        <w:rPr>
          <w:rFonts w:ascii="Source Sans Pro" w:hAnsi="Source Sans Pro"/>
          <w:sz w:val="24"/>
          <w:szCs w:val="24"/>
        </w:rPr>
      </w:pPr>
      <w:proofErr w:type="spellStart"/>
      <w:r w:rsidRPr="00F92C2D">
        <w:rPr>
          <w:rFonts w:ascii="Source Sans Pro" w:eastAsia="CIDFont+F1" w:hAnsi="Source Sans Pro" w:cs="CIDFont+F1"/>
          <w:color w:val="000000"/>
          <w:sz w:val="24"/>
          <w:szCs w:val="24"/>
        </w:rPr>
        <w:t>Jaździk</w:t>
      </w:r>
      <w:proofErr w:type="spellEnd"/>
      <w:r w:rsidRPr="00F92C2D">
        <w:rPr>
          <w:rFonts w:ascii="Source Sans Pro" w:eastAsia="CIDFont+F1" w:hAnsi="Source Sans Pro" w:cs="CIDFont+F1"/>
          <w:color w:val="000000"/>
          <w:sz w:val="24"/>
          <w:szCs w:val="24"/>
        </w:rPr>
        <w:t>-Osmólska A. i inni, Instytut Badawczy Dróg i Mostów, Metoda oraz wycena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kosztów wypadków i kolizji drogowych na sieci dróg w Polsce na koniec roku 2012</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z wyodrębnieniem średnich kosztów społecznoekonomicznych zdarzeń drogowych na</w:t>
      </w:r>
      <w:r>
        <w:rPr>
          <w:rFonts w:ascii="Source Sans Pro" w:eastAsia="CIDFont+F1" w:hAnsi="Source Sans Pro" w:cs="CIDFont+F1"/>
          <w:color w:val="000000"/>
          <w:sz w:val="24"/>
          <w:szCs w:val="24"/>
        </w:rPr>
        <w:t xml:space="preserve"> </w:t>
      </w:r>
      <w:r w:rsidRPr="00F92C2D">
        <w:rPr>
          <w:rFonts w:ascii="Source Sans Pro" w:eastAsia="CIDFont+F1" w:hAnsi="Source Sans Pro" w:cs="CIDFont+F1"/>
          <w:color w:val="000000"/>
          <w:sz w:val="24"/>
          <w:szCs w:val="24"/>
        </w:rPr>
        <w:t>sieci TEN</w:t>
      </w:r>
      <w:r w:rsidRPr="00F92C2D">
        <w:rPr>
          <w:rFonts w:ascii="Cambria Math" w:eastAsia="CIDFont+F1" w:hAnsi="Cambria Math" w:cs="Cambria Math"/>
          <w:color w:val="000000"/>
          <w:sz w:val="24"/>
          <w:szCs w:val="24"/>
        </w:rPr>
        <w:t>‐</w:t>
      </w:r>
      <w:r w:rsidRPr="00F92C2D">
        <w:rPr>
          <w:rFonts w:ascii="Source Sans Pro" w:eastAsia="CIDFont+F1" w:hAnsi="Source Sans Pro" w:cs="CIDFont+F1"/>
          <w:color w:val="000000"/>
          <w:sz w:val="24"/>
          <w:szCs w:val="24"/>
        </w:rPr>
        <w:t>T, Warszawa, 2013</w:t>
      </w:r>
      <w:r>
        <w:rPr>
          <w:rFonts w:ascii="Source Sans Pro" w:eastAsia="CIDFont+F1" w:hAnsi="Source Sans Pro" w:cs="CIDFont+F1"/>
          <w:color w:val="000000"/>
          <w:sz w:val="24"/>
          <w:szCs w:val="24"/>
        </w:rPr>
        <w:t xml:space="preserve">, </w:t>
      </w:r>
    </w:p>
    <w:p w14:paraId="333D6011" w14:textId="0986D885" w:rsidR="00F92C2D" w:rsidRPr="00125D78" w:rsidRDefault="00F92C2D" w:rsidP="00F92C2D">
      <w:pPr>
        <w:pStyle w:val="Akapitzlist"/>
        <w:numPr>
          <w:ilvl w:val="0"/>
          <w:numId w:val="9"/>
        </w:numPr>
        <w:jc w:val="both"/>
        <w:rPr>
          <w:rFonts w:ascii="Source Sans Pro" w:hAnsi="Source Sans Pro"/>
          <w:sz w:val="24"/>
          <w:szCs w:val="24"/>
        </w:rPr>
      </w:pPr>
      <w:r w:rsidRPr="00F92C2D">
        <w:rPr>
          <w:rFonts w:ascii="Source Sans Pro" w:eastAsia="CIDFont+F1" w:hAnsi="Source Sans Pro" w:cs="CIDFont+F1"/>
          <w:color w:val="000000"/>
          <w:sz w:val="24"/>
          <w:szCs w:val="24"/>
        </w:rPr>
        <w:t xml:space="preserve">Olszewski P., Osińska B., </w:t>
      </w:r>
      <w:proofErr w:type="spellStart"/>
      <w:r w:rsidRPr="00F92C2D">
        <w:rPr>
          <w:rFonts w:ascii="Source Sans Pro" w:eastAsia="CIDFont+F1" w:hAnsi="Source Sans Pro" w:cs="CIDFont+F1"/>
          <w:color w:val="000000"/>
          <w:sz w:val="24"/>
          <w:szCs w:val="24"/>
        </w:rPr>
        <w:t>Szagała</w:t>
      </w:r>
      <w:proofErr w:type="spellEnd"/>
      <w:r w:rsidRPr="00F92C2D">
        <w:rPr>
          <w:rFonts w:ascii="Source Sans Pro" w:eastAsia="CIDFont+F1" w:hAnsi="Source Sans Pro" w:cs="CIDFont+F1"/>
          <w:color w:val="000000"/>
          <w:sz w:val="24"/>
          <w:szCs w:val="24"/>
        </w:rPr>
        <w:t xml:space="preserve"> P., Włodarek P., Development of </w:t>
      </w:r>
      <w:proofErr w:type="spellStart"/>
      <w:r w:rsidRPr="00F92C2D">
        <w:rPr>
          <w:rFonts w:ascii="Source Sans Pro" w:eastAsia="CIDFont+F1" w:hAnsi="Source Sans Pro" w:cs="CIDFont+F1"/>
          <w:color w:val="000000"/>
          <w:sz w:val="24"/>
          <w:szCs w:val="24"/>
        </w:rPr>
        <w:t>accident</w:t>
      </w:r>
      <w:proofErr w:type="spellEnd"/>
      <w:r w:rsidRPr="00F92C2D">
        <w:rPr>
          <w:rFonts w:ascii="Source Sans Pro" w:eastAsia="CIDFont+F1" w:hAnsi="Source Sans Pro" w:cs="CIDFont+F1"/>
          <w:color w:val="000000"/>
          <w:sz w:val="24"/>
          <w:szCs w:val="24"/>
        </w:rPr>
        <w:t xml:space="preserve"> </w:t>
      </w:r>
      <w:proofErr w:type="spellStart"/>
      <w:r w:rsidRPr="00F92C2D">
        <w:rPr>
          <w:rFonts w:ascii="Source Sans Pro" w:eastAsia="CIDFont+F1" w:hAnsi="Source Sans Pro" w:cs="CIDFont+F1"/>
          <w:color w:val="000000"/>
          <w:sz w:val="24"/>
          <w:szCs w:val="24"/>
        </w:rPr>
        <w:t>predictionmodels</w:t>
      </w:r>
      <w:proofErr w:type="spellEnd"/>
      <w:r w:rsidRPr="00F92C2D">
        <w:rPr>
          <w:rFonts w:ascii="Source Sans Pro" w:eastAsia="CIDFont+F1" w:hAnsi="Source Sans Pro" w:cs="CIDFont+F1"/>
          <w:color w:val="000000"/>
          <w:sz w:val="24"/>
          <w:szCs w:val="24"/>
        </w:rPr>
        <w:t xml:space="preserve"> for </w:t>
      </w:r>
      <w:proofErr w:type="spellStart"/>
      <w:r w:rsidRPr="00F92C2D">
        <w:rPr>
          <w:rFonts w:ascii="Source Sans Pro" w:eastAsia="CIDFont+F1" w:hAnsi="Source Sans Pro" w:cs="CIDFont+F1"/>
          <w:color w:val="000000"/>
          <w:sz w:val="24"/>
          <w:szCs w:val="24"/>
        </w:rPr>
        <w:t>pedestrian</w:t>
      </w:r>
      <w:proofErr w:type="spellEnd"/>
      <w:r w:rsidRPr="00F92C2D">
        <w:rPr>
          <w:rFonts w:ascii="Source Sans Pro" w:eastAsia="CIDFont+F1" w:hAnsi="Source Sans Pro" w:cs="CIDFont+F1"/>
          <w:color w:val="000000"/>
          <w:sz w:val="24"/>
          <w:szCs w:val="24"/>
        </w:rPr>
        <w:t xml:space="preserve"> </w:t>
      </w:r>
      <w:proofErr w:type="spellStart"/>
      <w:r w:rsidRPr="00F92C2D">
        <w:rPr>
          <w:rFonts w:ascii="Source Sans Pro" w:eastAsia="CIDFont+F1" w:hAnsi="Source Sans Pro" w:cs="CIDFont+F1"/>
          <w:color w:val="000000"/>
          <w:sz w:val="24"/>
          <w:szCs w:val="24"/>
        </w:rPr>
        <w:t>crossings</w:t>
      </w:r>
      <w:proofErr w:type="spellEnd"/>
      <w:r w:rsidRPr="00F92C2D">
        <w:rPr>
          <w:rFonts w:ascii="Source Sans Pro" w:eastAsia="CIDFont+F1" w:hAnsi="Source Sans Pro" w:cs="CIDFont+F1"/>
          <w:color w:val="000000"/>
          <w:sz w:val="24"/>
          <w:szCs w:val="24"/>
        </w:rPr>
        <w:t xml:space="preserve">. MATEC Web of </w:t>
      </w:r>
      <w:proofErr w:type="spellStart"/>
      <w:r w:rsidRPr="00F92C2D">
        <w:rPr>
          <w:rFonts w:ascii="Source Sans Pro" w:eastAsia="CIDFont+F1" w:hAnsi="Source Sans Pro" w:cs="CIDFont+F1"/>
          <w:color w:val="000000"/>
          <w:sz w:val="24"/>
          <w:szCs w:val="24"/>
        </w:rPr>
        <w:t>Conferences</w:t>
      </w:r>
      <w:proofErr w:type="spellEnd"/>
      <w:r w:rsidRPr="00F92C2D">
        <w:rPr>
          <w:rFonts w:ascii="Source Sans Pro" w:eastAsia="CIDFont+F1" w:hAnsi="Source Sans Pro" w:cs="CIDFont+F1"/>
          <w:color w:val="000000"/>
          <w:sz w:val="24"/>
          <w:szCs w:val="24"/>
        </w:rPr>
        <w:t xml:space="preserve"> 231, 03002 (2018) GAMBIT2018, </w:t>
      </w:r>
      <w:hyperlink r:id="rId6" w:history="1">
        <w:r w:rsidR="00125D78" w:rsidRPr="007052FC">
          <w:rPr>
            <w:rStyle w:val="Hipercze"/>
            <w:rFonts w:ascii="Source Sans Pro" w:eastAsia="CIDFont+F1" w:hAnsi="Source Sans Pro" w:cs="CIDFont+F1"/>
            <w:sz w:val="24"/>
            <w:szCs w:val="24"/>
          </w:rPr>
          <w:t>https://doi.org/10.1051/matecconf/201823103002</w:t>
        </w:r>
      </w:hyperlink>
    </w:p>
    <w:p w14:paraId="4887D7D7" w14:textId="394E8D5B" w:rsidR="00125D78" w:rsidRPr="00F92C2D" w:rsidRDefault="00125D78" w:rsidP="00125D78">
      <w:pPr>
        <w:pStyle w:val="Akapitzlist"/>
        <w:jc w:val="both"/>
        <w:rPr>
          <w:rFonts w:ascii="Source Sans Pro" w:hAnsi="Source Sans Pro"/>
          <w:sz w:val="24"/>
          <w:szCs w:val="24"/>
        </w:rPr>
      </w:pPr>
    </w:p>
    <w:p w14:paraId="3E102950" w14:textId="77777777" w:rsidR="0089590F" w:rsidRPr="0021013A" w:rsidRDefault="0089590F" w:rsidP="0021013A">
      <w:pPr>
        <w:jc w:val="both"/>
        <w:rPr>
          <w:rFonts w:ascii="Source Sans Pro" w:hAnsi="Source Sans Pro"/>
          <w:sz w:val="24"/>
          <w:szCs w:val="24"/>
        </w:rPr>
      </w:pPr>
    </w:p>
    <w:sectPr w:rsidR="0089590F" w:rsidRPr="00210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C79"/>
    <w:multiLevelType w:val="hybridMultilevel"/>
    <w:tmpl w:val="271CB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F3C5C"/>
    <w:multiLevelType w:val="hybridMultilevel"/>
    <w:tmpl w:val="B4BE6B2A"/>
    <w:lvl w:ilvl="0" w:tplc="D11E22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1E5A0858"/>
    <w:multiLevelType w:val="hybridMultilevel"/>
    <w:tmpl w:val="CDD26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7F4417"/>
    <w:multiLevelType w:val="hybridMultilevel"/>
    <w:tmpl w:val="C3D45396"/>
    <w:lvl w:ilvl="0" w:tplc="D11E22CE">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41122B"/>
    <w:multiLevelType w:val="hybridMultilevel"/>
    <w:tmpl w:val="59325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9E715D"/>
    <w:multiLevelType w:val="hybridMultilevel"/>
    <w:tmpl w:val="BD5AE0DA"/>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6" w15:restartNumberingAfterBreak="0">
    <w:nsid w:val="581037EA"/>
    <w:multiLevelType w:val="multilevel"/>
    <w:tmpl w:val="3168C4D4"/>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65E83CEF"/>
    <w:multiLevelType w:val="hybridMultilevel"/>
    <w:tmpl w:val="D8B4EAFC"/>
    <w:lvl w:ilvl="0" w:tplc="04150001">
      <w:start w:val="1"/>
      <w:numFmt w:val="bullet"/>
      <w:lvlText w:val=""/>
      <w:lvlJc w:val="left"/>
      <w:pPr>
        <w:ind w:left="1220" w:hanging="360"/>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8" w15:restartNumberingAfterBreak="0">
    <w:nsid w:val="712325E1"/>
    <w:multiLevelType w:val="hybridMultilevel"/>
    <w:tmpl w:val="BC548968"/>
    <w:lvl w:ilvl="0" w:tplc="CFD4A8E4">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C4"/>
    <w:rsid w:val="00044283"/>
    <w:rsid w:val="000C4BC1"/>
    <w:rsid w:val="00125D78"/>
    <w:rsid w:val="0021013A"/>
    <w:rsid w:val="002C39F9"/>
    <w:rsid w:val="003A34EF"/>
    <w:rsid w:val="004B6AC4"/>
    <w:rsid w:val="004D56DE"/>
    <w:rsid w:val="005A4D06"/>
    <w:rsid w:val="006D06B9"/>
    <w:rsid w:val="006F4549"/>
    <w:rsid w:val="00784AFB"/>
    <w:rsid w:val="0089590F"/>
    <w:rsid w:val="008E364A"/>
    <w:rsid w:val="0090295F"/>
    <w:rsid w:val="009C0153"/>
    <w:rsid w:val="00B97413"/>
    <w:rsid w:val="00C049F9"/>
    <w:rsid w:val="00C3165D"/>
    <w:rsid w:val="00C43712"/>
    <w:rsid w:val="00CD6EE6"/>
    <w:rsid w:val="00D53B81"/>
    <w:rsid w:val="00E30A8D"/>
    <w:rsid w:val="00EE7788"/>
    <w:rsid w:val="00F31147"/>
    <w:rsid w:val="00F92C2D"/>
    <w:rsid w:val="00FC3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FAE"/>
  <w15:chartTrackingRefBased/>
  <w15:docId w15:val="{B59D46F9-3543-4A55-B419-C6865DA5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6AC4"/>
    <w:pPr>
      <w:ind w:left="720"/>
      <w:contextualSpacing/>
    </w:pPr>
  </w:style>
  <w:style w:type="table" w:styleId="Tabela-Siatka">
    <w:name w:val="Table Grid"/>
    <w:basedOn w:val="Standardowy"/>
    <w:uiPriority w:val="39"/>
    <w:rsid w:val="00D5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25D78"/>
    <w:rPr>
      <w:color w:val="0563C1" w:themeColor="hyperlink"/>
      <w:u w:val="single"/>
    </w:rPr>
  </w:style>
  <w:style w:type="character" w:styleId="Nierozpoznanawzmianka">
    <w:name w:val="Unresolved Mention"/>
    <w:basedOn w:val="Domylnaczcionkaakapitu"/>
    <w:uiPriority w:val="99"/>
    <w:semiHidden/>
    <w:unhideWhenUsed/>
    <w:rsid w:val="0012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51/matecconf/201823103002" TargetMode="External"/><Relationship Id="rId5" Type="http://schemas.openxmlformats.org/officeDocument/2006/relationships/hyperlink" Target="https://www.gov.pl/web/infrastruktura/wr-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10</Pages>
  <Words>3448</Words>
  <Characters>20690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Lula</dc:creator>
  <cp:keywords/>
  <dc:description/>
  <cp:lastModifiedBy>Dariusz Lula</cp:lastModifiedBy>
  <cp:revision>4</cp:revision>
  <dcterms:created xsi:type="dcterms:W3CDTF">2021-10-21T06:45:00Z</dcterms:created>
  <dcterms:modified xsi:type="dcterms:W3CDTF">2021-10-21T10:10:00Z</dcterms:modified>
</cp:coreProperties>
</file>