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4237" w:type="dxa"/>
        <w:tblLayout w:type="fixed"/>
        <w:tblLook w:val="04A0" w:firstRow="1" w:lastRow="0" w:firstColumn="1" w:lastColumn="0" w:noHBand="0" w:noVBand="1"/>
      </w:tblPr>
      <w:tblGrid>
        <w:gridCol w:w="539"/>
        <w:gridCol w:w="2472"/>
        <w:gridCol w:w="1662"/>
        <w:gridCol w:w="1418"/>
        <w:gridCol w:w="850"/>
        <w:gridCol w:w="851"/>
        <w:gridCol w:w="992"/>
        <w:gridCol w:w="1559"/>
        <w:gridCol w:w="1134"/>
        <w:gridCol w:w="1418"/>
        <w:gridCol w:w="236"/>
        <w:gridCol w:w="496"/>
        <w:gridCol w:w="543"/>
        <w:gridCol w:w="67"/>
      </w:tblGrid>
      <w:tr w:rsidR="005143D4" w:rsidTr="00657775">
        <w:trPr>
          <w:gridAfter w:val="1"/>
          <w:wAfter w:w="67" w:type="dxa"/>
        </w:trPr>
        <w:tc>
          <w:tcPr>
            <w:tcW w:w="539" w:type="dxa"/>
            <w:tcBorders>
              <w:right w:val="nil"/>
            </w:tcBorders>
          </w:tcPr>
          <w:p w:rsidR="005143D4" w:rsidRPr="000970F8" w:rsidRDefault="005143D4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31" w:type="dxa"/>
            <w:gridSpan w:val="12"/>
            <w:tcBorders>
              <w:left w:val="nil"/>
            </w:tcBorders>
          </w:tcPr>
          <w:p w:rsidR="005143D4" w:rsidRDefault="005143D4" w:rsidP="00657775">
            <w:pPr>
              <w:ind w:right="13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43D4" w:rsidRPr="005143D4" w:rsidRDefault="005143D4" w:rsidP="00657775">
            <w:pPr>
              <w:ind w:right="13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143D4">
              <w:rPr>
                <w:rFonts w:cstheme="minorHAnsi"/>
                <w:b/>
                <w:color w:val="FF0000"/>
                <w:sz w:val="32"/>
                <w:szCs w:val="32"/>
              </w:rPr>
              <w:t xml:space="preserve">Część 1 – środki dezynfekujące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1</w:t>
            </w:r>
          </w:p>
          <w:p w:rsidR="005143D4" w:rsidRPr="000970F8" w:rsidRDefault="005143D4" w:rsidP="00657775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7775" w:rsidTr="00657775">
        <w:trPr>
          <w:gridAfter w:val="1"/>
          <w:wAfter w:w="67" w:type="dxa"/>
        </w:trPr>
        <w:tc>
          <w:tcPr>
            <w:tcW w:w="539" w:type="dxa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Przedmiot zamówienia/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66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Nazwa</w:t>
            </w:r>
          </w:p>
          <w:p w:rsidR="00657775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Handlowa,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Nr katalogowy*</w:t>
            </w:r>
          </w:p>
        </w:tc>
        <w:tc>
          <w:tcPr>
            <w:tcW w:w="1418" w:type="dxa"/>
            <w:vAlign w:val="center"/>
          </w:tcPr>
          <w:p w:rsidR="00657775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D1220">
              <w:rPr>
                <w:rFonts w:cstheme="minorHAnsi"/>
                <w:b/>
                <w:sz w:val="20"/>
                <w:szCs w:val="20"/>
              </w:rPr>
              <w:t>odzaj i wielkość opakowania</w:t>
            </w:r>
          </w:p>
        </w:tc>
        <w:tc>
          <w:tcPr>
            <w:tcW w:w="850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0970F8">
              <w:rPr>
                <w:rFonts w:cstheme="minorHAnsi"/>
                <w:b/>
                <w:sz w:val="20"/>
                <w:szCs w:val="20"/>
              </w:rPr>
              <w:t>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5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0970F8">
              <w:rPr>
                <w:rFonts w:cstheme="minorHAnsi"/>
                <w:b/>
                <w:sz w:val="20"/>
                <w:szCs w:val="20"/>
              </w:rPr>
              <w:t>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</w:t>
            </w:r>
            <w:r>
              <w:rPr>
                <w:rFonts w:cstheme="minorHAnsi"/>
                <w:b/>
                <w:sz w:val="20"/>
                <w:szCs w:val="20"/>
              </w:rPr>
              <w:t>PLN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w </w:t>
            </w:r>
            <w:r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657775" w:rsidRPr="000970F8" w:rsidRDefault="00657775" w:rsidP="00657775">
            <w:pPr>
              <w:ind w:left="70" w:hanging="7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0970F8">
              <w:rPr>
                <w:rFonts w:cstheme="minorHAnsi"/>
                <w:b/>
                <w:sz w:val="20"/>
                <w:szCs w:val="20"/>
              </w:rPr>
              <w:t>rutto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</w:t>
            </w:r>
            <w:r>
              <w:rPr>
                <w:rFonts w:cstheme="minorHAnsi"/>
                <w:b/>
                <w:sz w:val="20"/>
                <w:szCs w:val="20"/>
              </w:rPr>
              <w:t>PLN</w:t>
            </w:r>
          </w:p>
          <w:p w:rsidR="00657775" w:rsidRPr="000970F8" w:rsidRDefault="00657775" w:rsidP="00657775">
            <w:pPr>
              <w:ind w:left="70" w:hanging="70"/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(wartość netto +wartość vat)</w:t>
            </w:r>
          </w:p>
        </w:tc>
        <w:tc>
          <w:tcPr>
            <w:tcW w:w="1275" w:type="dxa"/>
            <w:gridSpan w:val="3"/>
            <w:tcBorders>
              <w:tr2bl w:val="nil"/>
            </w:tcBorders>
            <w:vAlign w:val="center"/>
          </w:tcPr>
          <w:p w:rsidR="00657775" w:rsidRPr="000970F8" w:rsidRDefault="00657775" w:rsidP="00657775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</w:tr>
      <w:tr w:rsidR="00657775" w:rsidTr="00657775">
        <w:trPr>
          <w:gridAfter w:val="1"/>
          <w:wAfter w:w="67" w:type="dxa"/>
        </w:trPr>
        <w:tc>
          <w:tcPr>
            <w:tcW w:w="53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72" w:type="dxa"/>
            <w:vAlign w:val="center"/>
          </w:tcPr>
          <w:p w:rsidR="00657775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2-propanol (alkohol izopropylowy) r-r 70%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czda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Wygląd zewnętrzny – bezbarwna, klarowna ciecz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 - 70,0 % ±1,0 %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Gęstość (20˚C) – ok. 0,873 g/cm3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Woda – ok. 30%</w:t>
            </w:r>
          </w:p>
          <w:p w:rsidR="00657775" w:rsidRPr="00AA11D4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metanolu w odniesieniu do 2-propanolu – max. 0,05 %</w:t>
            </w:r>
          </w:p>
        </w:tc>
        <w:tc>
          <w:tcPr>
            <w:tcW w:w="166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50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99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ind w:right="-7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57775" w:rsidRPr="000970F8" w:rsidRDefault="00657775" w:rsidP="00657775">
            <w:pPr>
              <w:ind w:left="42" w:hanging="7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7775" w:rsidTr="00657775">
        <w:trPr>
          <w:gridAfter w:val="1"/>
          <w:wAfter w:w="67" w:type="dxa"/>
        </w:trPr>
        <w:tc>
          <w:tcPr>
            <w:tcW w:w="53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72" w:type="dxa"/>
            <w:vAlign w:val="center"/>
          </w:tcPr>
          <w:p w:rsidR="00657775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2-propanol (alkohol izopropylowy) r-r 70%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czda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Wygląd zewnętrzny – bezbarwna , klarowna ciecz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 - 70,0 % ±1,0 %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Gęstość (20˚C) – ok. 0,873 g/cm3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Woda – ok. 30%</w:t>
            </w:r>
          </w:p>
          <w:p w:rsidR="00657775" w:rsidRPr="00AA11D4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metanolu w odniesieniu do 2-propanolu – max. 0,05 %</w:t>
            </w:r>
          </w:p>
        </w:tc>
        <w:tc>
          <w:tcPr>
            <w:tcW w:w="166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1l</w:t>
            </w:r>
          </w:p>
        </w:tc>
        <w:tc>
          <w:tcPr>
            <w:tcW w:w="850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43D4" w:rsidTr="00657775">
        <w:trPr>
          <w:trHeight w:val="818"/>
        </w:trPr>
        <w:tc>
          <w:tcPr>
            <w:tcW w:w="539" w:type="dxa"/>
          </w:tcPr>
          <w:p w:rsidR="005143D4" w:rsidRDefault="005143D4" w:rsidP="00657775"/>
        </w:tc>
        <w:tc>
          <w:tcPr>
            <w:tcW w:w="10938" w:type="dxa"/>
            <w:gridSpan w:val="8"/>
            <w:vAlign w:val="center"/>
          </w:tcPr>
          <w:p w:rsidR="005143D4" w:rsidRDefault="005143D4" w:rsidP="00657775">
            <w:pPr>
              <w:jc w:val="right"/>
            </w:pPr>
            <w:r w:rsidRPr="009748AC">
              <w:rPr>
                <w:rFonts w:cstheme="minorHAnsi"/>
                <w:b/>
                <w:sz w:val="20"/>
                <w:szCs w:val="20"/>
              </w:rPr>
              <w:t xml:space="preserve">Wartość końcowa: 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9748AC">
              <w:rPr>
                <w:rFonts w:cstheme="minorHAnsi"/>
                <w:b/>
                <w:sz w:val="20"/>
                <w:szCs w:val="20"/>
              </w:rPr>
              <w:t xml:space="preserve">  (suma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poszczególnych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pozycji)</w:t>
            </w:r>
          </w:p>
        </w:tc>
        <w:tc>
          <w:tcPr>
            <w:tcW w:w="1418" w:type="dxa"/>
            <w:vAlign w:val="center"/>
          </w:tcPr>
          <w:p w:rsidR="005143D4" w:rsidRDefault="005143D4" w:rsidP="00657775"/>
        </w:tc>
        <w:tc>
          <w:tcPr>
            <w:tcW w:w="236" w:type="dxa"/>
            <w:vAlign w:val="center"/>
          </w:tcPr>
          <w:p w:rsidR="005143D4" w:rsidRDefault="005143D4" w:rsidP="00657775"/>
        </w:tc>
        <w:tc>
          <w:tcPr>
            <w:tcW w:w="496" w:type="dxa"/>
            <w:vAlign w:val="center"/>
          </w:tcPr>
          <w:p w:rsidR="005143D4" w:rsidRDefault="005143D4" w:rsidP="00657775"/>
        </w:tc>
        <w:tc>
          <w:tcPr>
            <w:tcW w:w="6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143D4" w:rsidRDefault="005143D4" w:rsidP="00657775"/>
        </w:tc>
      </w:tr>
    </w:tbl>
    <w:p w:rsidR="006179C7" w:rsidRPr="006179C7" w:rsidRDefault="006179C7">
      <w:pPr>
        <w:rPr>
          <w:b/>
          <w:color w:val="FF0000"/>
        </w:rPr>
      </w:pPr>
    </w:p>
    <w:p w:rsidR="006179C7" w:rsidRDefault="006179C7" w:rsidP="006179C7">
      <w:pPr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jc w:val="center"/>
        <w:rPr>
          <w:rFonts w:cstheme="minorHAnsi"/>
          <w:sz w:val="20"/>
          <w:szCs w:val="20"/>
        </w:rPr>
      </w:pPr>
      <w:r w:rsidRPr="000970F8">
        <w:rPr>
          <w:rFonts w:cstheme="minorHAnsi"/>
          <w:sz w:val="20"/>
          <w:szCs w:val="20"/>
        </w:rPr>
        <w:t>* W przypadku braku numeru katalogowego należy wpisać nazwę lub oznaczenie, które będzie występować na fakturze.</w:t>
      </w:r>
    </w:p>
    <w:p w:rsidR="006179C7" w:rsidRPr="000970F8" w:rsidRDefault="006179C7" w:rsidP="00261E24">
      <w:pPr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..........................................  dnia ..................................</w:t>
      </w:r>
    </w:p>
    <w:p w:rsidR="006179C7" w:rsidRPr="000970F8" w:rsidRDefault="006179C7" w:rsidP="006179C7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/miejscowość/</w:t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  <w:t>/data/</w:t>
      </w: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P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39"/>
        <w:gridCol w:w="2479"/>
        <w:gridCol w:w="1499"/>
        <w:gridCol w:w="1437"/>
        <w:gridCol w:w="849"/>
        <w:gridCol w:w="873"/>
        <w:gridCol w:w="1391"/>
        <w:gridCol w:w="1418"/>
        <w:gridCol w:w="1134"/>
        <w:gridCol w:w="1417"/>
        <w:gridCol w:w="1985"/>
      </w:tblGrid>
      <w:tr w:rsidR="005143D4" w:rsidTr="00EC4F78">
        <w:tc>
          <w:tcPr>
            <w:tcW w:w="539" w:type="dxa"/>
            <w:tcBorders>
              <w:right w:val="nil"/>
            </w:tcBorders>
          </w:tcPr>
          <w:p w:rsidR="005143D4" w:rsidRPr="000970F8" w:rsidRDefault="005143D4" w:rsidP="00780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2" w:type="dxa"/>
            <w:gridSpan w:val="10"/>
            <w:tcBorders>
              <w:left w:val="nil"/>
            </w:tcBorders>
          </w:tcPr>
          <w:p w:rsidR="005143D4" w:rsidRPr="005143D4" w:rsidRDefault="005143D4" w:rsidP="005143D4">
            <w:pPr>
              <w:spacing w:before="240" w:after="240"/>
              <w:ind w:right="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3D4">
              <w:rPr>
                <w:rFonts w:cstheme="minorHAnsi"/>
                <w:b/>
                <w:color w:val="FF0000"/>
                <w:sz w:val="28"/>
                <w:szCs w:val="28"/>
              </w:rPr>
              <w:t xml:space="preserve">Część 2 – środki dezynfekujące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Przedmiot zamówienia/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Nazwa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Handlowa,           Nr katalogowy*</w:t>
            </w: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D1220">
              <w:rPr>
                <w:rFonts w:cstheme="minorHAnsi"/>
                <w:b/>
                <w:sz w:val="20"/>
                <w:szCs w:val="20"/>
              </w:rPr>
              <w:t>odzaj i wielkość opakowania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EC4F78" w:rsidRPr="000970F8" w:rsidRDefault="008719B7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EC4F78" w:rsidRPr="000970F8">
              <w:rPr>
                <w:rFonts w:cstheme="minorHAnsi"/>
                <w:b/>
                <w:sz w:val="20"/>
                <w:szCs w:val="20"/>
              </w:rPr>
              <w:t>etto</w:t>
            </w:r>
            <w:r w:rsidR="00EC4F78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EC4F78" w:rsidRPr="000970F8" w:rsidRDefault="008719B7" w:rsidP="00EC4F78">
            <w:pPr>
              <w:ind w:left="70" w:hanging="7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bookmarkStart w:id="0" w:name="_GoBack"/>
            <w:bookmarkEnd w:id="0"/>
            <w:r w:rsidR="00EC4F78" w:rsidRPr="000970F8">
              <w:rPr>
                <w:rFonts w:cstheme="minorHAnsi"/>
                <w:b/>
                <w:sz w:val="20"/>
                <w:szCs w:val="20"/>
              </w:rPr>
              <w:t>rutto</w:t>
            </w:r>
            <w:r w:rsidR="00EC4F78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EC4F78" w:rsidRPr="000970F8" w:rsidRDefault="00EC4F78" w:rsidP="00EC4F78">
            <w:pPr>
              <w:ind w:left="70" w:hanging="70"/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(wartość netto +wartość vat)</w:t>
            </w: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Sterylny, gotowy do użycia 1 L butelka spray na bazie 6% nadtlenku wodoru w wodzie do iniekcji  (WFI), do dezynfekcji w obszarach sterylnych. Produkt filtrowany przez pory 0,2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w klasie A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potrójnie pakowany w klasie B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. Butelki ze spryskiwaczem z systemem SDS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SteriShield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Delivery System). Produkt wytwarzany w standardzie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Sterile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Fill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Technology. Produkt testowany na poziom endotoksyn- &lt;0.25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Endotoxin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Units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1l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79" w:type="dxa"/>
            <w:vAlign w:val="center"/>
          </w:tcPr>
          <w:p w:rsidR="00EC4F78" w:rsidRPr="00AA11D4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Preparat w postaci szybkodziałającej gotowej pianki do dezynfekcji i mycia powierzchni medycznych wrażliwych nadziałanie alkoholu, a także powierzchni mających kontakt z żywnością; na bazie H2O2 (&lt; 2%) bez zawartości alkoholu, chloru, kwasu nadoctowego, QAV). Spektrum działania: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* w 15s zgodnie z EN 16615 (warunki brudne) – Test 4 pól: bakterie, drożdże, prątki gruźlicy; zgodnie z EN 14476 (warunki czyste i brudne) wirusy (Noro); zgodnie z RKI wirusy (HBV, HCV, HIV)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* w 30s zgodnie EN 14476 (warunki czyste i brudne) wirusy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); zgodnie z DVV wirusy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SV40, Rota)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* w 5 min zgodnie z EN 16615 (warunki brudne) – Test 4 pól: grzyby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Okres trwałości po pierwszym otwarciu – do końca okresu ważności; możliwość stosowania bez użycia środków ochrony indywidualnych; opakowanie 750ml; produkt posiadający podwójną rejestrację (wyrób medyczny i biobójczy)+B5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0,75l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79" w:type="dxa"/>
            <w:vAlign w:val="center"/>
          </w:tcPr>
          <w:p w:rsidR="00EC4F78" w:rsidRPr="0091484B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chlorowy w tabletkach na bazie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NaDCC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bez zawartości kwasów organicznych o obojętnym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roztworu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7.0); czas i spektrum działania: działający na bakterie,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M.tuberculosis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), wirusy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Polio), grzyby, i spory (Clostridium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difficile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rybotyp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027 wg EN 13704 w warunkach wysokiego obciążenia białkowego z dodatkiem erytrocytów baranich ( 0,3%)) - do 15min. przeznaczony do dezynfekcji dużych powierzchni zmywalnych, również obciążonych materiałem organicznym jak i służący do zalewania plam krwi; posiadający atest PZH HŻ (lub równoważny) do dezynfekcji powierzchni mających kontakt z żywnością; wymagane oznakowane miarki do sporządzania roztworu; czas aktywności roztworu roboczego 24 godziny (poparty badaniami); masa tabletki 2,72g; opakowanie 300 tabl.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a’300 tabl.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79" w:type="dxa"/>
            <w:vAlign w:val="center"/>
          </w:tcPr>
          <w:p w:rsidR="00EC4F78" w:rsidRPr="00AA11D4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Sterylny, gotowy do użycia 0,5 L butelka spray oraz 5 L kanister, na bazie 70 % alkoholu izopropylowego (IPA) w wodzie do iniekcji  (WFI), do dezynfekcji w obszarach sterylnych. Produkt filtrowany przez pory 0,2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potrójnie pakowany w klasie C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. Butelki ze spryskiwaczem z systemem SDS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SteriShield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Delivery System) lub w zwykłym kanistrze 5 L. Produkt sterylizowany radiacyjnie promieniami Gamma o wartości nie mniejszej niż 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kGy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. Produkt testowany na poziom endotoksyn- &lt;0.25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Endotoxin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Units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79C7">
              <w:rPr>
                <w:rFonts w:cstheme="minorHAnsi"/>
                <w:color w:val="FF0000"/>
                <w:sz w:val="20"/>
                <w:szCs w:val="20"/>
              </w:rPr>
              <w:t>Butelka 0,5l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9" w:type="dxa"/>
            <w:vAlign w:val="center"/>
          </w:tcPr>
          <w:p w:rsidR="00EC4F78" w:rsidRPr="00AA11D4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Sterylny, gotowy do użycia 0,5 L butelka spray oraz 5 L kanister, na bazie 70 % alkoholu izopropylowego (IPA) w wodzie do iniekcji  (WFI), do dezynfekcji w obszarach sterylnych. Produkt filtrowany przez pory 0,2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potrójnie pakowany w klasie C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. Butelki ze spryskiwaczem z systemem SDS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SteriShield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Delivery System) lub w zwykłym kanistrze 5 L. Produkt sterylizowany radiacyjnie promieniami Gamma o wartości nie mniejszej niż 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kGy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. Produkt testowany na poziom endotoksyn- &lt;0.25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Endotoxin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Units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do higienicznej i chirurgicznej dezynfekcji rąk na bazie etanolu (min. 89%), bez zawartości jodu,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chlorheksydyny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izopropanolu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fenolu i jego pochodnych; preparat bezbarwny zawierający substancje nawilżające, pielęgnujące i regenerujące skórę, takie, jak witamina E,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pantenol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i gliceryna, substancje zapachowe; higieniczna dezynfekcja rąk zgodnie z normą EN 1500 w ciągu 20s; chirurgiczna dezynfekcja rąk zgodnie z normą EN 12791 w ciągu 90s. Spełniający normy: EN 1500, EN 12791, EN 13727, EN 13624, EN 14476, EN14348 oraz RKI; spektrum działania: B – 15s., F – 15s.,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– 20s., V (wszystkie wirusy osłonione łącznie z HBV, HCV, HIV, Rota, Noro (mysi) – 15s.,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, Polio – 30s.)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0,5l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neutralizujący na bazie kwasu cytrynowego. Skład: kwas cytrynowy. Przeznaczenie: neutralizacja po myciu alkalicznym narzędzi chirurgicznych, endoskopów sztywnych, przedmiotów z tworzyw sztucznych i gumy. Dozowanie: 1ml/l.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koncentratu: 2.5 – 3.5.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roztworu 2.8 – 3.2. Gęstość 1.15g/ml – 1.2g/ml. Wyrób medyczny kl. I Opakowanie 5L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Alkaliczny płynny preparat myjący do sprzętu chirurgicznego i medycznego oraz wyrobów medycznych w myjniach dezynfektorach i myjniach tunelowych. Wartość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10,2 - 10,6. Skuteczny myciu wszystkich rodzajów materiałów (stali nierdzewnej, tytanu, materiałów syntetycznych, polisulfonów, PCV/ABS, anodyzowanego aluminium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itp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). Skład Niejonowe i anionowe środki powierzchniowo-czynne, związki kompleksujące, kompleks 3 enzymów bez zawartości krzemianów.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Sterylny gotowy do użycia spray, na bazie 70 % alkoholu denaturowanego etanolu w wodzie do iniekcji (WFI), do dezynfekcji w obszarach sterylnych. Butelki ze spryskiwaczem z systemem SDS, potrójnie pakowane.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0,5l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Gotowy do użycia, alkoholowy z zawartością 0,1 g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glutaraldehydu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preparat do szybkiej dezynfekcji małych powierzchni, trudno dostępnych miejsc i szczelin oraz powierzchni nieinwazyjnych wyrobów medycznych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 xml:space="preserve">Szerokie spektrum biobójcze: B,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F (C.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albicans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), V( HIV, HBV, HCV,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Corona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Vaccinia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Noro, Polio,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Posiada podwójną rejestrację: Wyrób medyczny kl. II a i produkt biobójczy. Po zastosowaniu nie tworzy tłustego nalotu, łatwo się rozprowadza po zastosowaniu szybko schnie nie pozostawiając żadnych śladów.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1 l ze spryskiwaczem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Gotowy do użycia, alkoholowy z zawartością 0,1 g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glutaraldehydu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preparat do szybkiej dezynfekcji małych powierzchni, trudno dostępnych miejsc i szczelin oraz powierzchni nieinwazyjnych wyrobów medycznych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 xml:space="preserve">Szerokie spektrum biobójcze: B,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F (C.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albicans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), V( HIV, HBV, HCV,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Corona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Vaccinia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Noro, Polio,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Posiada podwójną rejestrację: Wyrób medyczny kl. II a i produkt biobójczy. Po zastosowaniu nie tworzy tłustego nalotu, łatwo się rozprowadza po zastosowaniu szybko schnie nie pozostawiając żadnych śladów.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3E93" w:rsidTr="00DF3E93">
        <w:trPr>
          <w:trHeight w:val="516"/>
        </w:trPr>
        <w:tc>
          <w:tcPr>
            <w:tcW w:w="539" w:type="dxa"/>
          </w:tcPr>
          <w:p w:rsidR="00DF3E93" w:rsidRDefault="00DF3E93" w:rsidP="00EC4F78"/>
        </w:tc>
        <w:tc>
          <w:tcPr>
            <w:tcW w:w="8528" w:type="dxa"/>
            <w:gridSpan w:val="6"/>
            <w:tcBorders>
              <w:right w:val="single" w:sz="4" w:space="0" w:color="auto"/>
            </w:tcBorders>
          </w:tcPr>
          <w:p w:rsidR="00DF3E93" w:rsidRDefault="00DF3E93" w:rsidP="00DF3E9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748AC">
              <w:rPr>
                <w:rFonts w:cstheme="minorHAnsi"/>
                <w:b/>
                <w:sz w:val="20"/>
                <w:szCs w:val="20"/>
              </w:rPr>
              <w:t xml:space="preserve">Wartość końcowa:  </w:t>
            </w:r>
          </w:p>
          <w:p w:rsidR="00DF3E93" w:rsidRDefault="00DF3E93" w:rsidP="00DF3E93">
            <w:pPr>
              <w:jc w:val="right"/>
            </w:pPr>
            <w:r w:rsidRPr="009748AC">
              <w:rPr>
                <w:rFonts w:cstheme="minorHAnsi"/>
                <w:b/>
                <w:sz w:val="20"/>
                <w:szCs w:val="20"/>
              </w:rPr>
              <w:t xml:space="preserve"> (suma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poszczególnych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pozycji)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DF3E93" w:rsidRDefault="00DF3E93" w:rsidP="00EC4F78"/>
        </w:tc>
        <w:tc>
          <w:tcPr>
            <w:tcW w:w="1134" w:type="dxa"/>
            <w:tcBorders>
              <w:left w:val="single" w:sz="4" w:space="0" w:color="auto"/>
            </w:tcBorders>
          </w:tcPr>
          <w:p w:rsidR="00DF3E93" w:rsidRDefault="00DF3E93" w:rsidP="00EC4F78"/>
        </w:tc>
        <w:tc>
          <w:tcPr>
            <w:tcW w:w="1417" w:type="dxa"/>
          </w:tcPr>
          <w:p w:rsidR="00DF3E93" w:rsidRDefault="00DF3E93" w:rsidP="00EC4F78"/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:rsidR="00DF3E93" w:rsidRDefault="00DF3E93" w:rsidP="00EC4F78"/>
        </w:tc>
      </w:tr>
    </w:tbl>
    <w:p w:rsidR="006179C7" w:rsidRDefault="006179C7" w:rsidP="006179C7"/>
    <w:p w:rsidR="006179C7" w:rsidRDefault="006179C7" w:rsidP="006179C7"/>
    <w:p w:rsidR="006179C7" w:rsidRPr="000970F8" w:rsidRDefault="006179C7" w:rsidP="00DF3E93">
      <w:pPr>
        <w:rPr>
          <w:rFonts w:cstheme="minorHAnsi"/>
          <w:sz w:val="20"/>
          <w:szCs w:val="20"/>
        </w:rPr>
      </w:pPr>
      <w:r w:rsidRPr="000970F8">
        <w:rPr>
          <w:rFonts w:cstheme="minorHAnsi"/>
          <w:sz w:val="20"/>
          <w:szCs w:val="20"/>
        </w:rPr>
        <w:t>* W przypadku braku numeru katalogowego należy wpisać nazwę lub oznaczenie, które będzie występować na fakturze.</w:t>
      </w:r>
    </w:p>
    <w:p w:rsidR="006179C7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Pr="000970F8" w:rsidRDefault="006179C7" w:rsidP="00261E24">
      <w:pPr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..........................................  dnia ..................................</w:t>
      </w:r>
    </w:p>
    <w:p w:rsidR="006179C7" w:rsidRPr="000970F8" w:rsidRDefault="006179C7" w:rsidP="006179C7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/miejscowość/</w:t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  <w:t>/data/</w:t>
      </w:r>
    </w:p>
    <w:p w:rsidR="006179C7" w:rsidRDefault="006179C7" w:rsidP="006179C7"/>
    <w:p w:rsidR="00113D9D" w:rsidRDefault="00113D9D"/>
    <w:sectPr w:rsidR="00113D9D" w:rsidSect="0051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08" w:rsidRDefault="004C4B08" w:rsidP="00113D9D">
      <w:pPr>
        <w:spacing w:after="0" w:line="240" w:lineRule="auto"/>
      </w:pPr>
      <w:r>
        <w:separator/>
      </w:r>
    </w:p>
  </w:endnote>
  <w:endnote w:type="continuationSeparator" w:id="0">
    <w:p w:rsidR="004C4B08" w:rsidRDefault="004C4B08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58" w:rsidRDefault="00727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58" w:rsidRDefault="007278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58" w:rsidRDefault="00727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08" w:rsidRDefault="004C4B08" w:rsidP="00113D9D">
      <w:pPr>
        <w:spacing w:after="0" w:line="240" w:lineRule="auto"/>
      </w:pPr>
      <w:r>
        <w:separator/>
      </w:r>
    </w:p>
  </w:footnote>
  <w:footnote w:type="continuationSeparator" w:id="0">
    <w:p w:rsidR="004C4B08" w:rsidRDefault="004C4B08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58" w:rsidRDefault="00727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OR.DZP.270.10.2023</w:t>
    </w:r>
    <w:r>
      <w:rPr>
        <w:rFonts w:cstheme="minorHAnsi"/>
        <w:b/>
      </w:rPr>
      <w:tab/>
    </w:r>
  </w:p>
  <w:p w:rsidR="00727858" w:rsidRPr="0091484B" w:rsidRDefault="00727858" w:rsidP="00727858">
    <w:pPr>
      <w:pStyle w:val="Nagwek"/>
      <w:rPr>
        <w:rFonts w:cstheme="minorHAnsi"/>
        <w:b/>
      </w:rPr>
    </w:pPr>
    <w:r w:rsidRPr="0091484B">
      <w:rPr>
        <w:rFonts w:cstheme="minorHAnsi"/>
        <w:b/>
      </w:rPr>
      <w:t xml:space="preserve">Załącznik nr </w:t>
    </w:r>
    <w:r>
      <w:rPr>
        <w:rFonts w:cstheme="minorHAnsi"/>
        <w:b/>
      </w:rPr>
      <w:t>5</w:t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 xml:space="preserve">Formularz  asortymentowo </w:t>
    </w:r>
    <w:r w:rsidR="006179C7">
      <w:rPr>
        <w:rFonts w:cstheme="minorHAnsi"/>
        <w:b/>
        <w:i/>
        <w:caps/>
        <w:sz w:val="20"/>
        <w:szCs w:val="20"/>
      </w:rPr>
      <w:t>–</w:t>
    </w:r>
    <w:r w:rsidRPr="000970F8">
      <w:rPr>
        <w:rFonts w:cstheme="minorHAnsi"/>
        <w:b/>
        <w:i/>
        <w:caps/>
        <w:sz w:val="20"/>
        <w:szCs w:val="20"/>
      </w:rPr>
      <w:t xml:space="preserve"> cenowy</w:t>
    </w:r>
    <w:r w:rsidR="006179C7">
      <w:rPr>
        <w:rFonts w:cstheme="minorHAnsi"/>
        <w:b/>
        <w:i/>
        <w:caps/>
        <w:sz w:val="20"/>
        <w:szCs w:val="20"/>
      </w:rPr>
      <w:t xml:space="preserve"> </w:t>
    </w:r>
    <w:r w:rsidR="006179C7" w:rsidRPr="006179C7">
      <w:rPr>
        <w:rFonts w:cstheme="minorHAnsi"/>
        <w:b/>
        <w:i/>
        <w:caps/>
        <w:color w:val="FF0000"/>
        <w:sz w:val="20"/>
        <w:szCs w:val="20"/>
      </w:rPr>
      <w:t>po zmianie</w:t>
    </w:r>
    <w:r w:rsidR="00F8230A">
      <w:rPr>
        <w:rFonts w:cstheme="minorHAnsi"/>
        <w:b/>
        <w:i/>
        <w:caps/>
        <w:color w:val="FF0000"/>
        <w:sz w:val="20"/>
        <w:szCs w:val="20"/>
      </w:rPr>
      <w:t xml:space="preserve"> z dnia 09.03.2023</w:t>
    </w:r>
    <w:r w:rsidR="00F8230A">
      <w:rPr>
        <w:rFonts w:cstheme="minorHAnsi"/>
        <w:b/>
        <w:i/>
        <w:caps/>
        <w:color w:val="FF0000"/>
        <w:sz w:val="20"/>
        <w:szCs w:val="20"/>
      </w:rPr>
      <w:tab/>
      <w:t>r.</w:t>
    </w:r>
  </w:p>
  <w:p w:rsidR="00113D9D" w:rsidRPr="00113D9D" w:rsidRDefault="00113D9D" w:rsidP="00113D9D">
    <w:pPr>
      <w:jc w:val="center"/>
      <w:rPr>
        <w:rFonts w:cstheme="minorHAnsi"/>
        <w:sz w:val="20"/>
        <w:szCs w:val="20"/>
      </w:rPr>
    </w:pPr>
    <w:r w:rsidRPr="000970F8">
      <w:rPr>
        <w:rFonts w:cstheme="minorHAnsi"/>
        <w:b/>
        <w:sz w:val="20"/>
        <w:szCs w:val="20"/>
      </w:rPr>
      <w:t>Preparaty do dezynfekcj</w:t>
    </w:r>
    <w:r>
      <w:rPr>
        <w:rFonts w:cstheme="minorHAnsi"/>
        <w:b/>
        <w:sz w:val="20"/>
        <w:szCs w:val="20"/>
      </w:rPr>
      <w:t>i</w:t>
    </w:r>
  </w:p>
  <w:p w:rsidR="00113D9D" w:rsidRPr="006179C7" w:rsidRDefault="00113D9D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58" w:rsidRDefault="0072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72817"/>
    <w:rsid w:val="00113D9D"/>
    <w:rsid w:val="00197A73"/>
    <w:rsid w:val="00261E24"/>
    <w:rsid w:val="00277B8E"/>
    <w:rsid w:val="002C5708"/>
    <w:rsid w:val="002F2325"/>
    <w:rsid w:val="004C4B08"/>
    <w:rsid w:val="005143D4"/>
    <w:rsid w:val="006179C7"/>
    <w:rsid w:val="00657775"/>
    <w:rsid w:val="00727858"/>
    <w:rsid w:val="007C6145"/>
    <w:rsid w:val="007E4A58"/>
    <w:rsid w:val="008719B7"/>
    <w:rsid w:val="009512CA"/>
    <w:rsid w:val="009748AC"/>
    <w:rsid w:val="009A5707"/>
    <w:rsid w:val="00C01121"/>
    <w:rsid w:val="00C41AC4"/>
    <w:rsid w:val="00C7097D"/>
    <w:rsid w:val="00DF3E93"/>
    <w:rsid w:val="00EC4F78"/>
    <w:rsid w:val="00F8230A"/>
    <w:rsid w:val="00F93845"/>
    <w:rsid w:val="00FB2F41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64BA4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DBFD-65C1-4247-918F-145F793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Basaj</cp:lastModifiedBy>
  <cp:revision>23</cp:revision>
  <dcterms:created xsi:type="dcterms:W3CDTF">2023-03-07T07:14:00Z</dcterms:created>
  <dcterms:modified xsi:type="dcterms:W3CDTF">2023-03-09T11:33:00Z</dcterms:modified>
</cp:coreProperties>
</file>