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626B584C" w:rsidR="00A7298C" w:rsidRPr="000B2229" w:rsidRDefault="00A7298C" w:rsidP="005C5AC9">
      <w:pPr>
        <w:spacing w:line="360" w:lineRule="auto"/>
        <w:ind w:left="708" w:hanging="1417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A73BED">
        <w:rPr>
          <w:rFonts w:ascii="Verdana" w:hAnsi="Verdana" w:cs="Tahoma"/>
          <w:b/>
          <w:sz w:val="18"/>
          <w:szCs w:val="18"/>
        </w:rPr>
        <w:t>76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="005C5AC9" w:rsidRPr="005C5AC9">
        <w:rPr>
          <w:rFonts w:ascii="Verdana" w:hAnsi="Verdana" w:cs="Tahoma"/>
          <w:b/>
          <w:color w:val="FF0000"/>
          <w:sz w:val="18"/>
          <w:szCs w:val="18"/>
        </w:rPr>
        <w:t>zmodyfikowany</w:t>
      </w:r>
      <w:r w:rsidRPr="000B2229">
        <w:rPr>
          <w:rFonts w:ascii="Verdana" w:hAnsi="Verdana" w:cs="Tahoma"/>
          <w:b/>
          <w:sz w:val="18"/>
          <w:szCs w:val="18"/>
        </w:rPr>
        <w:t xml:space="preserve">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3646242C" w:rsidR="00517A40" w:rsidRPr="00517A40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aparatury w ramach realizacji projektu</w:t>
            </w:r>
            <w:r w:rsid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„</w:t>
            </w:r>
            <w:proofErr w:type="spellStart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738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B81E67" w:rsidRPr="00173201" w14:paraId="3DD1697D" w14:textId="4479FD44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3925B749" w14:textId="77777777" w:rsidR="00B81E67" w:rsidRPr="00C06746" w:rsidRDefault="00B81E67" w:rsidP="00416FDC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76F5428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3A05710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7DCD3642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44A78EB1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9FAEF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5EBC8C79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0265DC4C" w14:textId="214040FA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18C0F706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02C22A49" w14:textId="51C1A0D4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16F5ECE0" w14:textId="3714A3E2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B81E67" w14:paraId="5E242F3A" w14:textId="738D18AD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25C8B5C1" w14:textId="77777777" w:rsidR="00B81E67" w:rsidRPr="00021B54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Inkubator C0</w:t>
                  </w:r>
                  <w:r w:rsidRPr="00C06746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1" w:type="dxa"/>
                  <w:vAlign w:val="center"/>
                </w:tcPr>
                <w:p w14:paraId="1FF182A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F2F37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7812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671A2D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207FB3D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07E41A5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6F893B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BEEA3AA" w14:textId="0948B346" w:rsidTr="00B81E67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34AD45" w14:textId="77777777" w:rsidR="00B81E67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Wirówka laboratoryjna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58E80ACE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58F35966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AB992B9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C3E6F91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524AD588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7359BEFB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5123056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044A4EF7" w14:textId="65D53E03" w:rsidTr="00B81E67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0981C2" w14:textId="77777777" w:rsidR="00B81E67" w:rsidRDefault="00B81E67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Termocykler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60C3B083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4E5784E7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E9280AA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55EBF12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3ED4C9B1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13B42849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0B8F313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47149949" w14:textId="1251EEA8" w:rsidTr="00B81E67">
              <w:trPr>
                <w:gridBefore w:val="1"/>
                <w:wBefore w:w="247" w:type="dxa"/>
                <w:trHeight w:val="397"/>
              </w:trPr>
              <w:tc>
                <w:tcPr>
                  <w:tcW w:w="61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1C40E08" w14:textId="15D04AAA" w:rsidR="00B81E67" w:rsidRDefault="00B81E67" w:rsidP="00416F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1A81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5FF6B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D52D5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49D0648B" w14:textId="5378F6F2" w:rsidR="002D7968" w:rsidRPr="008B0F34" w:rsidRDefault="002D7968" w:rsidP="008B0F3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8B0F34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32EEFE23" w:rsidR="00EF0DB2" w:rsidRDefault="006B7B6B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Inkubator CO</w:t>
                  </w:r>
                  <w:r w:rsidRPr="006B7B6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177C4" w14:textId="19951204" w:rsidR="00504416" w:rsidRPr="009247EC" w:rsidRDefault="00504416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</w:t>
                  </w:r>
                  <w:r w:rsidR="00E15D79"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- 8 półek ze stali nierdzewnej</w:t>
                  </w:r>
                </w:p>
                <w:p w14:paraId="6B8DF60B" w14:textId="62A68CE9" w:rsidR="00504416" w:rsidRPr="009247EC" w:rsidRDefault="009247EC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55E26F5B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20FDF5A" w14:textId="50A11FA3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16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Inkubator wyposażony w opcję </w:t>
                  </w:r>
                  <w:proofErr w:type="spellStart"/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autosterylizacji</w:t>
                  </w:r>
                  <w:proofErr w:type="spellEnd"/>
                  <w:r w:rsidR="0043582F"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komory inkubatora w temperaturze przynajmniej +180°C przez 2 godziny</w:t>
                  </w:r>
                </w:p>
                <w:p w14:paraId="1226E32F" w14:textId="2A78AF2C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8E62D8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6DA1BC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129B56E3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2BE6393" w14:textId="5F1BAF9C" w:rsidR="009247EC" w:rsidRPr="009247EC" w:rsidRDefault="009247EC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Dwa porty dostępu o średnicy wewnętrznej 25mm umieszczone na tylnej ścianie komory inkubatora umożliwiające doprowadzenie urządzeń zewnętrznych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="00F973AE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FEDCD1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69EC4E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490939BA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AD6C987" w14:textId="60253CB7" w:rsidR="009247EC" w:rsidRPr="009247EC" w:rsidRDefault="009247EC" w:rsidP="0043582F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F973A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Rejestrator danych i wykresów rejestrujący zmiany w stężeniu CO2, temperatury oraz zapisujący informacje o alarmach w okresie nie krótszym niż 6 miesi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ę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A1391E"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 w:rsidR="00F973A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="00A1391E"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4CFE273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336DD4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26C5CC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22FDCB7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0C2CEE8F" w14:textId="77777777" w:rsidR="0043582F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5648EC8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36039AD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theme="minorBidi"/>
                      <w:b/>
                      <w:bCs/>
                      <w:sz w:val="18"/>
                      <w:szCs w:val="18"/>
                    </w:rPr>
                    <w:t>Termocykler</w:t>
                  </w:r>
                  <w:proofErr w:type="spellEnd"/>
                  <w:r>
                    <w:rPr>
                      <w:rFonts w:ascii="Verdana" w:hAnsi="Verdana" w:cstheme="minorBidi"/>
                      <w:b/>
                      <w:bCs/>
                      <w:sz w:val="18"/>
                      <w:szCs w:val="18"/>
                    </w:rPr>
                    <w:t xml:space="preserve"> z wymiennymi blokami i gradientem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2DBFD9" w14:textId="222931C3" w:rsidR="0043582F" w:rsidRPr="009247EC" w:rsidRDefault="0043582F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Rozpiętość gradientu nie mniejsza niż do 30°C –</w:t>
                  </w:r>
                </w:p>
                <w:p w14:paraId="7625AAF7" w14:textId="77777777" w:rsidR="0043582F" w:rsidRPr="009247EC" w:rsidRDefault="0043582F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C4A8C36" w14:textId="6DA3D7FB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16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Pr="00435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Szybkość ogrzewania bloku nie mniejsza niż  10°C/s</w:t>
                  </w:r>
                </w:p>
                <w:p w14:paraId="12F1D7CD" w14:textId="77777777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53B3723" w14:textId="159D42BC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17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Szybkość schładzania bloku nie mniejsza niż  5°C/s–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7CE77FD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112DBF5" w14:textId="0B3B0FE8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Wirówka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B8D017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B7F478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45F1232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CE77D" w14:textId="3513478B" w:rsidR="0043582F" w:rsidRPr="009247EC" w:rsidRDefault="0043582F" w:rsidP="008E2699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="008E2699" w:rsidRPr="008E2699">
                    <w:rPr>
                      <w:rFonts w:ascii="Verdana" w:hAnsi="Verdana" w:cstheme="minorHAnsi"/>
                      <w:color w:val="FF0000"/>
                    </w:rPr>
                    <w:t xml:space="preserve">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Maksymalna siła wirowania </w:t>
                  </w:r>
                  <w:proofErr w:type="spellStart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rcf</w:t>
                  </w:r>
                  <w:proofErr w:type="spellEnd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nie mniejsza niż 30 000 </w:t>
                  </w:r>
                  <w:proofErr w:type="spellStart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xg</w:t>
                  </w:r>
                  <w:proofErr w:type="spellEnd"/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08B98712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07F7D27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5E4DEAA8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58C5186" w14:textId="38CC2794" w:rsidR="0043582F" w:rsidRPr="009247EC" w:rsidRDefault="0043582F" w:rsidP="008E2699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8E2699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Czas osiągnięcia prędkości maksymalnej z standardowym rotorem na probówki o pojemności 1,5/2 ml nie dłuższy niż- 15 sekund 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532078BD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FC4DC8E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1E10A458" w14:textId="77777777" w:rsidTr="008E2699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301C46" w14:textId="5926A5EA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– </w:t>
                  </w:r>
                  <w:r w:rsidR="008E2699"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Czas zatrzymania z standardowym rotorem na probówki o pojemności 1,5/2 ml nie dłuższy niż - 15 sekund–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6B9A330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B648B8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E2699" w14:paraId="2C29FC3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75928BD" w14:textId="2A8AA799" w:rsidR="008E2699" w:rsidRPr="009247EC" w:rsidRDefault="008E2699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lp. 1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Głośność z rotorem na probówki 1,5/2ml z pokrywą  nie większa niż 54 </w:t>
                  </w:r>
                  <w:proofErr w:type="spellStart"/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dB</w:t>
                  </w:r>
                  <w:proofErr w:type="spellEnd"/>
                  <w:r w:rsidRPr="008E26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(A)  - 1 pkt.</w:t>
                  </w:r>
                </w:p>
              </w:tc>
              <w:tc>
                <w:tcPr>
                  <w:tcW w:w="831" w:type="dxa"/>
                </w:tcPr>
                <w:p w14:paraId="727CA0CA" w14:textId="77777777" w:rsidR="008E2699" w:rsidRDefault="008E2699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2316630" w14:textId="77777777" w:rsidR="008E2699" w:rsidRDefault="008E2699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5846EA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A79F0CF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AEF1C5C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31111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2A69213B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3D592399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738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B81E67" w14:paraId="46BCCCA3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1FD0AD04" w14:textId="77777777" w:rsidR="00B81E67" w:rsidRPr="00C06746" w:rsidRDefault="00B81E67" w:rsidP="00B81E67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238A3225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07B2780E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64B476EB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7A42FA4C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892925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06FC743E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1E04357C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22848A0D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51B0CA72" w14:textId="77777777" w:rsidR="00B81E67" w:rsidRPr="00C06746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06535A53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B81E67" w14:paraId="47CD633D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540362AE" w14:textId="5C8C347D" w:rsidR="00B81E67" w:rsidRPr="00021B54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Mikroskop konfokalny</w:t>
                  </w:r>
                </w:p>
              </w:tc>
              <w:tc>
                <w:tcPr>
                  <w:tcW w:w="1301" w:type="dxa"/>
                  <w:vAlign w:val="center"/>
                </w:tcPr>
                <w:p w14:paraId="20ED8268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2B0976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BAD89DC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B8E9A49" w14:textId="39F060B5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8C1A270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78153D7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77A3EF1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0F8E2C97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650423" w14:textId="3E4A00F8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cytometrii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175C788D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518977C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21C54D90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93D443D" w14:textId="55BAC4B0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E6F911B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91E947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7531B8DF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BEB4542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C514DC8" w14:textId="438460A3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Mikroskop w układzie odwróconym z obiektywami </w:t>
                  </w:r>
                  <w:proofErr w:type="spellStart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planarchromatycznymi</w:t>
                  </w:r>
                  <w:proofErr w:type="spellEnd"/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3621E2F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4D0C5054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6C728E5D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1CC7C8D" w14:textId="791871F8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1CD2DCF4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60734B2B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21788E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239D84CA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CD9B048" w14:textId="5B6A6A3F" w:rsidR="00B81E67" w:rsidRPr="00B81E67" w:rsidRDefault="00B81E67" w:rsidP="00B81E67">
                  <w:pPr>
                    <w:rPr>
                      <w:rFonts w:ascii="Verdana" w:hAnsi="Verdana" w:cs="Tahoma"/>
                      <w:bCs/>
                      <w:sz w:val="14"/>
                      <w:szCs w:val="14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Mikroskop w układzie odwróconym z obiektywami </w:t>
                  </w:r>
                  <w:proofErr w:type="spellStart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planarchromatycznymi</w:t>
                  </w:r>
                  <w:proofErr w:type="spellEnd"/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 xml:space="preserve"> i kamerami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364C957F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330FECB9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4F948E8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6A6E9BA2" w14:textId="39D935B9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30558E4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5D3F7635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66A6AF3C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2471B9C4" w14:textId="77777777" w:rsidTr="000E5D7A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CFBF3C0" w14:textId="654A4401" w:rsidR="00B81E67" w:rsidRDefault="00B81E67" w:rsidP="00B81E6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81E67">
                    <w:rPr>
                      <w:rFonts w:ascii="Verdana" w:hAnsi="Verdana" w:cs="Tahoma"/>
                      <w:bCs/>
                      <w:sz w:val="14"/>
                      <w:szCs w:val="14"/>
                    </w:rPr>
                    <w:t>Mikroskop w układzie odwróconym z obiektywami fluorytowymi i kamerą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18C2F9B3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0AF1FFB4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0EB4E4C" w14:textId="77777777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5E276C09" w14:textId="5CEED325" w:rsidR="00B81E67" w:rsidRDefault="00B81E67" w:rsidP="00B81E67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968787A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27E2B225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3ED8F668" w14:textId="77777777" w:rsidR="00B81E67" w:rsidRDefault="00B81E67" w:rsidP="00B81E6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F39AA87" w14:textId="77777777" w:rsidTr="000E5D7A">
              <w:trPr>
                <w:gridBefore w:val="1"/>
                <w:wBefore w:w="247" w:type="dxa"/>
                <w:trHeight w:val="397"/>
              </w:trPr>
              <w:tc>
                <w:tcPr>
                  <w:tcW w:w="61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BCCB1D2" w14:textId="77777777" w:rsidR="00B81E67" w:rsidRDefault="00B81E67" w:rsidP="00B81E67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8BA5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284A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4F35" w14:textId="77777777" w:rsidR="00B81E67" w:rsidRDefault="00B81E67" w:rsidP="00B81E67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B28E5B5" w14:textId="77777777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BE4E041" w14:textId="31B8CB45" w:rsidR="00610873" w:rsidRDefault="00610873" w:rsidP="0061087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10873" w14:paraId="09606B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F17EE0B" w14:textId="00C523B0" w:rsidR="00610873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konfokalny z zautomatyzowanym systemem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cytometrii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413E6C6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891E69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10873" w14:paraId="5A219C6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00033E" w14:textId="6B83B612" w:rsidR="00610873" w:rsidRPr="009247EC" w:rsidRDefault="00610873" w:rsidP="00CF6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optyka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CF682F"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CF682F"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Obiektyw 20x wyposażony w pierścień korekcyjny, apertura nie mniej niż 0,7, odległość robocza nie mniej niż 0,8-1,5 mm</w:t>
                  </w:r>
                  <w:r w:rsid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21892BEE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670B1A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E2868" w14:paraId="718D78F7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B3475" w14:textId="439046B5" w:rsidR="00CF682F" w:rsidRPr="00CF682F" w:rsidRDefault="004E2868" w:rsidP="00CF682F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4E2868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optyka </w:t>
                  </w:r>
                  <w:r w:rsidRPr="004E2868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lp. 4 zał. nr 2.2 do SWZ</w:t>
                  </w:r>
                  <w:r w:rsid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)</w:t>
                  </w:r>
                  <w:r w:rsidR="00CF682F" w:rsidRPr="00CF682F">
                    <w:rPr>
                      <w:rFonts w:eastAsia="Calibri"/>
                      <w:color w:val="FF0000"/>
                      <w:sz w:val="22"/>
                      <w:szCs w:val="22"/>
                    </w:rPr>
                    <w:t xml:space="preserve"> </w:t>
                  </w:r>
                  <w:r w:rsidR="00CF682F" w:rsidRP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Obiektyw z imersją silikonową 60X</w:t>
                  </w:r>
                </w:p>
                <w:p w14:paraId="3137712D" w14:textId="3F3C178A" w:rsidR="004E2868" w:rsidRPr="004E2868" w:rsidRDefault="00CF682F" w:rsidP="00CF682F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CF682F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Obiektyw 60X, apertura numeryczna 1,3, odległość robocza 0,3 mm do imersji silikonowej)- 1pkt</w:t>
                  </w:r>
                </w:p>
              </w:tc>
              <w:tc>
                <w:tcPr>
                  <w:tcW w:w="831" w:type="dxa"/>
                </w:tcPr>
                <w:p w14:paraId="36FD8771" w14:textId="77777777" w:rsidR="004E2868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741C774" w14:textId="77777777" w:rsidR="004E2868" w:rsidRDefault="004E2868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F682F" w14:paraId="11A96505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6952CD2" w14:textId="683D2769" w:rsidR="00CF682F" w:rsidRPr="009247EC" w:rsidRDefault="00CF682F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optyka </w:t>
                  </w:r>
                  <w:r w:rsidRPr="00CF6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lp. 4 zał. nr 2.2 do SWZ)</w:t>
                  </w:r>
                  <w:r w:rsidR="004C4A72" w:rsidRPr="004C4A72">
                    <w:rPr>
                      <w:rFonts w:eastAsia="Calibr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Korekcja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abberacji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chromatycznych w zakresie od 400-1000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nm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CF682F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- 1pkt</w:t>
                  </w:r>
                </w:p>
              </w:tc>
              <w:tc>
                <w:tcPr>
                  <w:tcW w:w="831" w:type="dxa"/>
                </w:tcPr>
                <w:p w14:paraId="53E574F1" w14:textId="77777777" w:rsidR="00CF682F" w:rsidRDefault="00CF682F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4C416BF" w14:textId="77777777" w:rsidR="00CF682F" w:rsidRDefault="00CF682F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610873" w14:paraId="206698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4F2E29D" w14:textId="5CDB11BC" w:rsidR="00610873" w:rsidRPr="009247EC" w:rsidRDefault="00610873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kontroler czasu rzeczywistego 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lp. </w:t>
                  </w:r>
                  <w:r w:rsidR="004C4A7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8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  <w:r w:rsidR="004C4A72" w:rsidRPr="004C4A72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Dokładność czasowa (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trigger</w:t>
                  </w:r>
                  <w:proofErr w:type="spellEnd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) 0,1ms z precyzją 2 </w:t>
                  </w:r>
                  <w:proofErr w:type="spellStart"/>
                  <w:r w:rsidR="004C4A72" w:rsidRP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μs</w:t>
                  </w:r>
                  <w:proofErr w:type="spellEnd"/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4EC5F60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B13C482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707D43CB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F492B08" w14:textId="52A4E928" w:rsidR="00C9531A" w:rsidRPr="009247EC" w:rsidRDefault="00C9531A" w:rsidP="004C4A72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(kontroler czasu rzeczywistego lp. 8 zał. nr 2.2 do SWZ) na nie mniej niż . 1x wyjście wyzwalające do synchronizacji kamery (BNC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5049EDB" w14:textId="77777777" w:rsidR="00C9531A" w:rsidRDefault="00C9531A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4F264D" w14:textId="77777777" w:rsidR="00C9531A" w:rsidRDefault="00C9531A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5E1316D3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AEB65DB" w14:textId="165915F3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na nie mniej niż . 3x standardowe wyjście TTL (BNC)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03AF2C86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24BB95D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0C4F6F49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9D0EBFE" w14:textId="40AAF3CF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na nie mniej niż . 4x cyfrowy port wejścia / wyjścia (In/Out) (BNC)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EFA2884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DF14776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681B104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E6CE8D5" w14:textId="43182F45" w:rsidR="00C9531A" w:rsidRPr="009247EC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na nie mniej niż. 16x wyjście do bezpośredniej modulacji (SMB)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8C709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32D1EC1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50190C1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143CE72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0BD161D" w14:textId="62CCED32" w:rsidR="00C9531A" w:rsidRPr="008C7094" w:rsidRDefault="00C9531A" w:rsidP="00C9531A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(kontroler czasu rzeczywistego lp. 8 zał. nr 2.2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Połączenie przez interfejs USB 2.0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0,5</w:t>
                  </w:r>
                  <w:r w:rsidRPr="00C9531A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10619D3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2196B7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610873" w14:paraId="4FCB5ADF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63FFF26" w14:textId="383CF603" w:rsidR="00610873" w:rsidRPr="009247EC" w:rsidRDefault="00610873" w:rsidP="00C9531A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cytometrii</w:t>
                  </w:r>
                  <w:proofErr w:type="spellEnd"/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18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C9531A" w:rsidRPr="00C9531A">
                    <w:rPr>
                      <w:rFonts w:asciiTheme="minorHAnsi" w:hAnsiTheme="minorHAnsi" w:cstheme="minorHAnsi"/>
                      <w:b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="00C9531A" w:rsidRPr="00C9531A">
                    <w:rPr>
                      <w:rFonts w:ascii="Verdana" w:hAnsi="Verdana" w:cs="Tahoma"/>
                      <w:bCs/>
                      <w:i/>
                      <w:iCs/>
                      <w:sz w:val="16"/>
                      <w:szCs w:val="16"/>
                    </w:rPr>
                    <w:t>Zmotoryzowany nie mniej niż 8-pozycyjny obrotowy zmieniacz kostek fluorescencyjnych</w:t>
                  </w:r>
                  <w:r w:rsidR="00C9531A" w:rsidRPr="00C9531A">
                    <w:rPr>
                      <w:rFonts w:ascii="Verdana" w:hAnsi="Verdana" w:cs="Tahoma"/>
                      <w:b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102C4BB8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E618F83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9531A" w14:paraId="4E4BC242" w14:textId="77777777" w:rsidTr="007200A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95D81C7" w14:textId="3E0349A9" w:rsidR="00C9531A" w:rsidRPr="009247EC" w:rsidRDefault="00C9531A" w:rsidP="00C9531A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zautomatyzowany system </w:t>
                  </w:r>
                  <w:proofErr w:type="spellStart"/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cytometrii</w:t>
                  </w:r>
                  <w:proofErr w:type="spellEnd"/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B81E6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9531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Możliwość prezentacji danych na histogramach oraz dwuwymiarowych </w:t>
                  </w:r>
                  <w:proofErr w:type="spellStart"/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skategramach</w:t>
                  </w:r>
                  <w:proofErr w:type="spellEnd"/>
                  <w:r w:rsidRPr="00C9531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Pr="00C9531A">
                    <w:rPr>
                      <w:rFonts w:ascii="Verdana" w:hAnsi="Verdana" w:cs="Tahoma"/>
                      <w:b/>
                      <w:i/>
                      <w:iCs/>
                      <w:sz w:val="16"/>
                      <w:szCs w:val="16"/>
                    </w:rPr>
                    <w:t>–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23488ED4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9C253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6848AD" w14:textId="77777777" w:rsidR="00610873" w:rsidRDefault="00610873" w:rsidP="00610873">
            <w:pPr>
              <w:pStyle w:val="Default"/>
              <w:rPr>
                <w:sz w:val="20"/>
                <w:szCs w:val="20"/>
              </w:rPr>
            </w:pPr>
          </w:p>
          <w:p w14:paraId="7AB8E17F" w14:textId="77777777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AFBE5F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E271874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CE20117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550BF60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0E2CA4A" w14:textId="77777777" w:rsidR="00C9531A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04EFF470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9E0EFB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8D9A11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BD5FC16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520D27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88A97E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9ECBD70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62B48B9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4BB764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B826685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F18EEA7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4641BD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22F65D36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C9531A" w14:paraId="754615FB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6A6EB5D" w14:textId="3DBC7430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w układzie odwróconym z obiektywami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planachromatycznymi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CA02A59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78570D3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9531A" w14:paraId="40BCAD77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C63B64" w14:textId="6646C26D" w:rsidR="00C9531A" w:rsidRPr="009247EC" w:rsidRDefault="00C9531A" w:rsidP="00C9531A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Kondensor o aperturze numerycznej max. 0,3 i odległości </w:t>
                  </w:r>
                  <w:r w:rsidR="00B8688E" w:rsidRPr="00B8688E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nie mniejszej niż  71mm.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E132E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969F3D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61ED39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1A18D" w14:textId="26F88A13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13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F0F6D0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DD7427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FE9427A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A7E5F9" w14:textId="517E99DA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14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F2E8269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4DC0C6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68539A5F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A7EDEF" w14:textId="20EE8959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17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7F5F925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07EB788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28A67BDE" w14:textId="77777777" w:rsidTr="006A3D8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5610AA" w14:textId="2FBF8B0D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20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 Możliwość ustawienia okularów w pozycji dolnej i górnej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02CA4804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5397767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6DA7AA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7152A9E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76465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E8DB73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422D702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1C8DEB1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D619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B097C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426073D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C1E24F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FF7941" w14:paraId="64F05D2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E48A435" w14:textId="465946F8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Mikroskop w układzie odwróconym z obiektywami </w:t>
                  </w: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planachromatycznymi</w:t>
                  </w:r>
                  <w:proofErr w:type="spellEnd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i kamerą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3D07772" w14:textId="77777777" w:rsidR="00FF7941" w:rsidRDefault="00FF7941" w:rsidP="00FF794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F83235B" w14:textId="77777777" w:rsidR="00FF7941" w:rsidRDefault="00FF7941" w:rsidP="00FF794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FF7941" w14:paraId="77DE240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3A91D" w14:textId="20007DD2" w:rsidR="00FF7941" w:rsidRPr="009247EC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Pr="00D71E12">
                    <w:rPr>
                      <w:rFonts w:ascii="Verdana" w:hAnsi="Verdana" w:cs="Tahoma"/>
                      <w:sz w:val="16"/>
                      <w:szCs w:val="16"/>
                    </w:rPr>
                    <w:t>2 do SWZ</w:t>
                  </w:r>
                  <w:r w:rsidRPr="00E63B99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)</w:t>
                  </w:r>
                  <w:r w:rsidRPr="00E63B99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 Przystosowanie mikroskopu do obserwacji w kontraście inwersyjnym –  </w:t>
                  </w:r>
                  <w:r w:rsidRPr="00E63B99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CEBC3F4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BC962B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8ED83C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184CDA" w14:textId="571BE819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5F48FEDE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E6662E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7D854BB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E60C51" w14:textId="00685359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067345CA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F48F901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14E1B79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B5A535" w14:textId="1545DDFF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5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mikroskop współpracuje z obiektywem o powiększeniu 2x-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C8FCF46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40F955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1AE6F17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4D4605" w14:textId="73A68292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17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5983F4B3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64F4A6C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3E53C21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53337D" w14:textId="5FB33956" w:rsidR="00FF7941" w:rsidRPr="00FF7941" w:rsidRDefault="00FF7941" w:rsidP="00FF7941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lastRenderedPageBreak/>
                    <w:t xml:space="preserve">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28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 Minimalny zakres czas ekspozycji: 1 ms – 918 ms  –  1pkt.</w:t>
                  </w:r>
                </w:p>
              </w:tc>
              <w:tc>
                <w:tcPr>
                  <w:tcW w:w="831" w:type="dxa"/>
                </w:tcPr>
                <w:p w14:paraId="72EB344C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4424B69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C95E9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3E4E7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E2245B3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71E12" w14:paraId="2025FD6D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41B50C4" w14:textId="34E596A8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Mikroskop w układzie odwróconym z obiektywami fluorytowymi i kamerą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6F63748" w14:textId="77777777" w:rsidR="00D71E12" w:rsidRDefault="00D71E12" w:rsidP="00D71E12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0EB3BB52" w14:textId="77777777" w:rsidR="00D71E12" w:rsidRDefault="00D71E12" w:rsidP="00D71E12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71E12" w14:paraId="19BFF57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800C2" w14:textId="77777777" w:rsidR="00D71E12" w:rsidRPr="009247EC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71E12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Przystosowanie mikroskopu do obserwacji w kontraście inwersyjnym</w:t>
                  </w:r>
                  <w:r w:rsidRPr="00D71E12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52C1FB3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6CFB782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27A03F0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A65FBB" w14:textId="68FEFE9C" w:rsidR="00D71E12" w:rsidRPr="00FF7941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2.2 do SWZ)</w:t>
                  </w:r>
                  <w:r w:rsidRPr="00D71E1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Kondensor o aperturze numerycznej maksymalnie 0,3 i odległości roboczej min. 70mm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. - </w:t>
                  </w:r>
                  <w:r w:rsidRPr="00D71E12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1pkt</w:t>
                  </w:r>
                </w:p>
              </w:tc>
              <w:tc>
                <w:tcPr>
                  <w:tcW w:w="831" w:type="dxa"/>
                </w:tcPr>
                <w:p w14:paraId="4AB363A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F03960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676630DA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84D76" w14:textId="77777777" w:rsidR="00D71E12" w:rsidRPr="00FF7941" w:rsidRDefault="00D71E12" w:rsidP="00D71E12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 Kontrast inwersyjny dla obiektywu 10x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F009E68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5C9BD0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0023C3E5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6CFD93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obserwacji naczyń hodowlanych do 190mm wysokości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2E48DD33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C5ABD7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7520F69F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1EE21C" w14:textId="7B0114EB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1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5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mikroskop współpracuje z obiektywem o powiększeniu 2x- 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76D535A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C78E61E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1A51E202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53D9CF" w14:textId="738C652B" w:rsidR="00D71E12" w:rsidRPr="00E40368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strike/>
                      <w:color w:val="FF0000"/>
                      <w:sz w:val="16"/>
                      <w:szCs w:val="16"/>
                    </w:rPr>
                  </w:pPr>
                  <w:r w:rsidRPr="00E40368">
                    <w:rPr>
                      <w:rFonts w:ascii="Verdana" w:hAnsi="Verdana" w:cs="Tahoma"/>
                      <w:i/>
                      <w:strike/>
                      <w:color w:val="FF0000"/>
                      <w:sz w:val="16"/>
                      <w:szCs w:val="16"/>
                    </w:rPr>
                    <w:t>(lp. 16 zał. nr 2.2 do SWZ) obiektyw fluorytowy o powiększeniu 20x, regulowana odległość robocza w zakresie min. od 6.6 do 7.8 mm, apertura numeryczna min. 0.45. Do obserwacji metodą kontrastu fazowego-  1pkt</w:t>
                  </w:r>
                </w:p>
              </w:tc>
              <w:tc>
                <w:tcPr>
                  <w:tcW w:w="831" w:type="dxa"/>
                </w:tcPr>
                <w:p w14:paraId="32D7B1CB" w14:textId="77777777" w:rsidR="00D71E12" w:rsidRPr="00656821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7CC7930" w14:textId="77777777" w:rsidR="00D71E12" w:rsidRPr="00656821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D71E12" w14:paraId="59EBCE51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A216FE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17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color w:val="auto"/>
                      <w:sz w:val="16"/>
                      <w:szCs w:val="16"/>
                    </w:rPr>
                    <w:t xml:space="preserve"> możliwość zamontowania wydłużenia stolika  –  </w:t>
                  </w:r>
                  <w:r w:rsidRPr="00FF7941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4158D109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7581A0B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71E12" w14:paraId="68331381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56EDB7" w14:textId="77777777" w:rsidR="00D71E12" w:rsidRPr="00FF7941" w:rsidRDefault="00D71E12" w:rsidP="00D71E12">
                  <w:pPr>
                    <w:pStyle w:val="Default"/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>28</w:t>
                  </w:r>
                  <w:r w:rsidRPr="00FF7941">
                    <w:rPr>
                      <w:rFonts w:ascii="Verdana" w:hAnsi="Verdana" w:cs="Tahoma"/>
                      <w:i/>
                      <w:color w:val="auto"/>
                      <w:sz w:val="16"/>
                      <w:szCs w:val="16"/>
                    </w:rPr>
                    <w:t xml:space="preserve"> zał. nr 2.2 do SWZ) Minimalny zakres czas ekspozycji: 1 ms – 918 ms  –  1pkt.</w:t>
                  </w:r>
                </w:p>
              </w:tc>
              <w:tc>
                <w:tcPr>
                  <w:tcW w:w="831" w:type="dxa"/>
                </w:tcPr>
                <w:p w14:paraId="0FEA5BBA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CCDA4AC" w14:textId="77777777" w:rsidR="00D71E12" w:rsidRDefault="00D71E12" w:rsidP="00D71E1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D889B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28195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E60A24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C3E53D0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E221A1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D13B66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5CA8EA1" w14:textId="1313E3B8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30F30161" w14:textId="40B337B2" w:rsidR="00610873" w:rsidRPr="008B0F34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A7298C" w:rsidRPr="00F20A61" w14:paraId="30C6BDAB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6F2CDFB8" w14:textId="19CA961D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  <w:r w:rsidR="00610873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127BC2DD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FB3CB4" w:rsidRPr="00280E3E" w14:paraId="11D0C071" w14:textId="77777777" w:rsidTr="002424DA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602DB11D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3F093C1" w14:textId="77777777" w:rsidR="00FB3CB4" w:rsidRPr="00280E3E" w:rsidRDefault="00FB3CB4" w:rsidP="00FB3CB4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61345F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F22F182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97EFA0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B3CB4" w14:paraId="7ABE3B07" w14:textId="77777777" w:rsidTr="002424DA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1073776F" w14:textId="77777777" w:rsidR="00FB3CB4" w:rsidRPr="00897529" w:rsidRDefault="00FB3CB4" w:rsidP="00FB3CB4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8B9A2A2" w14:textId="2DED3D9F" w:rsidR="00FB3CB4" w:rsidRPr="00021B54" w:rsidRDefault="00FB3CB4" w:rsidP="00FB3CB4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</w:t>
                  </w:r>
                  <w:proofErr w:type="spellEnd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kapilarny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4A0FB5D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D808CE" w14:textId="77777777" w:rsidR="00FB3CB4" w:rsidRDefault="00FB3CB4" w:rsidP="00FB3CB4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0D6C7DC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11C0CFA" w14:textId="77777777" w:rsidR="00610873" w:rsidRDefault="00610873" w:rsidP="00610873"/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CCD96BA" w:rsidR="00A24F6E" w:rsidRPr="008B0F34" w:rsidRDefault="00A24F6E" w:rsidP="00D377F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6A7DB9E6" w:rsidR="00A24F6E" w:rsidRDefault="00E84961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Cytometr</w:t>
                  </w:r>
                  <w:proofErr w:type="spellEnd"/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kapilarny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87F03C" w14:textId="18AC2B38" w:rsidR="00A24F6E" w:rsidRPr="00997678" w:rsidRDefault="00A24F6E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D71E12"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laser niebieski: 488 </w:t>
                  </w:r>
                  <w:proofErr w:type="spellStart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; moc nie mniejsza niż 12</w:t>
                  </w:r>
                  <w:r w:rsid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71E12" w:rsidRP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mW</w:t>
                  </w:r>
                  <w:proofErr w:type="spellEnd"/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– </w:t>
                  </w:r>
                  <w:r w:rsidR="00C26816"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94B8302" w14:textId="1D6B5BB8" w:rsidR="00A24F6E" w:rsidRPr="00997678" w:rsidRDefault="00E84961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1  zał. nr 2.3 do SWZ) laser niebieski: 488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nm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; moc nie mniejsza niż 1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0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mW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4A0CD8B" w14:textId="0114F414" w:rsidR="00A24F6E" w:rsidRPr="00997678" w:rsidRDefault="00E84961" w:rsidP="00D377F3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Możliwość regulacji szybkości obrotów mieszania próbki przed pobraniem (tryby: high, medium, </w:t>
                  </w:r>
                  <w:proofErr w:type="spellStart"/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low</w:t>
                  </w:r>
                  <w:proofErr w:type="spellEnd"/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RPM) oraz czasu mieszania próby w zakresie 1-10 sekund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84961" w14:paraId="6781F47C" w14:textId="77777777" w:rsidTr="0099767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2E8C82" w14:textId="3766CF88" w:rsidR="00E84961" w:rsidRPr="00997678" w:rsidRDefault="00E84961" w:rsidP="00E84961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 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System generuje &lt; 100 ml odpadów, przez 8 godzin ciągłej pracy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- 1</w:t>
                  </w:r>
                  <w:r w:rsidRPr="00B123C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2D13E8D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05993A4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84961" w14:paraId="23BBB72B" w14:textId="77777777" w:rsidTr="0099767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786A68" w14:textId="12DBD87E" w:rsidR="00E84961" w:rsidRPr="00B123C4" w:rsidRDefault="00E84961" w:rsidP="00E8496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5 zał. nr 2.3 do SWZ) System generuje &lt;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0 ml odpadów, przez 8 godzin ciągłej pracy -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796F1FE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4CE91CA" w14:textId="77777777" w:rsidR="00E84961" w:rsidRDefault="00E84961" w:rsidP="00E8496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56FCF8" w14:textId="0558B5FD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40A95C2" w14:textId="29A75231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3B4E8F32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D9A0782" w14:textId="77777777" w:rsidR="00610873" w:rsidRPr="001C4DAF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91EED54" w14:textId="77777777" w:rsidR="00610873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610873" w:rsidRPr="00F20A6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24FDBF3F" w14:textId="77777777" w:rsidR="00610873" w:rsidRPr="00D11555" w:rsidRDefault="00610873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C163" w14:textId="77777777" w:rsidR="00BE4A23" w:rsidRDefault="00BE4A23" w:rsidP="00A7298C">
      <w:r>
        <w:separator/>
      </w:r>
    </w:p>
  </w:endnote>
  <w:endnote w:type="continuationSeparator" w:id="0">
    <w:p w14:paraId="5B2647CB" w14:textId="77777777" w:rsidR="00BE4A23" w:rsidRDefault="00BE4A23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57AE" w14:textId="77777777" w:rsidR="00BE4A23" w:rsidRDefault="00BE4A23" w:rsidP="00A7298C">
      <w:r>
        <w:separator/>
      </w:r>
    </w:p>
  </w:footnote>
  <w:footnote w:type="continuationSeparator" w:id="0">
    <w:p w14:paraId="7726B31E" w14:textId="77777777" w:rsidR="00BE4A23" w:rsidRDefault="00BE4A23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672D8"/>
    <w:rsid w:val="00474176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C5AC9"/>
    <w:rsid w:val="005D64EC"/>
    <w:rsid w:val="005E1AE2"/>
    <w:rsid w:val="00610873"/>
    <w:rsid w:val="006250F4"/>
    <w:rsid w:val="00656821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9F60C2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B61EE"/>
    <w:rsid w:val="00AF39CB"/>
    <w:rsid w:val="00B32F0C"/>
    <w:rsid w:val="00B81E67"/>
    <w:rsid w:val="00B8688E"/>
    <w:rsid w:val="00B94E09"/>
    <w:rsid w:val="00B97D32"/>
    <w:rsid w:val="00BA789A"/>
    <w:rsid w:val="00BB145C"/>
    <w:rsid w:val="00BE4A23"/>
    <w:rsid w:val="00C06746"/>
    <w:rsid w:val="00C26816"/>
    <w:rsid w:val="00C550C4"/>
    <w:rsid w:val="00C76FEB"/>
    <w:rsid w:val="00C9531A"/>
    <w:rsid w:val="00CC2569"/>
    <w:rsid w:val="00CC427E"/>
    <w:rsid w:val="00CC4C3A"/>
    <w:rsid w:val="00CC6424"/>
    <w:rsid w:val="00CF2AAA"/>
    <w:rsid w:val="00CF682F"/>
    <w:rsid w:val="00D013F6"/>
    <w:rsid w:val="00D11555"/>
    <w:rsid w:val="00D22842"/>
    <w:rsid w:val="00D377F3"/>
    <w:rsid w:val="00D60064"/>
    <w:rsid w:val="00D630A0"/>
    <w:rsid w:val="00D638DE"/>
    <w:rsid w:val="00D71E12"/>
    <w:rsid w:val="00DE3182"/>
    <w:rsid w:val="00E15D79"/>
    <w:rsid w:val="00E27A2C"/>
    <w:rsid w:val="00E40368"/>
    <w:rsid w:val="00E43B79"/>
    <w:rsid w:val="00E44CA8"/>
    <w:rsid w:val="00E50846"/>
    <w:rsid w:val="00E63B99"/>
    <w:rsid w:val="00E745D5"/>
    <w:rsid w:val="00E84961"/>
    <w:rsid w:val="00EF0DB2"/>
    <w:rsid w:val="00F10696"/>
    <w:rsid w:val="00F157A7"/>
    <w:rsid w:val="00F45DD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4</cp:revision>
  <cp:lastPrinted>2021-02-05T13:15:00Z</cp:lastPrinted>
  <dcterms:created xsi:type="dcterms:W3CDTF">2021-08-27T20:53:00Z</dcterms:created>
  <dcterms:modified xsi:type="dcterms:W3CDTF">2021-08-27T21:32:00Z</dcterms:modified>
</cp:coreProperties>
</file>