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42" w:rsidRPr="00D566FD" w:rsidRDefault="002A4242" w:rsidP="00EF0534">
      <w:pPr>
        <w:spacing w:line="276" w:lineRule="auto"/>
        <w:rPr>
          <w:b/>
          <w:sz w:val="20"/>
          <w:szCs w:val="20"/>
        </w:rPr>
      </w:pPr>
    </w:p>
    <w:tbl>
      <w:tblPr>
        <w:tblW w:w="13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6"/>
      </w:tblGrid>
      <w:tr w:rsidR="002A4242" w:rsidRPr="00D566FD" w:rsidTr="00436E70">
        <w:trPr>
          <w:trHeight w:val="406"/>
          <w:jc w:val="center"/>
        </w:trPr>
        <w:tc>
          <w:tcPr>
            <w:tcW w:w="13896" w:type="dxa"/>
            <w:shd w:val="clear" w:color="auto" w:fill="D9D9D9"/>
            <w:vAlign w:val="center"/>
          </w:tcPr>
          <w:p w:rsidR="002A4242" w:rsidRPr="00D566FD" w:rsidRDefault="002A4242" w:rsidP="00436E70">
            <w:pPr>
              <w:autoSpaceDN w:val="0"/>
              <w:spacing w:line="288" w:lineRule="auto"/>
              <w:jc w:val="center"/>
              <w:rPr>
                <w:b/>
                <w:kern w:val="3"/>
                <w:sz w:val="20"/>
                <w:szCs w:val="20"/>
                <w:lang w:eastAsia="zh-CN"/>
              </w:rPr>
            </w:pPr>
            <w:r w:rsidRPr="00D566FD">
              <w:rPr>
                <w:b/>
                <w:kern w:val="3"/>
                <w:sz w:val="20"/>
                <w:szCs w:val="20"/>
                <w:lang w:eastAsia="zh-CN"/>
              </w:rPr>
              <w:t>OPIS PRZEDMIOTU ZAMÓWIENIA</w:t>
            </w:r>
          </w:p>
        </w:tc>
      </w:tr>
      <w:tr w:rsidR="00233B49" w:rsidRPr="00233B49" w:rsidTr="00436E70">
        <w:trPr>
          <w:trHeight w:val="693"/>
          <w:jc w:val="center"/>
        </w:trPr>
        <w:tc>
          <w:tcPr>
            <w:tcW w:w="13896" w:type="dxa"/>
            <w:shd w:val="clear" w:color="auto" w:fill="F2F2F2"/>
            <w:vAlign w:val="center"/>
          </w:tcPr>
          <w:p w:rsidR="002A4242" w:rsidRPr="00233B49" w:rsidRDefault="00EF0534" w:rsidP="00436E70">
            <w:pPr>
              <w:autoSpaceDN w:val="0"/>
              <w:spacing w:line="288" w:lineRule="auto"/>
              <w:jc w:val="center"/>
              <w:textAlignment w:val="baseline"/>
              <w:rPr>
                <w:rFonts w:eastAsia="Lucida Sans Unicode"/>
                <w:b/>
                <w:color w:val="000000" w:themeColor="text1"/>
                <w:kern w:val="3"/>
                <w:sz w:val="20"/>
                <w:szCs w:val="20"/>
                <w:lang w:eastAsia="zh-CN" w:bidi="hi-IN"/>
              </w:rPr>
            </w:pPr>
            <w:r w:rsidRPr="00233B49">
              <w:rPr>
                <w:b/>
                <w:color w:val="000000" w:themeColor="text1"/>
                <w:sz w:val="20"/>
                <w:szCs w:val="20"/>
              </w:rPr>
              <w:t>Dostawa Tomografu Komputerowego wraz z instalacją, uruchomieniem, szkoleniem personelu i niezbędnymi pracami adaptacyjnymi</w:t>
            </w:r>
          </w:p>
        </w:tc>
      </w:tr>
    </w:tbl>
    <w:p w:rsidR="002A4242" w:rsidRPr="00233B49" w:rsidRDefault="002A4242" w:rsidP="002A4242">
      <w:pPr>
        <w:spacing w:line="360" w:lineRule="auto"/>
        <w:rPr>
          <w:color w:val="000000" w:themeColor="text1"/>
          <w:sz w:val="20"/>
          <w:szCs w:val="20"/>
        </w:rPr>
      </w:pPr>
    </w:p>
    <w:p w:rsidR="002A4242" w:rsidRPr="00233B49" w:rsidRDefault="002A4242" w:rsidP="002A4242">
      <w:pPr>
        <w:tabs>
          <w:tab w:val="left" w:pos="2375"/>
        </w:tabs>
        <w:rPr>
          <w:rFonts w:eastAsia="Lucida Sans Unicode"/>
          <w:color w:val="000000" w:themeColor="text1"/>
          <w:kern w:val="3"/>
          <w:sz w:val="20"/>
          <w:szCs w:val="20"/>
          <w:lang w:eastAsia="zh-CN" w:bidi="hi-IN"/>
        </w:rPr>
      </w:pPr>
      <w:r w:rsidRPr="00233B49">
        <w:rPr>
          <w:rFonts w:eastAsia="Lucida Sans Unicode"/>
          <w:color w:val="000000" w:themeColor="text1"/>
          <w:kern w:val="3"/>
          <w:sz w:val="20"/>
          <w:szCs w:val="20"/>
          <w:lang w:eastAsia="zh-CN" w:bidi="hi-IN"/>
        </w:rPr>
        <w:t>Uwagi i objaśnienia:</w:t>
      </w:r>
    </w:p>
    <w:p w:rsidR="002A4242" w:rsidRPr="00233B49" w:rsidRDefault="002A4242" w:rsidP="002A4242">
      <w:pPr>
        <w:numPr>
          <w:ilvl w:val="0"/>
          <w:numId w:val="25"/>
        </w:numPr>
        <w:autoSpaceDN w:val="0"/>
        <w:spacing w:after="120"/>
        <w:textAlignment w:val="baseline"/>
        <w:rPr>
          <w:rFonts w:eastAsia="Lucida Sans Unicode"/>
          <w:color w:val="000000" w:themeColor="text1"/>
          <w:kern w:val="3"/>
          <w:sz w:val="20"/>
          <w:szCs w:val="20"/>
          <w:lang w:eastAsia="zh-CN" w:bidi="hi-IN"/>
        </w:rPr>
      </w:pPr>
      <w:r w:rsidRPr="00233B49">
        <w:rPr>
          <w:rFonts w:eastAsia="Lucida Sans Unicode"/>
          <w:color w:val="000000" w:themeColor="text1"/>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2A4242" w:rsidRPr="00233B49" w:rsidRDefault="002A4242" w:rsidP="002A4242">
      <w:pPr>
        <w:numPr>
          <w:ilvl w:val="0"/>
          <w:numId w:val="25"/>
        </w:numPr>
        <w:autoSpaceDN w:val="0"/>
        <w:spacing w:after="120"/>
        <w:textAlignment w:val="baseline"/>
        <w:rPr>
          <w:rFonts w:eastAsia="Lucida Sans Unicode"/>
          <w:color w:val="000000" w:themeColor="text1"/>
          <w:kern w:val="3"/>
          <w:sz w:val="20"/>
          <w:szCs w:val="20"/>
          <w:lang w:eastAsia="zh-CN" w:bidi="hi-IN"/>
        </w:rPr>
      </w:pPr>
      <w:r w:rsidRPr="00233B49">
        <w:rPr>
          <w:rFonts w:eastAsia="Lucida Sans Unicode"/>
          <w:color w:val="000000" w:themeColor="text1"/>
          <w:kern w:val="3"/>
          <w:sz w:val="20"/>
          <w:szCs w:val="20"/>
          <w:lang w:eastAsia="zh-CN" w:bidi="hi-IN"/>
        </w:rPr>
        <w:t>Parametry o określonych warunkach liczbowych ( „=&gt;”  lub „&lt;=”, „min.” lub „max.”) są warunkami granicznymi, których niespełnienie spowoduje odrzucenie oferty.</w:t>
      </w:r>
    </w:p>
    <w:p w:rsidR="002A4242" w:rsidRPr="00233B49" w:rsidRDefault="002A4242" w:rsidP="002A4242">
      <w:pPr>
        <w:numPr>
          <w:ilvl w:val="0"/>
          <w:numId w:val="25"/>
        </w:numPr>
        <w:autoSpaceDN w:val="0"/>
        <w:spacing w:after="120"/>
        <w:textAlignment w:val="baseline"/>
        <w:rPr>
          <w:rFonts w:eastAsia="Lucida Sans Unicode"/>
          <w:color w:val="000000" w:themeColor="text1"/>
          <w:kern w:val="3"/>
          <w:sz w:val="20"/>
          <w:szCs w:val="20"/>
          <w:lang w:eastAsia="zh-CN" w:bidi="hi-IN"/>
        </w:rPr>
      </w:pPr>
      <w:r w:rsidRPr="00233B49">
        <w:rPr>
          <w:rFonts w:eastAsia="Lucida Sans Unicode"/>
          <w:color w:val="000000" w:themeColor="text1"/>
          <w:kern w:val="3"/>
          <w:sz w:val="20"/>
          <w:szCs w:val="20"/>
          <w:lang w:eastAsia="zh-CN" w:bidi="hi-IN"/>
        </w:rPr>
        <w:t>Wartość podana przy w/w oznaczeniach oznacza wartość wymaganą.</w:t>
      </w:r>
    </w:p>
    <w:p w:rsidR="002A4242" w:rsidRPr="00233B49" w:rsidRDefault="002A4242" w:rsidP="00391441">
      <w:pPr>
        <w:numPr>
          <w:ilvl w:val="0"/>
          <w:numId w:val="25"/>
        </w:numPr>
        <w:autoSpaceDN w:val="0"/>
        <w:spacing w:after="120"/>
        <w:textAlignment w:val="baseline"/>
        <w:rPr>
          <w:rFonts w:eastAsia="Lucida Sans Unicode"/>
          <w:color w:val="000000" w:themeColor="text1"/>
          <w:kern w:val="3"/>
          <w:sz w:val="20"/>
          <w:szCs w:val="20"/>
          <w:lang w:eastAsia="zh-CN" w:bidi="hi-IN"/>
        </w:rPr>
      </w:pPr>
      <w:r w:rsidRPr="00233B49">
        <w:rPr>
          <w:rFonts w:eastAsia="Lucida Sans Unicode"/>
          <w:color w:val="000000" w:themeColor="text1"/>
          <w:kern w:val="3"/>
          <w:sz w:val="20"/>
          <w:szCs w:val="20"/>
          <w:lang w:eastAsia="zh-CN" w:bidi="hi-IN"/>
        </w:rPr>
        <w:t>W kolumnie „</w:t>
      </w:r>
      <w:r w:rsidR="00391441" w:rsidRPr="00233B49">
        <w:rPr>
          <w:rFonts w:eastAsia="Lucida Sans Unicode"/>
          <w:color w:val="000000" w:themeColor="text1"/>
          <w:kern w:val="3"/>
          <w:sz w:val="20"/>
          <w:szCs w:val="20"/>
          <w:lang w:eastAsia="zh-CN" w:bidi="hi-IN"/>
        </w:rPr>
        <w:t>Lokalizacja w materiałach firmowych potwierdzenia parametru</w:t>
      </w:r>
      <w:r w:rsidRPr="00233B49">
        <w:rPr>
          <w:rFonts w:eastAsia="Lucida Sans Unicode"/>
          <w:color w:val="000000" w:themeColor="text1"/>
          <w:kern w:val="3"/>
          <w:sz w:val="20"/>
          <w:szCs w:val="20"/>
          <w:lang w:eastAsia="zh-CN" w:bidi="hi-IN"/>
        </w:rPr>
        <w:t>” w przypadku wyrażenia "nie dotyczy" potwierdzenie w materiałach firmowych nie jest konieczne, natomiast w pozostałych przypadkach wykonawca ma obowiązek w tej kolumnie wskazania, gdzie w materiałach firmowych znajduje się parametr zadeklarowany w kolumnie "parametr oferowany".</w:t>
      </w:r>
    </w:p>
    <w:p w:rsidR="002A4242" w:rsidRPr="00D566FD" w:rsidRDefault="002A4242" w:rsidP="002A4242">
      <w:pPr>
        <w:numPr>
          <w:ilvl w:val="0"/>
          <w:numId w:val="25"/>
        </w:numPr>
        <w:autoSpaceDN w:val="0"/>
        <w:spacing w:after="120"/>
        <w:textAlignment w:val="baseline"/>
        <w:rPr>
          <w:rFonts w:eastAsia="Lucida Sans Unicode"/>
          <w:kern w:val="3"/>
          <w:sz w:val="20"/>
          <w:szCs w:val="20"/>
          <w:lang w:eastAsia="zh-CN" w:bidi="hi-IN"/>
        </w:rPr>
      </w:pPr>
      <w:r w:rsidRPr="00D566FD">
        <w:rPr>
          <w:rFonts w:eastAsia="Lucida Sans Unicode"/>
          <w:kern w:val="3"/>
          <w:sz w:val="20"/>
          <w:szCs w:val="20"/>
          <w:lang w:eastAsia="zh-CN" w:bidi="hi-IN"/>
        </w:rPr>
        <w:t>Wykonawca zobowiązany jest do podania parametrów w jednostkach wskazanych w niniejszym opisie.</w:t>
      </w:r>
    </w:p>
    <w:p w:rsidR="002A4242" w:rsidRPr="00D566FD" w:rsidRDefault="002A4242" w:rsidP="002A4242">
      <w:pPr>
        <w:numPr>
          <w:ilvl w:val="0"/>
          <w:numId w:val="25"/>
        </w:numPr>
        <w:autoSpaceDN w:val="0"/>
        <w:spacing w:after="120"/>
        <w:textAlignment w:val="baseline"/>
        <w:rPr>
          <w:rFonts w:eastAsia="Lucida Sans Unicode"/>
          <w:kern w:val="3"/>
          <w:sz w:val="20"/>
          <w:szCs w:val="20"/>
          <w:lang w:eastAsia="zh-CN" w:bidi="hi-IN"/>
        </w:rPr>
      </w:pPr>
      <w:r w:rsidRPr="00D566FD">
        <w:rPr>
          <w:rFonts w:eastAsia="Lucida Sans Unicode"/>
          <w:kern w:val="3"/>
          <w:sz w:val="20"/>
          <w:szCs w:val="20"/>
          <w:lang w:eastAsia="zh-CN" w:bidi="hi-IN"/>
        </w:rPr>
        <w:t xml:space="preserve">Wykonawca gwarantuje niniejszym, że sprzęt jest fabrycznie nowy (rok produkcji nie wcześniej niż </w:t>
      </w:r>
      <w:r w:rsidRPr="00D566FD">
        <w:rPr>
          <w:sz w:val="20"/>
          <w:szCs w:val="20"/>
          <w:lang w:eastAsia="pl-PL"/>
        </w:rPr>
        <w:t>2022</w:t>
      </w:r>
      <w:r w:rsidRPr="00D566FD">
        <w:rPr>
          <w:rFonts w:eastAsia="Lucida Sans Unicode"/>
          <w:kern w:val="3"/>
          <w:sz w:val="20"/>
          <w:szCs w:val="20"/>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2A4242" w:rsidRPr="00D566FD" w:rsidRDefault="002A4242" w:rsidP="002A4242">
      <w:pPr>
        <w:numPr>
          <w:ilvl w:val="0"/>
          <w:numId w:val="25"/>
        </w:numPr>
        <w:autoSpaceDN w:val="0"/>
        <w:spacing w:after="120"/>
        <w:textAlignment w:val="baseline"/>
        <w:rPr>
          <w:rFonts w:eastAsia="Lucida Sans Unicode"/>
          <w:kern w:val="3"/>
          <w:sz w:val="20"/>
          <w:szCs w:val="20"/>
          <w:lang w:eastAsia="zh-CN" w:bidi="hi-IN"/>
        </w:rPr>
      </w:pPr>
      <w:r w:rsidRPr="00D566FD">
        <w:rPr>
          <w:rFonts w:eastAsia="Lucida Sans Unicode"/>
          <w:kern w:val="3"/>
          <w:sz w:val="20"/>
          <w:szCs w:val="20"/>
          <w:lang w:eastAsia="zh-CN" w:bidi="hi-IN"/>
        </w:rPr>
        <w:t>Brak potwierdzenia w materiałach firmowych zakresu większego niż wymagany, pomimo jego wskazania w kolumnie „Parametr oferowany”, spowoduje nie przyznanie punktów za ten parametr.</w:t>
      </w:r>
    </w:p>
    <w:p w:rsidR="00EF0534" w:rsidRPr="00D566FD" w:rsidRDefault="00EF0534" w:rsidP="002A4242">
      <w:pPr>
        <w:autoSpaceDN w:val="0"/>
        <w:spacing w:after="120"/>
        <w:textAlignment w:val="baseline"/>
        <w:rPr>
          <w:rFonts w:eastAsia="Lucida Sans Unicode"/>
          <w:kern w:val="3"/>
          <w:sz w:val="20"/>
          <w:szCs w:val="20"/>
          <w:lang w:eastAsia="zh-CN" w:bidi="hi-IN"/>
        </w:rPr>
      </w:pPr>
    </w:p>
    <w:p w:rsidR="002A4242" w:rsidRPr="00D566FD" w:rsidRDefault="002A4242" w:rsidP="002A4242">
      <w:pPr>
        <w:autoSpaceDN w:val="0"/>
        <w:spacing w:after="120"/>
        <w:textAlignment w:val="baseline"/>
        <w:rPr>
          <w:rFonts w:eastAsia="Lucida Sans Unicode"/>
          <w:kern w:val="3"/>
          <w:sz w:val="20"/>
          <w:szCs w:val="20"/>
          <w:lang w:eastAsia="zh-CN" w:bidi="hi-IN"/>
        </w:rPr>
      </w:pPr>
      <w:r w:rsidRPr="00D566FD">
        <w:rPr>
          <w:rFonts w:eastAsia="Lucida Sans Unicode"/>
          <w:kern w:val="3"/>
          <w:sz w:val="20"/>
          <w:szCs w:val="20"/>
          <w:lang w:eastAsia="zh-CN" w:bidi="hi-IN"/>
        </w:rPr>
        <w:t>Nazwa i typ: ...............................................................................</w:t>
      </w:r>
    </w:p>
    <w:p w:rsidR="002A4242" w:rsidRPr="00D566FD" w:rsidRDefault="002A4242" w:rsidP="002A4242">
      <w:pPr>
        <w:autoSpaceDN w:val="0"/>
        <w:spacing w:after="120"/>
        <w:textAlignment w:val="baseline"/>
        <w:rPr>
          <w:rFonts w:eastAsia="Lucida Sans Unicode"/>
          <w:kern w:val="3"/>
          <w:sz w:val="20"/>
          <w:szCs w:val="20"/>
          <w:lang w:eastAsia="zh-CN" w:bidi="hi-IN"/>
        </w:rPr>
      </w:pPr>
    </w:p>
    <w:p w:rsidR="002A4242" w:rsidRPr="00D566FD" w:rsidRDefault="002A4242" w:rsidP="002A4242">
      <w:pPr>
        <w:autoSpaceDN w:val="0"/>
        <w:spacing w:after="120"/>
        <w:textAlignment w:val="baseline"/>
        <w:rPr>
          <w:rFonts w:eastAsia="Lucida Sans Unicode"/>
          <w:kern w:val="3"/>
          <w:sz w:val="20"/>
          <w:szCs w:val="20"/>
          <w:lang w:eastAsia="zh-CN" w:bidi="hi-IN"/>
        </w:rPr>
      </w:pPr>
      <w:r w:rsidRPr="00D566FD">
        <w:rPr>
          <w:rFonts w:eastAsia="Lucida Sans Unicode"/>
          <w:kern w:val="3"/>
          <w:sz w:val="20"/>
          <w:szCs w:val="20"/>
          <w:lang w:eastAsia="zh-CN" w:bidi="hi-IN"/>
        </w:rPr>
        <w:t>Producent / kraj produkcji: ........................................................</w:t>
      </w:r>
    </w:p>
    <w:p w:rsidR="002A4242" w:rsidRPr="00D566FD" w:rsidRDefault="002A4242" w:rsidP="002A4242">
      <w:pPr>
        <w:autoSpaceDN w:val="0"/>
        <w:spacing w:after="120"/>
        <w:textAlignment w:val="baseline"/>
        <w:rPr>
          <w:rFonts w:eastAsia="Lucida Sans Unicode"/>
          <w:kern w:val="3"/>
          <w:sz w:val="20"/>
          <w:szCs w:val="20"/>
          <w:lang w:eastAsia="zh-CN" w:bidi="hi-IN"/>
        </w:rPr>
      </w:pPr>
    </w:p>
    <w:p w:rsidR="002A4242" w:rsidRPr="00D566FD" w:rsidRDefault="002A4242" w:rsidP="002A4242">
      <w:pPr>
        <w:autoSpaceDN w:val="0"/>
        <w:spacing w:after="120"/>
        <w:textAlignment w:val="baseline"/>
        <w:rPr>
          <w:rFonts w:eastAsia="Lucida Sans Unicode"/>
          <w:kern w:val="3"/>
          <w:sz w:val="20"/>
          <w:szCs w:val="20"/>
          <w:lang w:eastAsia="zh-CN" w:bidi="hi-IN"/>
        </w:rPr>
      </w:pPr>
      <w:r w:rsidRPr="00D566FD">
        <w:rPr>
          <w:rFonts w:eastAsia="Lucida Sans Unicode"/>
          <w:kern w:val="3"/>
          <w:sz w:val="20"/>
          <w:szCs w:val="20"/>
          <w:lang w:eastAsia="zh-CN" w:bidi="hi-IN"/>
        </w:rPr>
        <w:t>Rok produkcji (nie wcześniej niż 2022):  …....................................................</w:t>
      </w:r>
    </w:p>
    <w:p w:rsidR="002A4242" w:rsidRPr="00D566FD" w:rsidRDefault="002A4242" w:rsidP="002A4242">
      <w:pPr>
        <w:autoSpaceDN w:val="0"/>
        <w:spacing w:after="120"/>
        <w:textAlignment w:val="baseline"/>
        <w:rPr>
          <w:rFonts w:eastAsia="Lucida Sans Unicode"/>
          <w:kern w:val="3"/>
          <w:sz w:val="20"/>
          <w:szCs w:val="20"/>
          <w:lang w:eastAsia="zh-CN" w:bidi="hi-IN"/>
        </w:rPr>
      </w:pPr>
    </w:p>
    <w:p w:rsidR="002A4242" w:rsidRDefault="002A4242" w:rsidP="00117CFE">
      <w:pPr>
        <w:autoSpaceDN w:val="0"/>
        <w:spacing w:after="120"/>
        <w:textAlignment w:val="baseline"/>
        <w:rPr>
          <w:rFonts w:eastAsia="Lucida Sans Unicode"/>
          <w:kern w:val="3"/>
          <w:sz w:val="20"/>
          <w:szCs w:val="20"/>
          <w:lang w:eastAsia="zh-CN" w:bidi="hi-IN"/>
        </w:rPr>
      </w:pPr>
      <w:r w:rsidRPr="00D566FD">
        <w:rPr>
          <w:rFonts w:eastAsia="Lucida Sans Unicode"/>
          <w:kern w:val="3"/>
          <w:sz w:val="20"/>
          <w:szCs w:val="20"/>
          <w:lang w:eastAsia="zh-CN" w:bidi="hi-IN"/>
        </w:rPr>
        <w:t>Klasa wyrobu medycznego: ......................................................</w:t>
      </w:r>
    </w:p>
    <w:p w:rsidR="007444D4" w:rsidRPr="00117CFE" w:rsidRDefault="007444D4" w:rsidP="00117CFE">
      <w:pPr>
        <w:autoSpaceDN w:val="0"/>
        <w:spacing w:after="120"/>
        <w:textAlignment w:val="baseline"/>
        <w:rPr>
          <w:rFonts w:eastAsia="Lucida Sans Unicode"/>
          <w:kern w:val="3"/>
          <w:sz w:val="20"/>
          <w:szCs w:val="20"/>
          <w:lang w:eastAsia="zh-CN" w:bidi="hi-IN"/>
        </w:rPr>
      </w:pPr>
    </w:p>
    <w:p w:rsidR="002A4242" w:rsidRPr="007444D4" w:rsidRDefault="007444D4" w:rsidP="007444D4">
      <w:pPr>
        <w:spacing w:line="288" w:lineRule="auto"/>
        <w:rPr>
          <w:b/>
          <w:bCs/>
          <w:sz w:val="20"/>
          <w:szCs w:val="20"/>
          <w:u w:val="single"/>
        </w:rPr>
      </w:pPr>
      <w:r>
        <w:rPr>
          <w:b/>
          <w:bCs/>
          <w:sz w:val="20"/>
          <w:szCs w:val="20"/>
          <w:u w:val="single"/>
        </w:rPr>
        <w:t>Tabela wyceny: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281"/>
        <w:gridCol w:w="1417"/>
        <w:gridCol w:w="8080"/>
      </w:tblGrid>
      <w:tr w:rsidR="007444D4" w:rsidRPr="007444D4" w:rsidTr="00D16483">
        <w:trPr>
          <w:trHeight w:val="550"/>
        </w:trPr>
        <w:tc>
          <w:tcPr>
            <w:tcW w:w="972" w:type="dxa"/>
            <w:shd w:val="clear" w:color="auto" w:fill="F2F2F2"/>
            <w:vAlign w:val="center"/>
          </w:tcPr>
          <w:p w:rsidR="00DF5AA3" w:rsidRPr="007444D4" w:rsidRDefault="00DF5AA3" w:rsidP="00436E70">
            <w:pPr>
              <w:jc w:val="center"/>
              <w:rPr>
                <w:b/>
                <w:color w:val="000000" w:themeColor="text1"/>
                <w:szCs w:val="20"/>
                <w:lang w:eastAsia="pl-PL"/>
              </w:rPr>
            </w:pPr>
            <w:r w:rsidRPr="007444D4">
              <w:rPr>
                <w:b/>
                <w:color w:val="000000" w:themeColor="text1"/>
                <w:sz w:val="22"/>
                <w:szCs w:val="20"/>
                <w:lang w:eastAsia="pl-PL"/>
              </w:rPr>
              <w:t xml:space="preserve">Lp. </w:t>
            </w:r>
          </w:p>
        </w:tc>
        <w:tc>
          <w:tcPr>
            <w:tcW w:w="3281" w:type="dxa"/>
            <w:shd w:val="clear" w:color="auto" w:fill="F2F2F2"/>
            <w:vAlign w:val="center"/>
          </w:tcPr>
          <w:p w:rsidR="00DF5AA3" w:rsidRPr="007444D4" w:rsidRDefault="00DF5AA3" w:rsidP="00436E70">
            <w:pPr>
              <w:jc w:val="center"/>
              <w:rPr>
                <w:b/>
                <w:color w:val="000000" w:themeColor="text1"/>
                <w:szCs w:val="20"/>
                <w:lang w:eastAsia="pl-PL"/>
              </w:rPr>
            </w:pPr>
            <w:r w:rsidRPr="007444D4">
              <w:rPr>
                <w:b/>
                <w:color w:val="000000" w:themeColor="text1"/>
                <w:sz w:val="22"/>
                <w:szCs w:val="20"/>
                <w:lang w:eastAsia="pl-PL"/>
              </w:rPr>
              <w:t xml:space="preserve">Przedmiot zamówienia </w:t>
            </w:r>
          </w:p>
        </w:tc>
        <w:tc>
          <w:tcPr>
            <w:tcW w:w="1417" w:type="dxa"/>
            <w:shd w:val="clear" w:color="auto" w:fill="F2F2F2"/>
            <w:vAlign w:val="center"/>
          </w:tcPr>
          <w:p w:rsidR="00DF5AA3" w:rsidRPr="007444D4" w:rsidRDefault="00DF5AA3" w:rsidP="00436E70">
            <w:pPr>
              <w:jc w:val="center"/>
              <w:rPr>
                <w:b/>
                <w:color w:val="000000" w:themeColor="text1"/>
                <w:szCs w:val="20"/>
                <w:lang w:eastAsia="pl-PL"/>
              </w:rPr>
            </w:pPr>
            <w:r w:rsidRPr="007444D4">
              <w:rPr>
                <w:b/>
                <w:color w:val="000000" w:themeColor="text1"/>
                <w:sz w:val="22"/>
                <w:szCs w:val="20"/>
                <w:lang w:eastAsia="pl-PL"/>
              </w:rPr>
              <w:t>Liczba sztuk</w:t>
            </w:r>
          </w:p>
        </w:tc>
        <w:tc>
          <w:tcPr>
            <w:tcW w:w="8080" w:type="dxa"/>
            <w:shd w:val="clear" w:color="auto" w:fill="F2F2F2"/>
            <w:vAlign w:val="center"/>
          </w:tcPr>
          <w:p w:rsidR="00DF5AA3" w:rsidRPr="007444D4" w:rsidRDefault="00DF5AA3" w:rsidP="00436E70">
            <w:pPr>
              <w:jc w:val="center"/>
              <w:rPr>
                <w:b/>
                <w:color w:val="000000" w:themeColor="text1"/>
                <w:szCs w:val="20"/>
                <w:lang w:eastAsia="pl-PL"/>
              </w:rPr>
            </w:pPr>
            <w:r w:rsidRPr="007444D4">
              <w:rPr>
                <w:b/>
                <w:color w:val="000000" w:themeColor="text1"/>
                <w:sz w:val="22"/>
                <w:szCs w:val="20"/>
                <w:lang w:eastAsia="pl-PL"/>
              </w:rPr>
              <w:t>A: Cena brutto</w:t>
            </w:r>
            <w:r w:rsidR="00117CFE" w:rsidRPr="007444D4">
              <w:rPr>
                <w:b/>
                <w:color w:val="000000" w:themeColor="text1"/>
                <w:sz w:val="22"/>
                <w:szCs w:val="20"/>
                <w:lang w:eastAsia="pl-PL"/>
              </w:rPr>
              <w:t>*</w:t>
            </w:r>
            <w:r w:rsidRPr="007444D4">
              <w:rPr>
                <w:b/>
                <w:color w:val="000000" w:themeColor="text1"/>
                <w:sz w:val="22"/>
                <w:szCs w:val="20"/>
                <w:lang w:eastAsia="pl-PL"/>
              </w:rPr>
              <w:t xml:space="preserve"> sprzętu (w zł)</w:t>
            </w:r>
          </w:p>
        </w:tc>
      </w:tr>
      <w:tr w:rsidR="007444D4" w:rsidRPr="007444D4" w:rsidTr="00D16483">
        <w:trPr>
          <w:trHeight w:val="647"/>
        </w:trPr>
        <w:tc>
          <w:tcPr>
            <w:tcW w:w="972" w:type="dxa"/>
            <w:shd w:val="clear" w:color="auto" w:fill="F2F2F2"/>
            <w:vAlign w:val="center"/>
          </w:tcPr>
          <w:p w:rsidR="00DF5AA3" w:rsidRPr="007444D4" w:rsidRDefault="00DF5AA3" w:rsidP="00436E70">
            <w:pPr>
              <w:rPr>
                <w:color w:val="000000" w:themeColor="text1"/>
                <w:szCs w:val="20"/>
                <w:lang w:eastAsia="pl-PL"/>
              </w:rPr>
            </w:pPr>
            <w:r w:rsidRPr="007444D4">
              <w:rPr>
                <w:color w:val="000000" w:themeColor="text1"/>
                <w:sz w:val="22"/>
                <w:szCs w:val="20"/>
                <w:lang w:eastAsia="pl-PL"/>
              </w:rPr>
              <w:t>1.</w:t>
            </w:r>
          </w:p>
        </w:tc>
        <w:tc>
          <w:tcPr>
            <w:tcW w:w="3281" w:type="dxa"/>
            <w:shd w:val="clear" w:color="auto" w:fill="F2F2F2"/>
            <w:vAlign w:val="center"/>
          </w:tcPr>
          <w:p w:rsidR="00DF5AA3" w:rsidRPr="007444D4" w:rsidRDefault="00117CFE" w:rsidP="00436E70">
            <w:pPr>
              <w:rPr>
                <w:b/>
                <w:bCs/>
                <w:color w:val="000000" w:themeColor="text1"/>
                <w:szCs w:val="20"/>
                <w:lang w:eastAsia="pl-PL"/>
              </w:rPr>
            </w:pPr>
            <w:r w:rsidRPr="007444D4">
              <w:rPr>
                <w:b/>
                <w:bCs/>
                <w:color w:val="000000" w:themeColor="text1"/>
                <w:sz w:val="22"/>
                <w:szCs w:val="20"/>
                <w:lang w:eastAsia="pl-PL"/>
              </w:rPr>
              <w:t>Tomograf Komputerowy</w:t>
            </w:r>
          </w:p>
        </w:tc>
        <w:tc>
          <w:tcPr>
            <w:tcW w:w="1417" w:type="dxa"/>
            <w:shd w:val="clear" w:color="auto" w:fill="F2F2F2"/>
            <w:vAlign w:val="center"/>
          </w:tcPr>
          <w:p w:rsidR="00DF5AA3" w:rsidRPr="007444D4" w:rsidRDefault="00DF5AA3" w:rsidP="00436E70">
            <w:pPr>
              <w:jc w:val="center"/>
              <w:rPr>
                <w:color w:val="000000" w:themeColor="text1"/>
                <w:szCs w:val="20"/>
                <w:lang w:eastAsia="pl-PL"/>
              </w:rPr>
            </w:pPr>
            <w:r w:rsidRPr="007444D4">
              <w:rPr>
                <w:bCs/>
                <w:color w:val="000000" w:themeColor="text1"/>
                <w:sz w:val="22"/>
                <w:szCs w:val="20"/>
                <w:lang w:eastAsia="pl-PL"/>
              </w:rPr>
              <w:t>1</w:t>
            </w:r>
          </w:p>
        </w:tc>
        <w:tc>
          <w:tcPr>
            <w:tcW w:w="8080" w:type="dxa"/>
            <w:shd w:val="clear" w:color="auto" w:fill="auto"/>
            <w:vAlign w:val="center"/>
          </w:tcPr>
          <w:p w:rsidR="00DF5AA3" w:rsidRPr="007444D4" w:rsidRDefault="00DF5AA3" w:rsidP="00436E70">
            <w:pPr>
              <w:jc w:val="center"/>
              <w:rPr>
                <w:color w:val="000000" w:themeColor="text1"/>
                <w:szCs w:val="20"/>
              </w:rPr>
            </w:pPr>
          </w:p>
        </w:tc>
      </w:tr>
      <w:tr w:rsidR="007444D4" w:rsidRPr="007444D4" w:rsidTr="00D16483">
        <w:trPr>
          <w:trHeight w:val="560"/>
        </w:trPr>
        <w:tc>
          <w:tcPr>
            <w:tcW w:w="5670" w:type="dxa"/>
            <w:gridSpan w:val="3"/>
            <w:shd w:val="clear" w:color="auto" w:fill="F2F2F2"/>
            <w:vAlign w:val="center"/>
          </w:tcPr>
          <w:p w:rsidR="00117CFE" w:rsidRPr="007444D4" w:rsidRDefault="00117CFE" w:rsidP="00D16483">
            <w:pPr>
              <w:rPr>
                <w:b/>
                <w:color w:val="000000" w:themeColor="text1"/>
                <w:szCs w:val="20"/>
              </w:rPr>
            </w:pPr>
            <w:r w:rsidRPr="007444D4">
              <w:rPr>
                <w:b/>
                <w:color w:val="000000" w:themeColor="text1"/>
                <w:sz w:val="22"/>
                <w:szCs w:val="20"/>
              </w:rPr>
              <w:t xml:space="preserve">B: </w:t>
            </w:r>
            <w:r w:rsidRPr="007444D4">
              <w:rPr>
                <w:b/>
                <w:bCs/>
                <w:color w:val="000000" w:themeColor="text1"/>
                <w:sz w:val="22"/>
                <w:szCs w:val="20"/>
              </w:rPr>
              <w:t xml:space="preserve">Cena brutto* </w:t>
            </w:r>
            <w:r w:rsidRPr="007444D4">
              <w:rPr>
                <w:b/>
                <w:color w:val="000000" w:themeColor="text1"/>
                <w:sz w:val="22"/>
                <w:szCs w:val="20"/>
              </w:rPr>
              <w:t xml:space="preserve">dostawy i </w:t>
            </w:r>
            <w:r w:rsidRPr="007444D4">
              <w:rPr>
                <w:b/>
                <w:bCs/>
                <w:color w:val="000000" w:themeColor="text1"/>
                <w:sz w:val="22"/>
                <w:szCs w:val="20"/>
              </w:rPr>
              <w:t xml:space="preserve">instalacji sprzętu </w:t>
            </w:r>
            <w:r w:rsidRPr="007444D4">
              <w:rPr>
                <w:b/>
                <w:color w:val="000000" w:themeColor="text1"/>
                <w:sz w:val="22"/>
                <w:szCs w:val="20"/>
              </w:rPr>
              <w:t>(w zł):</w:t>
            </w:r>
          </w:p>
        </w:tc>
        <w:tc>
          <w:tcPr>
            <w:tcW w:w="8080" w:type="dxa"/>
            <w:shd w:val="clear" w:color="auto" w:fill="auto"/>
            <w:vAlign w:val="center"/>
          </w:tcPr>
          <w:p w:rsidR="00117CFE" w:rsidRPr="007444D4" w:rsidRDefault="00117CFE" w:rsidP="00436E70">
            <w:pPr>
              <w:jc w:val="center"/>
              <w:rPr>
                <w:color w:val="000000" w:themeColor="text1"/>
                <w:szCs w:val="20"/>
              </w:rPr>
            </w:pPr>
          </w:p>
        </w:tc>
      </w:tr>
      <w:tr w:rsidR="007444D4" w:rsidRPr="007444D4" w:rsidTr="00D16483">
        <w:trPr>
          <w:trHeight w:val="443"/>
        </w:trPr>
        <w:tc>
          <w:tcPr>
            <w:tcW w:w="5670" w:type="dxa"/>
            <w:gridSpan w:val="3"/>
            <w:shd w:val="clear" w:color="auto" w:fill="F2F2F2"/>
            <w:vAlign w:val="center"/>
          </w:tcPr>
          <w:p w:rsidR="00117CFE" w:rsidRPr="007444D4" w:rsidRDefault="00117CFE" w:rsidP="00D16483">
            <w:pPr>
              <w:rPr>
                <w:b/>
                <w:color w:val="000000" w:themeColor="text1"/>
                <w:szCs w:val="20"/>
              </w:rPr>
            </w:pPr>
            <w:r w:rsidRPr="007444D4">
              <w:rPr>
                <w:b/>
                <w:color w:val="000000" w:themeColor="text1"/>
                <w:sz w:val="22"/>
                <w:szCs w:val="20"/>
              </w:rPr>
              <w:t xml:space="preserve">C: </w:t>
            </w:r>
            <w:r w:rsidRPr="007444D4">
              <w:rPr>
                <w:b/>
                <w:bCs/>
                <w:color w:val="000000" w:themeColor="text1"/>
                <w:sz w:val="22"/>
                <w:szCs w:val="20"/>
              </w:rPr>
              <w:t>Cena brutto* szkoleń</w:t>
            </w:r>
            <w:r w:rsidRPr="007444D4">
              <w:rPr>
                <w:b/>
                <w:color w:val="000000" w:themeColor="text1"/>
                <w:sz w:val="22"/>
                <w:szCs w:val="20"/>
              </w:rPr>
              <w:t xml:space="preserve"> (w zł):</w:t>
            </w:r>
          </w:p>
        </w:tc>
        <w:tc>
          <w:tcPr>
            <w:tcW w:w="8080" w:type="dxa"/>
            <w:shd w:val="clear" w:color="auto" w:fill="auto"/>
            <w:vAlign w:val="center"/>
          </w:tcPr>
          <w:p w:rsidR="00117CFE" w:rsidRPr="007444D4" w:rsidRDefault="00117CFE" w:rsidP="00436E70">
            <w:pPr>
              <w:jc w:val="center"/>
              <w:rPr>
                <w:color w:val="000000" w:themeColor="text1"/>
                <w:szCs w:val="20"/>
              </w:rPr>
            </w:pPr>
          </w:p>
        </w:tc>
      </w:tr>
      <w:tr w:rsidR="007444D4" w:rsidRPr="007444D4" w:rsidTr="00D16483">
        <w:trPr>
          <w:trHeight w:val="443"/>
        </w:trPr>
        <w:tc>
          <w:tcPr>
            <w:tcW w:w="5670" w:type="dxa"/>
            <w:gridSpan w:val="3"/>
            <w:shd w:val="clear" w:color="auto" w:fill="F2F2F2"/>
            <w:vAlign w:val="center"/>
          </w:tcPr>
          <w:p w:rsidR="00117CFE" w:rsidRPr="007444D4" w:rsidRDefault="00EE42E0" w:rsidP="00D16483">
            <w:pPr>
              <w:rPr>
                <w:b/>
                <w:color w:val="000000" w:themeColor="text1"/>
                <w:szCs w:val="20"/>
              </w:rPr>
            </w:pPr>
            <w:r w:rsidRPr="007444D4">
              <w:rPr>
                <w:b/>
                <w:color w:val="000000" w:themeColor="text1"/>
                <w:sz w:val="22"/>
                <w:szCs w:val="20"/>
              </w:rPr>
              <w:t>D</w:t>
            </w:r>
            <w:r w:rsidR="00117CFE" w:rsidRPr="007444D4">
              <w:rPr>
                <w:b/>
                <w:color w:val="000000" w:themeColor="text1"/>
                <w:sz w:val="22"/>
                <w:szCs w:val="20"/>
              </w:rPr>
              <w:t>: Cena brutto* niezbędnych prac adaptacyjnych (w zł):</w:t>
            </w:r>
          </w:p>
        </w:tc>
        <w:tc>
          <w:tcPr>
            <w:tcW w:w="8080" w:type="dxa"/>
            <w:shd w:val="clear" w:color="auto" w:fill="auto"/>
            <w:vAlign w:val="center"/>
          </w:tcPr>
          <w:p w:rsidR="00117CFE" w:rsidRPr="007444D4" w:rsidRDefault="00117CFE" w:rsidP="00436E70">
            <w:pPr>
              <w:jc w:val="center"/>
              <w:rPr>
                <w:color w:val="000000" w:themeColor="text1"/>
                <w:szCs w:val="20"/>
              </w:rPr>
            </w:pPr>
          </w:p>
        </w:tc>
      </w:tr>
      <w:tr w:rsidR="007444D4" w:rsidRPr="007444D4" w:rsidTr="00D16483">
        <w:trPr>
          <w:trHeight w:val="443"/>
        </w:trPr>
        <w:tc>
          <w:tcPr>
            <w:tcW w:w="5670" w:type="dxa"/>
            <w:gridSpan w:val="3"/>
            <w:shd w:val="clear" w:color="auto" w:fill="F2F2F2"/>
            <w:vAlign w:val="center"/>
          </w:tcPr>
          <w:p w:rsidR="00EE42E0" w:rsidRPr="007444D4" w:rsidRDefault="00EE42E0" w:rsidP="00EE42E0">
            <w:pPr>
              <w:jc w:val="right"/>
              <w:rPr>
                <w:b/>
                <w:color w:val="000000" w:themeColor="text1"/>
                <w:szCs w:val="20"/>
              </w:rPr>
            </w:pPr>
            <w:r w:rsidRPr="007444D4">
              <w:rPr>
                <w:b/>
                <w:color w:val="000000" w:themeColor="text1"/>
                <w:sz w:val="22"/>
                <w:szCs w:val="20"/>
              </w:rPr>
              <w:t>A+B+C+D: Cena brutto* oferty (w zł)</w:t>
            </w:r>
          </w:p>
        </w:tc>
        <w:tc>
          <w:tcPr>
            <w:tcW w:w="8080" w:type="dxa"/>
            <w:shd w:val="clear" w:color="auto" w:fill="auto"/>
            <w:vAlign w:val="center"/>
          </w:tcPr>
          <w:p w:rsidR="00EE42E0" w:rsidRPr="007444D4" w:rsidRDefault="00EE42E0" w:rsidP="00436E70">
            <w:pPr>
              <w:jc w:val="center"/>
              <w:rPr>
                <w:color w:val="000000" w:themeColor="text1"/>
                <w:szCs w:val="20"/>
              </w:rPr>
            </w:pPr>
          </w:p>
        </w:tc>
      </w:tr>
      <w:tr w:rsidR="007444D4" w:rsidRPr="007444D4" w:rsidTr="00D16483">
        <w:trPr>
          <w:trHeight w:val="340"/>
        </w:trPr>
        <w:tc>
          <w:tcPr>
            <w:tcW w:w="13750" w:type="dxa"/>
            <w:gridSpan w:val="4"/>
            <w:shd w:val="clear" w:color="auto" w:fill="F2F2F2" w:themeFill="background1" w:themeFillShade="F2"/>
            <w:vAlign w:val="center"/>
          </w:tcPr>
          <w:p w:rsidR="00117CFE" w:rsidRPr="007444D4" w:rsidRDefault="00117CFE" w:rsidP="007444D4">
            <w:pPr>
              <w:rPr>
                <w:i/>
                <w:color w:val="000000" w:themeColor="text1"/>
                <w:sz w:val="20"/>
                <w:szCs w:val="20"/>
              </w:rPr>
            </w:pPr>
            <w:r w:rsidRPr="007444D4">
              <w:rPr>
                <w:i/>
                <w:color w:val="000000" w:themeColor="text1"/>
                <w:sz w:val="18"/>
                <w:szCs w:val="20"/>
              </w:rPr>
              <w:t>*jeżeli wybór oferty będzie prowadził do powstania u Zamawiającego obowiązku podatkowego, zgodnie z przepisami o podatku od towarów i usług, należy podać cenę netto.</w:t>
            </w:r>
          </w:p>
        </w:tc>
      </w:tr>
    </w:tbl>
    <w:p w:rsidR="002A4242" w:rsidRPr="00D566FD" w:rsidRDefault="002A4242" w:rsidP="002A4242">
      <w:pPr>
        <w:autoSpaceDN w:val="0"/>
        <w:spacing w:after="120" w:line="276" w:lineRule="auto"/>
        <w:jc w:val="center"/>
        <w:textAlignment w:val="baseline"/>
        <w:rPr>
          <w:rFonts w:eastAsia="Lucida Sans Unicode"/>
          <w:kern w:val="3"/>
          <w:sz w:val="20"/>
          <w:szCs w:val="20"/>
          <w:lang w:eastAsia="zh-CN" w:bidi="hi-IN"/>
        </w:rPr>
      </w:pPr>
    </w:p>
    <w:p w:rsidR="002A4242" w:rsidRPr="00D566FD" w:rsidRDefault="002A4242" w:rsidP="002A4242">
      <w:pPr>
        <w:autoSpaceDN w:val="0"/>
        <w:spacing w:after="120" w:line="276" w:lineRule="auto"/>
        <w:jc w:val="center"/>
        <w:textAlignment w:val="baseline"/>
        <w:rPr>
          <w:rFonts w:eastAsia="Lucida Sans Unicode"/>
          <w:kern w:val="3"/>
          <w:sz w:val="20"/>
          <w:szCs w:val="20"/>
          <w:lang w:eastAsia="zh-CN" w:bidi="hi-IN"/>
        </w:rPr>
      </w:pPr>
    </w:p>
    <w:p w:rsidR="002A4242" w:rsidRPr="00D566FD" w:rsidRDefault="002A4242" w:rsidP="002A4242">
      <w:pPr>
        <w:autoSpaceDN w:val="0"/>
        <w:spacing w:after="120" w:line="276" w:lineRule="auto"/>
        <w:jc w:val="center"/>
        <w:textAlignment w:val="baseline"/>
        <w:rPr>
          <w:rFonts w:eastAsia="Lucida Sans Unicode"/>
          <w:kern w:val="3"/>
          <w:sz w:val="20"/>
          <w:szCs w:val="20"/>
          <w:lang w:eastAsia="zh-CN" w:bidi="hi-IN"/>
        </w:rPr>
      </w:pPr>
    </w:p>
    <w:p w:rsidR="002A4242" w:rsidRPr="00D566FD" w:rsidRDefault="002A4242" w:rsidP="002A4242">
      <w:pPr>
        <w:autoSpaceDN w:val="0"/>
        <w:spacing w:after="120" w:line="276" w:lineRule="auto"/>
        <w:jc w:val="center"/>
        <w:textAlignment w:val="baseline"/>
        <w:rPr>
          <w:rFonts w:eastAsia="Lucida Sans Unicode"/>
          <w:kern w:val="3"/>
          <w:sz w:val="20"/>
          <w:szCs w:val="20"/>
          <w:lang w:eastAsia="zh-CN" w:bidi="hi-IN"/>
        </w:rPr>
      </w:pPr>
    </w:p>
    <w:p w:rsidR="00EF0534" w:rsidRPr="00D566FD" w:rsidRDefault="00EF0534" w:rsidP="002A4242">
      <w:pPr>
        <w:autoSpaceDN w:val="0"/>
        <w:spacing w:after="120" w:line="276" w:lineRule="auto"/>
        <w:jc w:val="center"/>
        <w:textAlignment w:val="baseline"/>
        <w:rPr>
          <w:rFonts w:eastAsia="Lucida Sans Unicode"/>
          <w:kern w:val="3"/>
          <w:sz w:val="20"/>
          <w:szCs w:val="20"/>
          <w:lang w:eastAsia="zh-CN" w:bidi="hi-IN"/>
        </w:rPr>
      </w:pPr>
    </w:p>
    <w:p w:rsidR="002A4242" w:rsidRPr="00D566FD" w:rsidRDefault="002A4242" w:rsidP="002A4242">
      <w:pPr>
        <w:autoSpaceDN w:val="0"/>
        <w:spacing w:after="120" w:line="276" w:lineRule="auto"/>
        <w:jc w:val="center"/>
        <w:textAlignment w:val="baseline"/>
        <w:rPr>
          <w:rFonts w:eastAsia="Lucida Sans Unicode"/>
          <w:kern w:val="3"/>
          <w:sz w:val="20"/>
          <w:szCs w:val="20"/>
          <w:lang w:eastAsia="zh-CN" w:bidi="hi-IN"/>
        </w:rPr>
      </w:pPr>
    </w:p>
    <w:p w:rsidR="002A4242" w:rsidRDefault="002A4242" w:rsidP="002A4242">
      <w:pPr>
        <w:autoSpaceDN w:val="0"/>
        <w:spacing w:after="120" w:line="276" w:lineRule="auto"/>
        <w:jc w:val="center"/>
        <w:textAlignment w:val="baseline"/>
        <w:rPr>
          <w:rFonts w:eastAsia="Lucida Sans Unicode"/>
          <w:kern w:val="3"/>
          <w:sz w:val="20"/>
          <w:szCs w:val="20"/>
          <w:lang w:eastAsia="zh-CN" w:bidi="hi-IN"/>
        </w:rPr>
      </w:pPr>
    </w:p>
    <w:p w:rsidR="007444D4" w:rsidRDefault="007444D4" w:rsidP="002A4242">
      <w:pPr>
        <w:autoSpaceDN w:val="0"/>
        <w:spacing w:after="120" w:line="276" w:lineRule="auto"/>
        <w:jc w:val="center"/>
        <w:textAlignment w:val="baseline"/>
        <w:rPr>
          <w:rFonts w:eastAsia="Lucida Sans Unicode"/>
          <w:kern w:val="3"/>
          <w:sz w:val="20"/>
          <w:szCs w:val="20"/>
          <w:lang w:eastAsia="zh-CN" w:bidi="hi-IN"/>
        </w:rPr>
      </w:pPr>
    </w:p>
    <w:p w:rsidR="007444D4" w:rsidRDefault="007444D4" w:rsidP="002A4242">
      <w:pPr>
        <w:autoSpaceDN w:val="0"/>
        <w:spacing w:after="120" w:line="276" w:lineRule="auto"/>
        <w:jc w:val="center"/>
        <w:textAlignment w:val="baseline"/>
        <w:rPr>
          <w:rFonts w:eastAsia="Lucida Sans Unicode"/>
          <w:kern w:val="3"/>
          <w:sz w:val="20"/>
          <w:szCs w:val="20"/>
          <w:lang w:eastAsia="zh-CN" w:bidi="hi-IN"/>
        </w:rPr>
      </w:pPr>
    </w:p>
    <w:p w:rsidR="007444D4" w:rsidRDefault="007444D4" w:rsidP="002A4242">
      <w:pPr>
        <w:autoSpaceDN w:val="0"/>
        <w:spacing w:after="120" w:line="276" w:lineRule="auto"/>
        <w:jc w:val="center"/>
        <w:textAlignment w:val="baseline"/>
        <w:rPr>
          <w:rFonts w:eastAsia="Lucida Sans Unicode"/>
          <w:kern w:val="3"/>
          <w:sz w:val="20"/>
          <w:szCs w:val="20"/>
          <w:lang w:eastAsia="zh-CN" w:bidi="hi-IN"/>
        </w:rPr>
      </w:pPr>
    </w:p>
    <w:p w:rsidR="007444D4" w:rsidRDefault="007444D4" w:rsidP="002A4242">
      <w:pPr>
        <w:autoSpaceDN w:val="0"/>
        <w:spacing w:after="120" w:line="276" w:lineRule="auto"/>
        <w:jc w:val="center"/>
        <w:textAlignment w:val="baseline"/>
        <w:rPr>
          <w:rFonts w:eastAsia="Lucida Sans Unicode"/>
          <w:kern w:val="3"/>
          <w:sz w:val="20"/>
          <w:szCs w:val="20"/>
          <w:lang w:eastAsia="zh-CN" w:bidi="hi-IN"/>
        </w:rPr>
      </w:pPr>
    </w:p>
    <w:p w:rsidR="007444D4" w:rsidRDefault="007444D4" w:rsidP="002A4242">
      <w:pPr>
        <w:autoSpaceDN w:val="0"/>
        <w:spacing w:after="120" w:line="276" w:lineRule="auto"/>
        <w:jc w:val="center"/>
        <w:textAlignment w:val="baseline"/>
        <w:rPr>
          <w:rFonts w:eastAsia="Lucida Sans Unicode"/>
          <w:kern w:val="3"/>
          <w:sz w:val="20"/>
          <w:szCs w:val="20"/>
          <w:lang w:eastAsia="zh-CN" w:bidi="hi-IN"/>
        </w:rPr>
      </w:pPr>
    </w:p>
    <w:p w:rsidR="007444D4" w:rsidRPr="00D566FD" w:rsidRDefault="007444D4" w:rsidP="002A4242">
      <w:pPr>
        <w:autoSpaceDN w:val="0"/>
        <w:spacing w:after="120" w:line="276" w:lineRule="auto"/>
        <w:jc w:val="center"/>
        <w:textAlignment w:val="baseline"/>
        <w:rPr>
          <w:rFonts w:eastAsia="Lucida Sans Unicode"/>
          <w:kern w:val="3"/>
          <w:sz w:val="20"/>
          <w:szCs w:val="20"/>
          <w:lang w:eastAsia="zh-CN" w:bidi="hi-IN"/>
        </w:rPr>
      </w:pPr>
    </w:p>
    <w:p w:rsidR="002A4242" w:rsidRPr="00DF6259" w:rsidRDefault="00DB4DE1" w:rsidP="00DB4DE1">
      <w:pPr>
        <w:autoSpaceDN w:val="0"/>
        <w:spacing w:line="276" w:lineRule="auto"/>
        <w:jc w:val="center"/>
        <w:textAlignment w:val="baseline"/>
        <w:rPr>
          <w:rFonts w:eastAsia="Lucida Sans Unicode"/>
          <w:b/>
          <w:color w:val="000000" w:themeColor="text1"/>
          <w:kern w:val="3"/>
          <w:sz w:val="20"/>
          <w:szCs w:val="20"/>
          <w:u w:val="single"/>
          <w:lang w:eastAsia="zh-CN" w:bidi="hi-IN"/>
        </w:rPr>
      </w:pPr>
      <w:r w:rsidRPr="00DF6259">
        <w:rPr>
          <w:rFonts w:eastAsia="Lucida Sans Unicode"/>
          <w:b/>
          <w:color w:val="000000" w:themeColor="text1"/>
          <w:kern w:val="3"/>
          <w:sz w:val="20"/>
          <w:szCs w:val="20"/>
          <w:u w:val="single"/>
          <w:lang w:eastAsia="zh-CN" w:bidi="hi-IN"/>
        </w:rPr>
        <w:t>Parametry techniczne i eksploatacyjne</w:t>
      </w:r>
    </w:p>
    <w:tbl>
      <w:tblPr>
        <w:tblW w:w="14503" w:type="dxa"/>
        <w:jc w:val="center"/>
        <w:tblLayout w:type="fixed"/>
        <w:tblCellMar>
          <w:left w:w="70" w:type="dxa"/>
          <w:right w:w="70" w:type="dxa"/>
        </w:tblCellMar>
        <w:tblLook w:val="0000" w:firstRow="0" w:lastRow="0" w:firstColumn="0" w:lastColumn="0" w:noHBand="0" w:noVBand="0"/>
      </w:tblPr>
      <w:tblGrid>
        <w:gridCol w:w="883"/>
        <w:gridCol w:w="7232"/>
        <w:gridCol w:w="1701"/>
        <w:gridCol w:w="1417"/>
        <w:gridCol w:w="1701"/>
        <w:gridCol w:w="8"/>
        <w:gridCol w:w="1553"/>
        <w:gridCol w:w="8"/>
      </w:tblGrid>
      <w:tr w:rsidR="002A4242" w:rsidRPr="00D566FD" w:rsidTr="005A09C3">
        <w:trPr>
          <w:gridAfter w:val="1"/>
          <w:wAfter w:w="8" w:type="dxa"/>
          <w:trHeight w:val="714"/>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b/>
                <w:bCs/>
                <w:sz w:val="20"/>
                <w:szCs w:val="20"/>
              </w:rPr>
            </w:pPr>
            <w:r w:rsidRPr="00D566FD">
              <w:rPr>
                <w:b/>
                <w:bCs/>
                <w:sz w:val="20"/>
                <w:szCs w:val="20"/>
              </w:rPr>
              <w:t>L.p.</w:t>
            </w: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pStyle w:val="Nagwek1"/>
              <w:rPr>
                <w:rFonts w:ascii="Times New Roman" w:hAnsi="Times New Roman" w:cs="Times New Roman"/>
                <w:b/>
                <w:color w:val="auto"/>
                <w:sz w:val="20"/>
                <w:szCs w:val="20"/>
              </w:rPr>
            </w:pPr>
            <w:r w:rsidRPr="00D566FD">
              <w:rPr>
                <w:rFonts w:ascii="Times New Roman" w:hAnsi="Times New Roman" w:cs="Times New Roman"/>
                <w:b/>
                <w:color w:val="auto"/>
                <w:sz w:val="20"/>
                <w:szCs w:val="20"/>
              </w:rPr>
              <w:t>Opis parametru</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b/>
                <w:bCs/>
                <w:sz w:val="20"/>
                <w:szCs w:val="20"/>
              </w:rPr>
            </w:pPr>
            <w:r w:rsidRPr="00D566FD">
              <w:rPr>
                <w:b/>
                <w:bCs/>
                <w:sz w:val="20"/>
                <w:szCs w:val="20"/>
              </w:rPr>
              <w:t>Wartość wymagana/graniczna</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b/>
                <w:bCs/>
                <w:sz w:val="20"/>
                <w:szCs w:val="20"/>
              </w:rPr>
            </w:pPr>
            <w:r w:rsidRPr="00D566FD">
              <w:rPr>
                <w:b/>
                <w:bCs/>
                <w:sz w:val="20"/>
                <w:szCs w:val="20"/>
              </w:rPr>
              <w:t>Wartość oferowana</w:t>
            </w: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b/>
                <w:bCs/>
                <w:sz w:val="20"/>
                <w:szCs w:val="20"/>
              </w:rPr>
            </w:pPr>
            <w:r w:rsidRPr="00D566FD">
              <w:rPr>
                <w:b/>
                <w:bCs/>
                <w:sz w:val="20"/>
                <w:szCs w:val="20"/>
              </w:rPr>
              <w:t>Punktacja</w:t>
            </w:r>
          </w:p>
          <w:p w:rsidR="002A4242" w:rsidRPr="00D566FD" w:rsidRDefault="002A4242" w:rsidP="00436E70">
            <w:pPr>
              <w:ind w:left="3350" w:right="-2590"/>
              <w:jc w:val="center"/>
              <w:rPr>
                <w:b/>
                <w:bCs/>
                <w:sz w:val="20"/>
                <w:szCs w:val="20"/>
              </w:rPr>
            </w:pP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F6259" w:rsidRDefault="00DB4DE1" w:rsidP="00436E70">
            <w:pPr>
              <w:snapToGrid w:val="0"/>
              <w:jc w:val="center"/>
              <w:rPr>
                <w:b/>
                <w:bCs/>
                <w:color w:val="000000" w:themeColor="text1"/>
                <w:sz w:val="20"/>
                <w:szCs w:val="20"/>
              </w:rPr>
            </w:pPr>
            <w:r w:rsidRPr="00DF6259">
              <w:rPr>
                <w:b/>
                <w:bCs/>
                <w:color w:val="000000" w:themeColor="text1"/>
                <w:sz w:val="20"/>
                <w:szCs w:val="20"/>
              </w:rPr>
              <w:t>Lokalizacja w materiałach firmowych potwierdzenia parametru</w:t>
            </w:r>
          </w:p>
        </w:tc>
      </w:tr>
      <w:tr w:rsidR="002A4242" w:rsidRPr="00D566FD" w:rsidTr="005A09C3">
        <w:trPr>
          <w:trHeight w:val="454"/>
          <w:jc w:val="center"/>
        </w:trPr>
        <w:tc>
          <w:tcPr>
            <w:tcW w:w="1294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2A4242" w:rsidRPr="00D566FD" w:rsidRDefault="002A4242" w:rsidP="00436E70">
            <w:pPr>
              <w:snapToGrid w:val="0"/>
              <w:ind w:left="-70"/>
              <w:rPr>
                <w:b/>
                <w:bCs/>
                <w:sz w:val="20"/>
                <w:szCs w:val="20"/>
              </w:rPr>
            </w:pPr>
            <w:r w:rsidRPr="00D566FD">
              <w:rPr>
                <w:b/>
                <w:bCs/>
                <w:sz w:val="20"/>
                <w:szCs w:val="20"/>
              </w:rPr>
              <w:t>I. WYMAGANIA OGÓLNE</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ind w:left="-70"/>
              <w:jc w:val="center"/>
              <w:rPr>
                <w:b/>
                <w:bCs/>
                <w:sz w:val="20"/>
                <w:szCs w:val="20"/>
              </w:rPr>
            </w:pPr>
          </w:p>
        </w:tc>
      </w:tr>
      <w:tr w:rsidR="002A4242" w:rsidRPr="00D566FD" w:rsidTr="005A09C3">
        <w:trPr>
          <w:gridAfter w:val="1"/>
          <w:wAfter w:w="8" w:type="dxa"/>
          <w:trHeight w:val="721"/>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5A09C3">
            <w:pPr>
              <w:numPr>
                <w:ilvl w:val="0"/>
                <w:numId w:val="14"/>
              </w:numPr>
              <w:suppressAutoHyphens w:val="0"/>
              <w:snapToGrid w:val="0"/>
              <w:jc w:val="center"/>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ind w:left="-70"/>
              <w:rPr>
                <w:color w:val="000000"/>
                <w:sz w:val="20"/>
                <w:szCs w:val="20"/>
              </w:rPr>
            </w:pPr>
            <w:r w:rsidRPr="00D566FD">
              <w:rPr>
                <w:color w:val="000000"/>
                <w:sz w:val="20"/>
                <w:szCs w:val="20"/>
              </w:rPr>
              <w:t xml:space="preserve">Tomograf nowy </w:t>
            </w:r>
            <w:r w:rsidRPr="00DF6259">
              <w:rPr>
                <w:color w:val="000000" w:themeColor="text1"/>
                <w:sz w:val="20"/>
                <w:szCs w:val="20"/>
              </w:rPr>
              <w:t xml:space="preserve">wyprodukowany </w:t>
            </w:r>
            <w:r w:rsidR="008E1825" w:rsidRPr="00DF6259">
              <w:rPr>
                <w:color w:val="000000" w:themeColor="text1"/>
                <w:sz w:val="20"/>
                <w:szCs w:val="20"/>
              </w:rPr>
              <w:t>nie wcześniej niż</w:t>
            </w:r>
            <w:r w:rsidRPr="00DF6259">
              <w:rPr>
                <w:color w:val="000000" w:themeColor="text1"/>
                <w:sz w:val="20"/>
                <w:szCs w:val="20"/>
              </w:rPr>
              <w:t xml:space="preserve"> </w:t>
            </w:r>
            <w:r w:rsidR="006C2E5F" w:rsidRPr="00DF6259">
              <w:rPr>
                <w:color w:val="000000" w:themeColor="text1"/>
                <w:sz w:val="20"/>
                <w:szCs w:val="20"/>
              </w:rPr>
              <w:t xml:space="preserve"> </w:t>
            </w:r>
            <w:r w:rsidRPr="00DF6259">
              <w:rPr>
                <w:color w:val="000000" w:themeColor="text1"/>
                <w:sz w:val="20"/>
                <w:szCs w:val="20"/>
              </w:rPr>
              <w:t>2022</w:t>
            </w:r>
            <w:r w:rsidRPr="00D566FD">
              <w:rPr>
                <w:color w:val="000000"/>
                <w:sz w:val="20"/>
                <w:szCs w:val="20"/>
              </w:rPr>
              <w:t xml:space="preserve"> roku, nieużywany, nie rekondycjonowany, w najnowszej wersji sprzętowej  i  oprogramowania na dzień składania oferty</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Nie dotyczy</w:t>
            </w:r>
          </w:p>
        </w:tc>
      </w:tr>
      <w:tr w:rsidR="002A4242" w:rsidRPr="00D566FD" w:rsidTr="005A09C3">
        <w:trPr>
          <w:gridAfter w:val="1"/>
          <w:wAfter w:w="8" w:type="dxa"/>
          <w:trHeight w:val="536"/>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jc w:val="center"/>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ind w:left="-70"/>
              <w:rPr>
                <w:sz w:val="20"/>
                <w:szCs w:val="20"/>
              </w:rPr>
            </w:pPr>
            <w:r w:rsidRPr="00D566FD">
              <w:rPr>
                <w:sz w:val="20"/>
                <w:szCs w:val="20"/>
              </w:rPr>
              <w:t>Tomograf komputerowy całego ciała, umożliwiający uzyskanie min. 128 submilimetrowych warstw badanego obszaru w czasie jednego pełnego obrotu układu lampa-detektor</w:t>
            </w:r>
            <w:r w:rsidRPr="00D566FD">
              <w:rPr>
                <w:color w:val="000000"/>
                <w:sz w:val="20"/>
                <w:szCs w:val="20"/>
              </w:rPr>
              <w:t>.</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w:t>
            </w:r>
          </w:p>
          <w:p w:rsidR="002A4242" w:rsidRPr="00D566FD" w:rsidRDefault="002A4242" w:rsidP="00436E70">
            <w:pPr>
              <w:snapToGrid w:val="0"/>
              <w:jc w:val="center"/>
              <w:rPr>
                <w:sz w:val="20"/>
                <w:szCs w:val="20"/>
              </w:rPr>
            </w:pP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160"/>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jc w:val="center"/>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Tomograf umożliwiający:</w:t>
            </w:r>
          </w:p>
          <w:p w:rsidR="002A4242" w:rsidRPr="00D566FD" w:rsidRDefault="002A4242" w:rsidP="00436E70">
            <w:pPr>
              <w:snapToGrid w:val="0"/>
              <w:rPr>
                <w:sz w:val="20"/>
                <w:szCs w:val="20"/>
              </w:rPr>
            </w:pPr>
            <w:r w:rsidRPr="00D566FD">
              <w:rPr>
                <w:sz w:val="20"/>
                <w:szCs w:val="20"/>
              </w:rPr>
              <w:t>- badania onkologiczne wielonarządowe</w:t>
            </w:r>
          </w:p>
          <w:p w:rsidR="002A4242" w:rsidRPr="00D566FD" w:rsidRDefault="002A4242" w:rsidP="00436E70">
            <w:pPr>
              <w:snapToGrid w:val="0"/>
              <w:rPr>
                <w:sz w:val="20"/>
                <w:szCs w:val="20"/>
              </w:rPr>
            </w:pPr>
            <w:r w:rsidRPr="00D566FD">
              <w:rPr>
                <w:sz w:val="20"/>
                <w:szCs w:val="20"/>
              </w:rPr>
              <w:t>- badania pacjentów otyłych</w:t>
            </w:r>
          </w:p>
          <w:p w:rsidR="002A4242" w:rsidRPr="00D566FD" w:rsidRDefault="002A4242" w:rsidP="00436E70">
            <w:pPr>
              <w:rPr>
                <w:sz w:val="20"/>
                <w:szCs w:val="20"/>
              </w:rPr>
            </w:pPr>
            <w:r w:rsidRPr="00D566FD">
              <w:rPr>
                <w:sz w:val="20"/>
                <w:szCs w:val="20"/>
              </w:rPr>
              <w:t>- badania klatki piersiowej, kręgosłupa, jamy brzusznej i miednicy wraz z badaniami wielofazowymi</w:t>
            </w:r>
          </w:p>
          <w:p w:rsidR="002A4242" w:rsidRPr="00D566FD" w:rsidRDefault="002A4242" w:rsidP="00436E70">
            <w:pPr>
              <w:rPr>
                <w:sz w:val="20"/>
                <w:szCs w:val="20"/>
              </w:rPr>
            </w:pPr>
            <w:r w:rsidRPr="00D566FD">
              <w:rPr>
                <w:sz w:val="20"/>
                <w:szCs w:val="20"/>
              </w:rPr>
              <w:t>- badania naczyń domózgowych, wewnątrzczaszkowych, naczyń obwodowych</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trHeight w:val="454"/>
          <w:jc w:val="center"/>
        </w:trPr>
        <w:tc>
          <w:tcPr>
            <w:tcW w:w="1294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2A4242" w:rsidRPr="00D566FD" w:rsidRDefault="002A4242" w:rsidP="00436E70">
            <w:pPr>
              <w:snapToGrid w:val="0"/>
              <w:ind w:left="-70"/>
              <w:rPr>
                <w:b/>
                <w:bCs/>
                <w:sz w:val="20"/>
                <w:szCs w:val="20"/>
              </w:rPr>
            </w:pPr>
            <w:r w:rsidRPr="00D566FD">
              <w:rPr>
                <w:b/>
                <w:bCs/>
                <w:sz w:val="20"/>
                <w:szCs w:val="20"/>
              </w:rPr>
              <w:t>II. GANTRY i STÓŁ</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ind w:left="-70"/>
              <w:jc w:val="center"/>
              <w:rPr>
                <w:b/>
                <w:bCs/>
                <w:sz w:val="20"/>
                <w:szCs w:val="20"/>
              </w:rPr>
            </w:pPr>
          </w:p>
        </w:tc>
      </w:tr>
      <w:tr w:rsidR="002A4242" w:rsidRPr="00D566FD" w:rsidTr="005A09C3">
        <w:trPr>
          <w:gridAfter w:val="1"/>
          <w:wAfter w:w="8" w:type="dxa"/>
          <w:trHeight w:val="325"/>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Średnica otworu gantry ≥ 80 cm</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r w:rsidRPr="00D566FD">
              <w:rPr>
                <w:sz w:val="20"/>
                <w:szCs w:val="20"/>
              </w:rPr>
              <w:t>≥ 82 – 10 pkt</w:t>
            </w:r>
          </w:p>
          <w:p w:rsidR="002A4242" w:rsidRPr="00D566FD" w:rsidRDefault="002A4242" w:rsidP="00436E70">
            <w:pPr>
              <w:snapToGrid w:val="0"/>
              <w:jc w:val="center"/>
              <w:rPr>
                <w:sz w:val="20"/>
                <w:szCs w:val="20"/>
              </w:rPr>
            </w:pPr>
            <w:r w:rsidRPr="00D566FD">
              <w:rPr>
                <w:sz w:val="20"/>
                <w:szCs w:val="20"/>
              </w:rPr>
              <w:t>&lt; 82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325"/>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Maksymalne obciążenie stołu pacjenta</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color w:val="000000"/>
                <w:sz w:val="20"/>
                <w:szCs w:val="20"/>
              </w:rPr>
              <w:t>≥</w:t>
            </w:r>
            <w:r w:rsidRPr="00D566FD">
              <w:rPr>
                <w:b/>
                <w:bCs/>
                <w:color w:val="000000"/>
                <w:sz w:val="20"/>
                <w:szCs w:val="20"/>
              </w:rPr>
              <w:t xml:space="preserve"> </w:t>
            </w:r>
            <w:r w:rsidRPr="00D566FD">
              <w:rPr>
                <w:color w:val="000000"/>
                <w:sz w:val="20"/>
                <w:szCs w:val="20"/>
              </w:rPr>
              <w:t xml:space="preserve"> 300 kg</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325"/>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Możliwość pochylania gantry w zakresie min ± 20⁰</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color w:val="000000"/>
                <w:sz w:val="20"/>
                <w:szCs w:val="20"/>
              </w:rPr>
            </w:pPr>
            <w:r w:rsidRPr="00D566FD">
              <w:rPr>
                <w:color w:val="000000"/>
                <w:sz w:val="20"/>
                <w:szCs w:val="20"/>
              </w:rPr>
              <w:t>TAK/NIE</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color w:val="000000"/>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- 10 pkt</w:t>
            </w:r>
          </w:p>
          <w:p w:rsidR="002A4242" w:rsidRPr="00D566FD" w:rsidRDefault="002A4242" w:rsidP="00436E70">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325"/>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Kamera zintegrowana z gantry do obserwacji zachowań pacjenta, z funkcją zbliżenia widoku.</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color w:val="000000"/>
                <w:sz w:val="20"/>
                <w:szCs w:val="20"/>
              </w:rPr>
            </w:pPr>
            <w:r w:rsidRPr="00D566FD">
              <w:rPr>
                <w:color w:val="000000"/>
                <w:sz w:val="20"/>
                <w:szCs w:val="20"/>
              </w:rPr>
              <w:t>TAK/NIE</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color w:val="000000"/>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- 10 pkt</w:t>
            </w:r>
          </w:p>
          <w:p w:rsidR="002A4242" w:rsidRPr="00D566FD" w:rsidRDefault="002A4242" w:rsidP="00436E70">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325"/>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Kamera 3D zintegrowana z mechanizmem układania pacjenta podczas badań rejestrująca kształt i ułożenie oraz wysokość pacjenta dzięki pomiarom w podczerwieni</w:t>
            </w:r>
          </w:p>
          <w:p w:rsidR="002A4242" w:rsidRPr="00D566FD" w:rsidRDefault="002A4242" w:rsidP="00436E70">
            <w:pPr>
              <w:snapToGrid w:val="0"/>
              <w:rPr>
                <w:sz w:val="20"/>
                <w:szCs w:val="20"/>
              </w:rPr>
            </w:pPr>
            <w:r w:rsidRPr="00D566FD">
              <w:rPr>
                <w:sz w:val="20"/>
                <w:szCs w:val="20"/>
              </w:rPr>
              <w:t xml:space="preserve">rozpoznająca kształt ciała i sposób ułożenia pacjenta do badania (np. „głową lub nogami do przodu”). </w:t>
            </w:r>
          </w:p>
          <w:p w:rsidR="002A4242" w:rsidRPr="00D566FD" w:rsidRDefault="002A4242" w:rsidP="00436E70">
            <w:pPr>
              <w:snapToGrid w:val="0"/>
              <w:rPr>
                <w:sz w:val="20"/>
                <w:szCs w:val="20"/>
              </w:rPr>
            </w:pPr>
            <w:r w:rsidRPr="00D566FD">
              <w:rPr>
                <w:sz w:val="20"/>
                <w:szCs w:val="20"/>
              </w:rPr>
              <w:t xml:space="preserve">Technologia zintegrowana z systemem kamery 3D wspomagająca skanowanie poprawnego obszaru ciała w topogramie bez odcięć - poprzez dopasowanie do </w:t>
            </w:r>
            <w:r w:rsidRPr="00D566FD">
              <w:rPr>
                <w:sz w:val="20"/>
                <w:szCs w:val="20"/>
              </w:rPr>
              <w:lastRenderedPageBreak/>
              <w:t>protokołu automatycznie zidentyfikowanego położenia anatomicznego.</w:t>
            </w:r>
          </w:p>
          <w:p w:rsidR="002A4242" w:rsidRPr="00D566FD" w:rsidRDefault="002A4242" w:rsidP="00436E70">
            <w:pPr>
              <w:snapToGrid w:val="0"/>
              <w:rPr>
                <w:sz w:val="20"/>
                <w:szCs w:val="20"/>
              </w:rPr>
            </w:pPr>
          </w:p>
          <w:p w:rsidR="002A4242" w:rsidRPr="00D566FD" w:rsidRDefault="002A4242" w:rsidP="00436E70">
            <w:pPr>
              <w:snapToGrid w:val="0"/>
              <w:rPr>
                <w:sz w:val="20"/>
                <w:szCs w:val="20"/>
              </w:rPr>
            </w:pPr>
            <w:r w:rsidRPr="00D566FD">
              <w:rPr>
                <w:sz w:val="20"/>
                <w:szCs w:val="20"/>
              </w:rPr>
              <w:t>Integracja ww. kamery 3D z oprogramowaniem tomografu umożliwiająca pozycjonowanie Pacjenta w izocentrum przy pomocy jednego kliknięcia, zapewniając min. właściwą modulację dawki.</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color w:val="000000"/>
                <w:sz w:val="20"/>
                <w:szCs w:val="20"/>
              </w:rPr>
            </w:pPr>
            <w:r w:rsidRPr="00D566FD">
              <w:rPr>
                <w:color w:val="000000"/>
                <w:sz w:val="20"/>
                <w:szCs w:val="20"/>
              </w:rPr>
              <w:lastRenderedPageBreak/>
              <w:t>TAK/NIE</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color w:val="000000"/>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 xml:space="preserve">TAK - </w:t>
            </w:r>
            <w:r w:rsidR="00F03CD8">
              <w:rPr>
                <w:sz w:val="20"/>
                <w:szCs w:val="20"/>
              </w:rPr>
              <w:t>3</w:t>
            </w:r>
            <w:r w:rsidRPr="00D566FD">
              <w:rPr>
                <w:sz w:val="20"/>
                <w:szCs w:val="20"/>
              </w:rPr>
              <w:t>0 pkt</w:t>
            </w:r>
          </w:p>
          <w:p w:rsidR="002A4242" w:rsidRPr="00D566FD" w:rsidRDefault="002A4242" w:rsidP="00436E70">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325"/>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2A4242" w:rsidRPr="00D566FD" w:rsidRDefault="002A4242" w:rsidP="00436E70">
            <w:pPr>
              <w:snapToGrid w:val="0"/>
              <w:rPr>
                <w:sz w:val="20"/>
                <w:szCs w:val="20"/>
              </w:rPr>
            </w:pPr>
            <w:r w:rsidRPr="00D566FD">
              <w:rPr>
                <w:sz w:val="20"/>
                <w:szCs w:val="20"/>
              </w:rPr>
              <w:t>Wyposażenie stołu:</w:t>
            </w:r>
          </w:p>
          <w:p w:rsidR="002A4242" w:rsidRPr="00D566FD" w:rsidRDefault="002A4242" w:rsidP="00436E70">
            <w:pPr>
              <w:pStyle w:val="Akapitzlist"/>
              <w:numPr>
                <w:ilvl w:val="0"/>
                <w:numId w:val="30"/>
              </w:numPr>
              <w:suppressAutoHyphens w:val="0"/>
              <w:snapToGrid w:val="0"/>
              <w:ind w:left="165" w:hanging="141"/>
              <w:contextualSpacing w:val="0"/>
              <w:rPr>
                <w:sz w:val="20"/>
                <w:szCs w:val="20"/>
                <w:lang w:eastAsia="pl-PL"/>
              </w:rPr>
            </w:pPr>
            <w:r w:rsidRPr="00D566FD">
              <w:rPr>
                <w:sz w:val="20"/>
                <w:szCs w:val="20"/>
                <w:lang w:eastAsia="pl-PL"/>
              </w:rPr>
              <w:t>materac</w:t>
            </w:r>
          </w:p>
          <w:p w:rsidR="002A4242" w:rsidRPr="00D566FD" w:rsidRDefault="002A4242" w:rsidP="00436E70">
            <w:pPr>
              <w:pStyle w:val="Akapitzlist"/>
              <w:numPr>
                <w:ilvl w:val="0"/>
                <w:numId w:val="30"/>
              </w:numPr>
              <w:suppressAutoHyphens w:val="0"/>
              <w:snapToGrid w:val="0"/>
              <w:ind w:left="165" w:hanging="141"/>
              <w:contextualSpacing w:val="0"/>
              <w:rPr>
                <w:sz w:val="20"/>
                <w:szCs w:val="20"/>
                <w:lang w:eastAsia="pl-PL"/>
              </w:rPr>
            </w:pPr>
            <w:r w:rsidRPr="00D566FD">
              <w:rPr>
                <w:sz w:val="20"/>
                <w:szCs w:val="20"/>
                <w:lang w:eastAsia="pl-PL"/>
              </w:rPr>
              <w:t>osłona chroniąca stół przed zalaniem płynami</w:t>
            </w:r>
          </w:p>
          <w:p w:rsidR="002A4242" w:rsidRPr="00D566FD" w:rsidRDefault="002A4242" w:rsidP="00436E70">
            <w:pPr>
              <w:pStyle w:val="Akapitzlist"/>
              <w:numPr>
                <w:ilvl w:val="0"/>
                <w:numId w:val="30"/>
              </w:numPr>
              <w:suppressAutoHyphens w:val="0"/>
              <w:snapToGrid w:val="0"/>
              <w:ind w:left="165" w:hanging="141"/>
              <w:contextualSpacing w:val="0"/>
              <w:rPr>
                <w:sz w:val="20"/>
                <w:szCs w:val="20"/>
                <w:lang w:eastAsia="pl-PL"/>
              </w:rPr>
            </w:pPr>
            <w:r w:rsidRPr="00D566FD">
              <w:rPr>
                <w:sz w:val="20"/>
                <w:szCs w:val="20"/>
                <w:lang w:eastAsia="pl-PL"/>
              </w:rPr>
              <w:t xml:space="preserve">podgłówki do badania głowy </w:t>
            </w:r>
          </w:p>
          <w:p w:rsidR="002A4242" w:rsidRPr="00D566FD" w:rsidRDefault="002A4242" w:rsidP="00436E70">
            <w:pPr>
              <w:pStyle w:val="Akapitzlist"/>
              <w:numPr>
                <w:ilvl w:val="0"/>
                <w:numId w:val="30"/>
              </w:numPr>
              <w:suppressAutoHyphens w:val="0"/>
              <w:snapToGrid w:val="0"/>
              <w:ind w:left="165" w:hanging="141"/>
              <w:contextualSpacing w:val="0"/>
              <w:rPr>
                <w:sz w:val="20"/>
                <w:szCs w:val="20"/>
                <w:lang w:eastAsia="pl-PL"/>
              </w:rPr>
            </w:pPr>
            <w:r w:rsidRPr="00D566FD">
              <w:rPr>
                <w:sz w:val="20"/>
                <w:szCs w:val="20"/>
                <w:lang w:eastAsia="pl-PL"/>
              </w:rPr>
              <w:t>pasy stabilizujące</w:t>
            </w:r>
          </w:p>
          <w:p w:rsidR="002A4242" w:rsidRPr="00D566FD" w:rsidRDefault="002A4242" w:rsidP="00436E70">
            <w:pPr>
              <w:pStyle w:val="Akapitzlist"/>
              <w:numPr>
                <w:ilvl w:val="0"/>
                <w:numId w:val="30"/>
              </w:numPr>
              <w:suppressAutoHyphens w:val="0"/>
              <w:snapToGrid w:val="0"/>
              <w:ind w:left="165" w:hanging="141"/>
              <w:contextualSpacing w:val="0"/>
              <w:rPr>
                <w:sz w:val="20"/>
                <w:szCs w:val="20"/>
                <w:lang w:eastAsia="pl-PL"/>
              </w:rPr>
            </w:pPr>
            <w:r w:rsidRPr="00D566FD">
              <w:rPr>
                <w:sz w:val="20"/>
                <w:szCs w:val="20"/>
                <w:lang w:eastAsia="pl-PL"/>
              </w:rPr>
              <w:t>uchwyt na rolkę na jednorazowe prześcieradło</w:t>
            </w:r>
          </w:p>
          <w:p w:rsidR="002A4242" w:rsidRPr="00D566FD" w:rsidRDefault="002A4242" w:rsidP="00436E70">
            <w:pPr>
              <w:pStyle w:val="Akapitzlist"/>
              <w:numPr>
                <w:ilvl w:val="0"/>
                <w:numId w:val="30"/>
              </w:numPr>
              <w:suppressAutoHyphens w:val="0"/>
              <w:snapToGrid w:val="0"/>
              <w:ind w:left="165" w:hanging="141"/>
              <w:contextualSpacing w:val="0"/>
              <w:rPr>
                <w:sz w:val="20"/>
                <w:szCs w:val="20"/>
              </w:rPr>
            </w:pPr>
            <w:r w:rsidRPr="00D566FD">
              <w:rPr>
                <w:sz w:val="20"/>
                <w:szCs w:val="20"/>
                <w:lang w:eastAsia="pl-PL"/>
              </w:rPr>
              <w:t>uchwyt na kroplówkę</w:t>
            </w:r>
          </w:p>
          <w:p w:rsidR="002A4242" w:rsidRPr="00D566FD" w:rsidRDefault="002A4242" w:rsidP="00436E70">
            <w:pPr>
              <w:pStyle w:val="Akapitzlist"/>
              <w:numPr>
                <w:ilvl w:val="0"/>
                <w:numId w:val="30"/>
              </w:numPr>
              <w:suppressAutoHyphens w:val="0"/>
              <w:snapToGrid w:val="0"/>
              <w:ind w:left="165" w:hanging="141"/>
              <w:contextualSpacing w:val="0"/>
              <w:rPr>
                <w:sz w:val="20"/>
                <w:szCs w:val="20"/>
              </w:rPr>
            </w:pPr>
            <w:r w:rsidRPr="00D566FD">
              <w:rPr>
                <w:sz w:val="20"/>
                <w:szCs w:val="20"/>
              </w:rPr>
              <w:t>szyny boczne stołu</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trHeight w:val="454"/>
          <w:jc w:val="center"/>
        </w:trPr>
        <w:tc>
          <w:tcPr>
            <w:tcW w:w="1294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2A4242" w:rsidRPr="00D566FD" w:rsidRDefault="002A4242" w:rsidP="00436E70">
            <w:pPr>
              <w:snapToGrid w:val="0"/>
              <w:rPr>
                <w:b/>
                <w:bCs/>
                <w:sz w:val="20"/>
                <w:szCs w:val="20"/>
                <w:lang w:val="sv-SE"/>
              </w:rPr>
            </w:pPr>
            <w:r w:rsidRPr="00D566FD">
              <w:rPr>
                <w:b/>
                <w:bCs/>
                <w:sz w:val="20"/>
                <w:szCs w:val="20"/>
                <w:lang w:val="sv-SE"/>
              </w:rPr>
              <w:t>III. GENERATOR I LAMPA RTG</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b/>
                <w:bCs/>
                <w:sz w:val="20"/>
                <w:szCs w:val="20"/>
                <w:lang w:val="sv-SE"/>
              </w:rPr>
            </w:pPr>
          </w:p>
        </w:tc>
      </w:tr>
      <w:tr w:rsidR="002A4242" w:rsidRPr="00D566FD" w:rsidTr="005A09C3">
        <w:trPr>
          <w:gridAfter w:val="1"/>
          <w:wAfter w:w="8" w:type="dxa"/>
          <w:trHeight w:val="474"/>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ind w:right="-7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Rzeczywista moc generatora przy skanie jednoenergetycznym, rozumiany jako iloczyn prądu i napięcia w  protokole badań.</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 100 kW</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p>
        </w:tc>
      </w:tr>
      <w:tr w:rsidR="002A4242" w:rsidRPr="00D566FD" w:rsidTr="005A09C3">
        <w:trPr>
          <w:gridAfter w:val="1"/>
          <w:wAfter w:w="8" w:type="dxa"/>
          <w:trHeight w:val="474"/>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ind w:right="-7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Minimalne napięcie anodowe używane w protokołach klinicznych ≤ 70 kV</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p>
        </w:tc>
      </w:tr>
      <w:tr w:rsidR="002A4242" w:rsidRPr="00D566FD" w:rsidTr="005A09C3">
        <w:trPr>
          <w:gridAfter w:val="1"/>
          <w:wAfter w:w="8" w:type="dxa"/>
          <w:trHeight w:val="474"/>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ind w:right="-7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Niskodawkowe protokoły umożliwiające wykonywanie badań przy niskich nastawach napięcia ≤ 70 kV i jednocześnie wysokich prądach ≥ 1000 mA</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p>
        </w:tc>
      </w:tr>
      <w:tr w:rsidR="002A4242" w:rsidRPr="00D566FD" w:rsidTr="005A09C3">
        <w:trPr>
          <w:gridAfter w:val="1"/>
          <w:wAfter w:w="8" w:type="dxa"/>
          <w:trHeight w:val="474"/>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ind w:right="-7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Maksymalne napięcie anodowe używane w protokołach klinicznych ≥ 140 kV</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r w:rsidRPr="00D566FD">
              <w:rPr>
                <w:sz w:val="20"/>
                <w:szCs w:val="20"/>
              </w:rPr>
              <w:t>≥ 150 –  10 pkt</w:t>
            </w:r>
          </w:p>
          <w:p w:rsidR="002A4242" w:rsidRPr="00D566FD" w:rsidRDefault="002A4242" w:rsidP="00436E70">
            <w:pPr>
              <w:snapToGrid w:val="0"/>
              <w:jc w:val="center"/>
              <w:rPr>
                <w:sz w:val="20"/>
                <w:szCs w:val="20"/>
              </w:rPr>
            </w:pPr>
            <w:r w:rsidRPr="00D566FD">
              <w:rPr>
                <w:sz w:val="20"/>
                <w:szCs w:val="20"/>
              </w:rPr>
              <w:t>&lt; 150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p>
        </w:tc>
      </w:tr>
      <w:tr w:rsidR="002A4242" w:rsidRPr="00D566FD" w:rsidTr="005A09C3">
        <w:trPr>
          <w:gridAfter w:val="1"/>
          <w:wAfter w:w="8" w:type="dxa"/>
          <w:trHeight w:val="474"/>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ind w:right="-7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Skok wartości nastaw napięcia anody co 10 kV</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r w:rsidRPr="00D566FD">
              <w:rPr>
                <w:sz w:val="20"/>
                <w:szCs w:val="20"/>
              </w:rPr>
              <w:t>TAK - 10 pkt</w:t>
            </w:r>
          </w:p>
          <w:p w:rsidR="002A4242" w:rsidRPr="00D566FD" w:rsidRDefault="002A4242" w:rsidP="00436E70">
            <w:pPr>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p>
        </w:tc>
      </w:tr>
      <w:tr w:rsidR="002A4242" w:rsidRPr="00D566FD" w:rsidTr="005A09C3">
        <w:trPr>
          <w:gridAfter w:val="1"/>
          <w:wAfter w:w="8" w:type="dxa"/>
          <w:trHeight w:val="474"/>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ind w:right="-7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Maksymalny prąd lampy używany w protokołach klinicznych ≥ 1000 mA</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p>
        </w:tc>
      </w:tr>
      <w:tr w:rsidR="002A4242" w:rsidRPr="00D566FD" w:rsidTr="005A09C3">
        <w:trPr>
          <w:gridAfter w:val="1"/>
          <w:wAfter w:w="8" w:type="dxa"/>
          <w:trHeight w:val="474"/>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ind w:right="-7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Pojemność cieplna anody lampy ≥ 7,0 MHU lub jej ekwiwalent w przypadku technologii chłodzenia innej niż klasyczna jeśli szybkość chłodzenia anody takiej konstrukcji jest większa niż 2500 kHU/min</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r w:rsidRPr="00D566FD">
              <w:rPr>
                <w:sz w:val="20"/>
                <w:szCs w:val="20"/>
              </w:rPr>
              <w:t>≥ 20 – 10 pkt</w:t>
            </w:r>
          </w:p>
          <w:p w:rsidR="002A4242" w:rsidRPr="00D566FD" w:rsidRDefault="002A4242" w:rsidP="00436E70">
            <w:pPr>
              <w:snapToGrid w:val="0"/>
              <w:jc w:val="center"/>
              <w:rPr>
                <w:sz w:val="20"/>
                <w:szCs w:val="20"/>
              </w:rPr>
            </w:pPr>
            <w:r w:rsidRPr="00D566FD">
              <w:rPr>
                <w:sz w:val="20"/>
                <w:szCs w:val="20"/>
              </w:rPr>
              <w:t>&lt; 20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p>
        </w:tc>
      </w:tr>
      <w:tr w:rsidR="002A4242" w:rsidRPr="00D566FD" w:rsidTr="005A09C3">
        <w:trPr>
          <w:gridAfter w:val="1"/>
          <w:wAfter w:w="8" w:type="dxa"/>
          <w:trHeight w:val="474"/>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ind w:right="-7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Szybkość chłodzenia anody lampy ≥ 1,0 MHU/min</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r w:rsidRPr="00D566FD">
              <w:rPr>
                <w:sz w:val="20"/>
                <w:szCs w:val="20"/>
              </w:rPr>
              <w:t>≥ 2,5 – 10 pkt</w:t>
            </w:r>
          </w:p>
          <w:p w:rsidR="002A4242" w:rsidRPr="00D566FD" w:rsidRDefault="002A4242" w:rsidP="00436E70">
            <w:pPr>
              <w:snapToGrid w:val="0"/>
              <w:jc w:val="center"/>
              <w:rPr>
                <w:sz w:val="20"/>
                <w:szCs w:val="20"/>
              </w:rPr>
            </w:pPr>
            <w:r w:rsidRPr="00D566FD">
              <w:rPr>
                <w:sz w:val="20"/>
                <w:szCs w:val="20"/>
              </w:rPr>
              <w:t>&lt; 2,5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p>
        </w:tc>
      </w:tr>
      <w:tr w:rsidR="002A4242" w:rsidRPr="00D566FD" w:rsidTr="005A09C3">
        <w:trPr>
          <w:gridAfter w:val="1"/>
          <w:wAfter w:w="8" w:type="dxa"/>
          <w:trHeight w:val="474"/>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ind w:right="-7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Automatyczny, sugerowany przez aparat, dobór nastaw napięcia [kV] i prądu [mA] lampy RTG, specyficznie do rozmiarów badanego pacjenta, zapewniający optymalną dawkę i jakość obrazu.</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10 pkt</w:t>
            </w:r>
          </w:p>
          <w:p w:rsidR="002A4242" w:rsidRPr="00D566FD" w:rsidRDefault="002A4242" w:rsidP="00436E70">
            <w:pPr>
              <w:snapToGrid w:val="0"/>
              <w:jc w:val="center"/>
              <w:rPr>
                <w:sz w:val="20"/>
                <w:szCs w:val="20"/>
              </w:rPr>
            </w:pPr>
            <w:r w:rsidRPr="00D566FD">
              <w:rPr>
                <w:sz w:val="20"/>
                <w:szCs w:val="20"/>
              </w:rPr>
              <w:t>NIE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p>
        </w:tc>
      </w:tr>
      <w:tr w:rsidR="002A4242" w:rsidRPr="00D566FD" w:rsidTr="005A09C3">
        <w:trPr>
          <w:gridAfter w:val="1"/>
          <w:wAfter w:w="8" w:type="dxa"/>
          <w:trHeight w:val="474"/>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ind w:right="-7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Moc podłączeniowa [kVA]</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p>
        </w:tc>
      </w:tr>
      <w:tr w:rsidR="002A4242" w:rsidRPr="00D566FD" w:rsidTr="005A09C3">
        <w:trPr>
          <w:trHeight w:val="454"/>
          <w:jc w:val="center"/>
        </w:trPr>
        <w:tc>
          <w:tcPr>
            <w:tcW w:w="1294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2A4242" w:rsidRPr="00D566FD" w:rsidRDefault="002A4242" w:rsidP="00436E70">
            <w:pPr>
              <w:snapToGrid w:val="0"/>
              <w:rPr>
                <w:b/>
                <w:bCs/>
                <w:sz w:val="20"/>
                <w:szCs w:val="20"/>
              </w:rPr>
            </w:pPr>
            <w:r w:rsidRPr="00D566FD">
              <w:rPr>
                <w:b/>
                <w:bCs/>
                <w:sz w:val="20"/>
                <w:szCs w:val="20"/>
              </w:rPr>
              <w:lastRenderedPageBreak/>
              <w:t>IV. SYSTEM SKANOWANIA</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b/>
                <w:bCs/>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p w:rsidR="002A4242" w:rsidRPr="00D566FD" w:rsidRDefault="002A4242" w:rsidP="00436E70">
            <w:pPr>
              <w:ind w:left="36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 xml:space="preserve">Najkrótszy czas pełnego </w:t>
            </w:r>
            <w:r w:rsidRPr="00D566FD">
              <w:rPr>
                <w:color w:val="000000"/>
                <w:sz w:val="20"/>
                <w:szCs w:val="20"/>
              </w:rPr>
              <w:t>obrotu (360 stopni) układu lampa rtg – detektor [s]</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 0,30 s,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Rozdzielczość czasowa rozumiana jako czas obrotu układu lampa-detektor w trakcie którego następuje akwizycja wszystkich danych niezbędnych do rekonstrukcji obrazu</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 150 ms,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Szybkość badania z zachowaniem rozdzielczości izotropowej nie większej niż 0,33 mm</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 210 mm/s</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Maksymalny zakres badania bez przerwy na chłodzenie lampy ≥ 200 cm</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Możliwość wykonywania badania spiralnego z pochylonym gantry w zakresie min ± 20⁰</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- 10 pkt</w:t>
            </w:r>
          </w:p>
          <w:p w:rsidR="002A4242" w:rsidRPr="00D566FD" w:rsidRDefault="002A4242" w:rsidP="00436E70">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Możliwość wykonywania badania aksjalnego z pochylonym gantry w zakresie min ± 20⁰</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- 10 pkt</w:t>
            </w:r>
          </w:p>
          <w:p w:rsidR="002A4242" w:rsidRPr="00D566FD" w:rsidRDefault="002A4242" w:rsidP="00436E70">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Maksymalne, diagnostyczne pole skanowania ≥ 50 cm</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Maksymalne, rekonstruowane pole obrazowania FOV ≥ 80 cm</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r w:rsidRPr="00D566FD">
              <w:rPr>
                <w:sz w:val="20"/>
                <w:szCs w:val="20"/>
              </w:rPr>
              <w:t>TAK - 10 pkt</w:t>
            </w:r>
          </w:p>
          <w:p w:rsidR="002A4242" w:rsidRPr="00D566FD" w:rsidRDefault="002A4242" w:rsidP="00436E70">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 xml:space="preserve">Maksymalna wartość współczynnika pitch </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r w:rsidRPr="00D566FD">
              <w:rPr>
                <w:sz w:val="20"/>
                <w:szCs w:val="20"/>
              </w:rPr>
              <w:t>≥ 1.7 – 10 pkt</w:t>
            </w:r>
          </w:p>
          <w:p w:rsidR="002A4242" w:rsidRPr="00D566FD" w:rsidRDefault="002A4242" w:rsidP="00436E70">
            <w:pPr>
              <w:snapToGrid w:val="0"/>
              <w:jc w:val="center"/>
              <w:rPr>
                <w:sz w:val="20"/>
                <w:szCs w:val="20"/>
              </w:rPr>
            </w:pPr>
            <w:r w:rsidRPr="00D566FD">
              <w:rPr>
                <w:sz w:val="20"/>
                <w:szCs w:val="20"/>
              </w:rPr>
              <w:t>&lt; 1.7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Automatyczny dobór współczynnika pitch w celu osiągnięcia wybranego pokrycia i czasu skanowania, utrzymując wybraną grubość warstwy oraz jakość obrazu.</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- 10 pkt</w:t>
            </w:r>
          </w:p>
          <w:p w:rsidR="002A4242" w:rsidRPr="00D566FD" w:rsidRDefault="002A4242" w:rsidP="00436E70">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tcPr>
          <w:p w:rsidR="002A4242" w:rsidRPr="00D566FD" w:rsidRDefault="002A4242" w:rsidP="00436E70">
            <w:pPr>
              <w:snapToGrid w:val="0"/>
              <w:rPr>
                <w:sz w:val="20"/>
                <w:szCs w:val="20"/>
              </w:rPr>
            </w:pPr>
            <w:r w:rsidRPr="00D566FD">
              <w:rPr>
                <w:sz w:val="20"/>
                <w:szCs w:val="20"/>
              </w:rPr>
              <w:t>Grubość najcieńszej dostępnej warstwy w akwizycji wielowarstwowej ≤ 0,65 mm</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r w:rsidRPr="00D566FD">
              <w:rPr>
                <w:sz w:val="20"/>
                <w:szCs w:val="20"/>
              </w:rPr>
              <w:t>&gt; 0,60 mm – 0 pkt</w:t>
            </w:r>
          </w:p>
          <w:p w:rsidR="002A4242" w:rsidRPr="00D566FD" w:rsidRDefault="002A4242" w:rsidP="00436E70">
            <w:pPr>
              <w:snapToGrid w:val="0"/>
              <w:jc w:val="center"/>
              <w:rPr>
                <w:sz w:val="20"/>
                <w:szCs w:val="20"/>
              </w:rPr>
            </w:pPr>
            <w:r w:rsidRPr="00D566FD">
              <w:rPr>
                <w:sz w:val="20"/>
                <w:szCs w:val="20"/>
              </w:rPr>
              <w:t>≤ 0,60 mm – 10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Rozdzielczość wysokokontrastowa  w akwizycji submilimetrowej w czasie pełnego skanu w trybie helikalnym w matrycy 512 x 512 w płaszczyźnie XY mierzona w punkcie 50% charakterystyki MTF ≥ 12,0 pl/cm</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Najlepsza rozdzielczość przestrzenna izotropowa we wszystkich osiach ≤ 0,30 mm</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Matryca rekonstrukcyjna min. 512x512</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512x512 – 0 pkt</w:t>
            </w:r>
            <w:r w:rsidRPr="00D566FD">
              <w:rPr>
                <w:sz w:val="20"/>
                <w:szCs w:val="20"/>
              </w:rPr>
              <w:br/>
              <w:t>1024x1024 – 10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tcPr>
          <w:p w:rsidR="002A4242" w:rsidRPr="00D566FD" w:rsidRDefault="002A4242" w:rsidP="00436E70">
            <w:pPr>
              <w:snapToGrid w:val="0"/>
              <w:rPr>
                <w:sz w:val="20"/>
                <w:szCs w:val="20"/>
              </w:rPr>
            </w:pPr>
            <w:r w:rsidRPr="00D566FD">
              <w:rPr>
                <w:sz w:val="20"/>
                <w:szCs w:val="20"/>
              </w:rPr>
              <w:t>Modulowanie promieniowania RTG w zależności od rzeczywistej pochłanialności badanej anatomii, modulacja we wszystkich trzech osiach XYZ</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Niskodawkowy, iteracyjny algorytm rekonstrukcji bazujący na modelu z wielokrotnym przetwarzaniem tych samych danych surowych (RAW) oraz redukujący szum w obszarze obrazu, umożliwiający redukcję dawki o co najmniej 80% w relacji do standardowej metody rekonstrukcji wstecznej FBP</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Szybkość rekonstrukcji obrazów w matrycy 512x512 z zastosowaniem oferowanego algorytmu rekonstrukcji iteracyjnej</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 20</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Specjalny tryb akwizycji zmniejszający promieniowanie nad szczególnie wrażliwymi organami (oczodoły, tarczyca, piersi) poprzez modulację prądu w zależności od kąta położenia lampy podczas obrotu</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Dodatkowe rozwiązanie dedykowane do fizycznej redukcji promieniowania o niższych energiach do ograniczenia dawki promieniowania i optymalnej jakości obrazów na granicy ośrodków tkanki miękkiej i powietrza w celu wykonywania badań przesiewowych w obrazowaniu płuc i jelita grubego, nie związana ze wstępną filtracją kolimatorem wiązki (np. dodatkowy dedykowany filtr ze złota lub cyny).</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 10 pkt</w:t>
            </w:r>
          </w:p>
          <w:p w:rsidR="002A4242" w:rsidRPr="00D566FD" w:rsidRDefault="002A4242" w:rsidP="00436E70">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tcPr>
          <w:p w:rsidR="002A4242" w:rsidRPr="00D566FD" w:rsidRDefault="002A4242" w:rsidP="00436E70">
            <w:pPr>
              <w:snapToGrid w:val="0"/>
              <w:rPr>
                <w:sz w:val="20"/>
                <w:szCs w:val="20"/>
              </w:rPr>
            </w:pPr>
            <w:r w:rsidRPr="00D566FD">
              <w:rPr>
                <w:sz w:val="20"/>
                <w:szCs w:val="20"/>
              </w:rPr>
              <w:t>Algorytmy sztucznej inteligencji umożliwiający automatyczny dobór protokołów badania w oparciu o komunikacje z obsługą tomografu w postaci indywidualnej charakterystyki pacjenta, dobierając optymalną kombinację parametrów akwizycji, rekonstrukcji i czasu badania</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tcPr>
          <w:p w:rsidR="002A4242" w:rsidRPr="00D566FD" w:rsidRDefault="002A4242" w:rsidP="00436E70">
            <w:pPr>
              <w:snapToGrid w:val="0"/>
              <w:rPr>
                <w:sz w:val="20"/>
                <w:szCs w:val="20"/>
              </w:rPr>
            </w:pPr>
            <w:r w:rsidRPr="00D566FD">
              <w:rPr>
                <w:sz w:val="20"/>
                <w:szCs w:val="20"/>
              </w:rPr>
              <w:t>Iteracyjny algorytm do redukcji zniekształceń od elementów metalowych we wszystkich obszarach ciała działający selektywnie w zależności o wyboru dokonanego przez obsługę</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Algorytm ostrzegający operatora o wykryciu podczas topogramu obecności nieporządanych elementów metalowych (np. : pasków, biżuterii, łańcuszków, okularów, itd.) przed przystąpieniem do dalszej części badania spiralnego lub sekwencyjnego.</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 10 pkt</w:t>
            </w:r>
          </w:p>
          <w:p w:rsidR="002A4242" w:rsidRPr="00D566FD" w:rsidRDefault="002A4242" w:rsidP="00436E70">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Możliwość wybrania i skonfigurowania protokołu badania (ustawienie wszystkich parametrów badania) bezpośrednio przy stole pacjenta, z panelu dotykowego na gantry lub z tabletu</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 10 pkt</w:t>
            </w:r>
          </w:p>
          <w:p w:rsidR="002A4242" w:rsidRPr="00D566FD" w:rsidRDefault="002A4242" w:rsidP="00436E70">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r w:rsidRPr="00D566FD">
              <w:rPr>
                <w:sz w:val="20"/>
                <w:szCs w:val="20"/>
              </w:rPr>
              <w:t>Możliwość uruchomienia, w specyficznych przypadkach, badania z dowolnego miejsca spoza gantry tomografu i konsoli operatora</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TAK – 10 pkt</w:t>
            </w:r>
          </w:p>
          <w:p w:rsidR="002A4242" w:rsidRPr="00D566FD" w:rsidRDefault="002A4242" w:rsidP="00436E70">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tcPr>
          <w:p w:rsidR="002A4242" w:rsidRPr="00D566FD" w:rsidRDefault="002A4242" w:rsidP="00436E70">
            <w:pPr>
              <w:snapToGrid w:val="0"/>
              <w:rPr>
                <w:sz w:val="20"/>
                <w:szCs w:val="20"/>
              </w:rPr>
            </w:pPr>
            <w:r w:rsidRPr="00D566FD">
              <w:rPr>
                <w:sz w:val="20"/>
                <w:szCs w:val="20"/>
              </w:rPr>
              <w:t>Akwizycja dwuenergetyczna umożliwiająca uzyskanie dwóch zestawów danych badanej objętości dla dwóch różnych energii promieniowania</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tcPr>
          <w:p w:rsidR="002A4242" w:rsidRPr="00D566FD" w:rsidRDefault="002A4242" w:rsidP="00436E70">
            <w:pPr>
              <w:snapToGrid w:val="0"/>
              <w:rPr>
                <w:sz w:val="20"/>
                <w:szCs w:val="20"/>
              </w:rPr>
            </w:pPr>
            <w:r w:rsidRPr="00D566FD">
              <w:rPr>
                <w:sz w:val="20"/>
                <w:szCs w:val="20"/>
              </w:rPr>
              <w:t>Akwizycja dwuenergetyczna umożliwiająca uzyskanie dwóch zestawów danych obrazowych badanej objętości dla dwóch różnych energii promieniowania w trybie pojedynczego skanowania spiralnego</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tcPr>
          <w:p w:rsidR="002A4242" w:rsidRPr="00D566FD" w:rsidRDefault="002A4242" w:rsidP="00436E70">
            <w:pPr>
              <w:snapToGrid w:val="0"/>
              <w:rPr>
                <w:sz w:val="20"/>
                <w:szCs w:val="20"/>
              </w:rPr>
            </w:pPr>
            <w:r w:rsidRPr="00D566FD">
              <w:rPr>
                <w:sz w:val="20"/>
                <w:szCs w:val="20"/>
              </w:rPr>
              <w:t>Akwizycja danych dla badań nisko- i wysoko-energetycznych uzyskana jedno-czasowo (symultanicznie).</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jc w:val="center"/>
              <w:rPr>
                <w:sz w:val="20"/>
                <w:szCs w:val="20"/>
              </w:rPr>
            </w:pPr>
            <w:r w:rsidRPr="00D566FD">
              <w:rPr>
                <w:sz w:val="20"/>
                <w:szCs w:val="20"/>
              </w:rPr>
              <w:t>TAK - 10 pkt</w:t>
            </w:r>
          </w:p>
          <w:p w:rsidR="002A4242" w:rsidRPr="00D566FD" w:rsidRDefault="002A4242" w:rsidP="00436E70">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472"/>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tcPr>
          <w:p w:rsidR="002A4242" w:rsidRPr="00D566FD" w:rsidRDefault="002A4242" w:rsidP="00436E70">
            <w:pPr>
              <w:snapToGrid w:val="0"/>
              <w:rPr>
                <w:sz w:val="20"/>
                <w:szCs w:val="20"/>
              </w:rPr>
            </w:pPr>
            <w:r w:rsidRPr="00D566FD">
              <w:rPr>
                <w:sz w:val="20"/>
                <w:szCs w:val="20"/>
              </w:rPr>
              <w:t>Zakres skanu dla badań perfuzyjnych głowy z pojedynczego podania kontrastu ≥ 8 cm</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528"/>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bookmarkStart w:id="0" w:name="_Hlk79518977"/>
            <w:r w:rsidRPr="00D566FD">
              <w:rPr>
                <w:sz w:val="20"/>
                <w:szCs w:val="20"/>
              </w:rPr>
              <w:t xml:space="preserve">Automatyczna kwantyfikacja udaru niedokrwiennego mózgu z podaniem wyniku zgodnie ze skalą ASPECTS </w:t>
            </w:r>
            <w:bookmarkEnd w:id="0"/>
            <w:r w:rsidRPr="00D566FD">
              <w:rPr>
                <w:sz w:val="20"/>
                <w:szCs w:val="20"/>
              </w:rPr>
              <w:t>(Alberta Stroke Program Early CT Score)</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F03CD8">
            <w:pPr>
              <w:snapToGrid w:val="0"/>
              <w:jc w:val="center"/>
              <w:rPr>
                <w:sz w:val="20"/>
                <w:szCs w:val="20"/>
              </w:rPr>
            </w:pPr>
            <w:r w:rsidRPr="00D566FD">
              <w:rPr>
                <w:sz w:val="20"/>
                <w:szCs w:val="20"/>
              </w:rPr>
              <w:t>TAK - 20 pkt</w:t>
            </w:r>
          </w:p>
          <w:p w:rsidR="002A4242" w:rsidRPr="00D566FD" w:rsidRDefault="002A4242"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528"/>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2A4242" w:rsidRPr="00D566FD" w:rsidRDefault="002A4242" w:rsidP="00436E70">
            <w:pPr>
              <w:snapToGrid w:val="0"/>
              <w:rPr>
                <w:sz w:val="20"/>
                <w:szCs w:val="20"/>
              </w:rPr>
            </w:pPr>
            <w:r w:rsidRPr="00D566FD">
              <w:rPr>
                <w:sz w:val="20"/>
                <w:szCs w:val="20"/>
              </w:rPr>
              <w:t>Zakres skanu dla badań perfuzyjnych narządów miąższowych z pojedynczego podania kontrastu ≥ 8 cm</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2A4242" w:rsidRPr="00D566FD" w:rsidTr="005A09C3">
        <w:trPr>
          <w:gridAfter w:val="1"/>
          <w:wAfter w:w="8" w:type="dxa"/>
          <w:trHeight w:val="528"/>
          <w:jc w:val="center"/>
        </w:trPr>
        <w:tc>
          <w:tcPr>
            <w:tcW w:w="883" w:type="dxa"/>
            <w:tcBorders>
              <w:top w:val="single" w:sz="8" w:space="0" w:color="000000"/>
              <w:left w:val="single" w:sz="8" w:space="0" w:color="000000"/>
              <w:bottom w:val="single" w:sz="8" w:space="0" w:color="000000"/>
            </w:tcBorders>
            <w:vAlign w:val="center"/>
          </w:tcPr>
          <w:p w:rsidR="002A4242" w:rsidRPr="00D566FD" w:rsidRDefault="002A4242" w:rsidP="00436E70">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2A4242" w:rsidRPr="00D566FD" w:rsidRDefault="002A4242" w:rsidP="00436E70">
            <w:pPr>
              <w:snapToGrid w:val="0"/>
              <w:rPr>
                <w:sz w:val="20"/>
                <w:szCs w:val="20"/>
              </w:rPr>
            </w:pPr>
            <w:r w:rsidRPr="00D566FD">
              <w:rPr>
                <w:sz w:val="20"/>
                <w:szCs w:val="20"/>
              </w:rPr>
              <w:t>Maksymalny zakres wykonywania dynamicznych badań naczyniowych 4D-CTA przy pojedynczym podaniu kontrastu ≥ 30 cm</w:t>
            </w:r>
          </w:p>
        </w:tc>
        <w:tc>
          <w:tcPr>
            <w:tcW w:w="1701" w:type="dxa"/>
            <w:tcBorders>
              <w:top w:val="single" w:sz="8" w:space="0" w:color="000000"/>
              <w:left w:val="single" w:sz="8" w:space="0" w:color="000000"/>
              <w:bottom w:val="single" w:sz="8" w:space="0" w:color="000000"/>
            </w:tcBorders>
            <w:vAlign w:val="center"/>
          </w:tcPr>
          <w:p w:rsidR="002A4242" w:rsidRPr="00D566FD" w:rsidRDefault="002A4242" w:rsidP="00436E70">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2A4242" w:rsidRPr="00D566FD" w:rsidRDefault="002A4242" w:rsidP="00436E70">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2A4242" w:rsidRPr="00D566FD" w:rsidRDefault="002A4242" w:rsidP="00436E70">
            <w:pPr>
              <w:snapToGrid w:val="0"/>
              <w:jc w:val="center"/>
              <w:rPr>
                <w:sz w:val="20"/>
                <w:szCs w:val="20"/>
              </w:rPr>
            </w:pPr>
          </w:p>
        </w:tc>
      </w:tr>
      <w:tr w:rsidR="00F03CD8" w:rsidRPr="00D566FD" w:rsidTr="00436E70">
        <w:trPr>
          <w:gridAfter w:val="1"/>
          <w:wAfter w:w="8" w:type="dxa"/>
          <w:trHeight w:val="528"/>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9A0433" w:rsidRDefault="00F03CD8" w:rsidP="00F03CD8">
            <w:pPr>
              <w:snapToGrid w:val="0"/>
              <w:rPr>
                <w:sz w:val="20"/>
                <w:szCs w:val="20"/>
              </w:rPr>
            </w:pPr>
            <w:r w:rsidRPr="009A0433">
              <w:rPr>
                <w:sz w:val="20"/>
                <w:szCs w:val="20"/>
              </w:rPr>
              <w:t>System laserów do zabiegów biopsyjnych zintegrowany z gantry aparatu, połączony bezpośrednio z oprogramowaniem skanera TK w celu uzyskiwania wyższej precyzji badań.</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8136CA">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F03CD8" w:rsidRPr="00F03CD8" w:rsidRDefault="00F03CD8" w:rsidP="00F03CD8">
            <w:pPr>
              <w:snapToGrid w:val="0"/>
              <w:jc w:val="center"/>
              <w:rPr>
                <w:sz w:val="20"/>
                <w:szCs w:val="20"/>
              </w:rPr>
            </w:pPr>
            <w:r w:rsidRPr="00F03CD8">
              <w:rPr>
                <w:sz w:val="20"/>
                <w:szCs w:val="20"/>
              </w:rPr>
              <w:t xml:space="preserve">TAK - </w:t>
            </w:r>
            <w:r>
              <w:rPr>
                <w:sz w:val="20"/>
                <w:szCs w:val="20"/>
              </w:rPr>
              <w:t>5</w:t>
            </w:r>
            <w:r w:rsidRPr="00F03CD8">
              <w:rPr>
                <w:sz w:val="20"/>
                <w:szCs w:val="20"/>
              </w:rPr>
              <w:t>0 pkt</w:t>
            </w:r>
            <w:r w:rsidRPr="00F03CD8">
              <w:rPr>
                <w:sz w:val="20"/>
                <w:szCs w:val="20"/>
              </w:rPr>
              <w:br/>
              <w:t>NIE- 0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436E70">
        <w:trPr>
          <w:gridAfter w:val="1"/>
          <w:wAfter w:w="8" w:type="dxa"/>
          <w:trHeight w:val="528"/>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9A0433" w:rsidRDefault="00F03CD8" w:rsidP="00F03CD8">
            <w:pPr>
              <w:snapToGrid w:val="0"/>
              <w:rPr>
                <w:sz w:val="20"/>
                <w:szCs w:val="20"/>
              </w:rPr>
            </w:pPr>
            <w:r w:rsidRPr="009A0433">
              <w:rPr>
                <w:sz w:val="20"/>
                <w:szCs w:val="20"/>
              </w:rPr>
              <w:t>Laserowa projekcja punktu wejścia igły oraz kąta wejścia podczas biopsji z dokładnością nie gorszą niż 5 mm</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8136CA">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F03CD8" w:rsidRPr="00F03CD8" w:rsidRDefault="00F03CD8" w:rsidP="00F03CD8">
            <w:pPr>
              <w:snapToGrid w:val="0"/>
              <w:jc w:val="center"/>
              <w:rPr>
                <w:sz w:val="20"/>
                <w:szCs w:val="20"/>
              </w:rPr>
            </w:pPr>
            <w:r w:rsidRPr="00F03CD8">
              <w:rPr>
                <w:sz w:val="20"/>
                <w:szCs w:val="20"/>
              </w:rPr>
              <w:t>TAK - 20 pkt</w:t>
            </w:r>
            <w:r w:rsidRPr="00F03CD8">
              <w:rPr>
                <w:sz w:val="20"/>
                <w:szCs w:val="20"/>
              </w:rPr>
              <w:br/>
              <w:t>NIE- 0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436E70">
        <w:trPr>
          <w:gridAfter w:val="1"/>
          <w:wAfter w:w="8" w:type="dxa"/>
          <w:trHeight w:val="528"/>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9A0433" w:rsidRDefault="00F03CD8" w:rsidP="00F03CD8">
            <w:pPr>
              <w:snapToGrid w:val="0"/>
              <w:rPr>
                <w:sz w:val="20"/>
                <w:szCs w:val="20"/>
              </w:rPr>
            </w:pPr>
            <w:r w:rsidRPr="009A0433">
              <w:rPr>
                <w:sz w:val="20"/>
                <w:szCs w:val="20"/>
              </w:rPr>
              <w:t>Planowanie wielu ścieżek igły poprzez pomiar odległości i kąta od celu do punktu wejścia igły na jednym lub kilku przekrojach aksjalnych</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8136CA">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F03CD8" w:rsidRPr="00F03CD8" w:rsidRDefault="00F03CD8" w:rsidP="00F03CD8">
            <w:pPr>
              <w:snapToGrid w:val="0"/>
              <w:jc w:val="center"/>
              <w:rPr>
                <w:sz w:val="20"/>
                <w:szCs w:val="20"/>
              </w:rPr>
            </w:pPr>
            <w:r w:rsidRPr="00F03CD8">
              <w:rPr>
                <w:sz w:val="20"/>
                <w:szCs w:val="20"/>
              </w:rPr>
              <w:t>TAK - 10 pkt</w:t>
            </w:r>
            <w:r w:rsidRPr="00F03CD8">
              <w:rPr>
                <w:sz w:val="20"/>
                <w:szCs w:val="20"/>
              </w:rPr>
              <w:br/>
              <w:t>NIE- 0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436E70">
        <w:trPr>
          <w:gridAfter w:val="1"/>
          <w:wAfter w:w="8" w:type="dxa"/>
          <w:trHeight w:val="528"/>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9A0433" w:rsidRDefault="00F03CD8" w:rsidP="00F03CD8">
            <w:pPr>
              <w:snapToGrid w:val="0"/>
              <w:rPr>
                <w:sz w:val="20"/>
                <w:szCs w:val="20"/>
              </w:rPr>
            </w:pPr>
            <w:r w:rsidRPr="009A0433">
              <w:rPr>
                <w:sz w:val="20"/>
                <w:szCs w:val="20"/>
              </w:rPr>
              <w:t>Fluoroskopowa nawigacja przy wykonywaniu biopsji, wyświetlająca obrazy z szybkością przynajmniej 10 obrazów/s na dodatkowym monitorze w pomieszczeniu badań oraz konsoli akwizycyjnej aparatu TK</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8136CA">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F03CD8" w:rsidRPr="00F03CD8" w:rsidRDefault="00F03CD8" w:rsidP="00F03CD8">
            <w:pPr>
              <w:snapToGrid w:val="0"/>
              <w:jc w:val="center"/>
              <w:rPr>
                <w:sz w:val="20"/>
                <w:szCs w:val="20"/>
              </w:rPr>
            </w:pPr>
            <w:r w:rsidRPr="00F03CD8">
              <w:rPr>
                <w:sz w:val="20"/>
                <w:szCs w:val="20"/>
              </w:rPr>
              <w:t>TAK - 10 pkt</w:t>
            </w:r>
            <w:r w:rsidRPr="00F03CD8">
              <w:rPr>
                <w:sz w:val="20"/>
                <w:szCs w:val="20"/>
              </w:rPr>
              <w:br/>
              <w:t>NIE- 0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436E70">
        <w:trPr>
          <w:gridAfter w:val="1"/>
          <w:wAfter w:w="8" w:type="dxa"/>
          <w:trHeight w:val="528"/>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9A0433" w:rsidRDefault="00F03CD8" w:rsidP="00F03CD8">
            <w:pPr>
              <w:snapToGrid w:val="0"/>
              <w:rPr>
                <w:sz w:val="20"/>
                <w:szCs w:val="20"/>
              </w:rPr>
            </w:pPr>
            <w:r w:rsidRPr="009A0433">
              <w:rPr>
                <w:sz w:val="20"/>
                <w:szCs w:val="20"/>
              </w:rPr>
              <w:t>Ochrona lekarza podczas zabiegu biopsji - modulacja dawki w czasie rzeczywistym, w celu uniknięcia bezpośredniej ekspozycji rąk lekarza na promieniowanie rentgenowskie.</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8136CA">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F03CD8" w:rsidRPr="00F03CD8" w:rsidRDefault="00F03CD8" w:rsidP="00F03CD8">
            <w:pPr>
              <w:snapToGrid w:val="0"/>
              <w:jc w:val="center"/>
              <w:rPr>
                <w:sz w:val="20"/>
                <w:szCs w:val="20"/>
              </w:rPr>
            </w:pPr>
            <w:r w:rsidRPr="00F03CD8">
              <w:rPr>
                <w:sz w:val="20"/>
                <w:szCs w:val="20"/>
              </w:rPr>
              <w:t>TAK - 20 pkt</w:t>
            </w:r>
            <w:r w:rsidRPr="00F03CD8">
              <w:rPr>
                <w:sz w:val="20"/>
                <w:szCs w:val="20"/>
              </w:rPr>
              <w:br/>
              <w:t>NIE- 0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trHeight w:val="454"/>
          <w:jc w:val="center"/>
        </w:trPr>
        <w:tc>
          <w:tcPr>
            <w:tcW w:w="1294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F03CD8" w:rsidRPr="00D566FD" w:rsidRDefault="00F03CD8" w:rsidP="00F03CD8">
            <w:pPr>
              <w:snapToGrid w:val="0"/>
              <w:rPr>
                <w:sz w:val="20"/>
                <w:szCs w:val="20"/>
              </w:rPr>
            </w:pPr>
            <w:r w:rsidRPr="00D566FD">
              <w:rPr>
                <w:b/>
                <w:bCs/>
                <w:sz w:val="20"/>
                <w:szCs w:val="20"/>
              </w:rPr>
              <w:t>V. KONSOLA OPERATORSKA</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b/>
                <w:bCs/>
                <w:sz w:val="20"/>
                <w:szCs w:val="20"/>
              </w:rPr>
            </w:pPr>
          </w:p>
        </w:tc>
      </w:tr>
      <w:tr w:rsidR="00F03CD8" w:rsidRPr="00D566FD" w:rsidTr="005A09C3">
        <w:trPr>
          <w:gridAfter w:val="1"/>
          <w:wAfter w:w="8" w:type="dxa"/>
          <w:trHeight w:val="42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color w:val="000000"/>
                <w:sz w:val="20"/>
                <w:szCs w:val="20"/>
              </w:rPr>
            </w:pPr>
            <w:r w:rsidRPr="00D566FD">
              <w:rPr>
                <w:sz w:val="20"/>
                <w:szCs w:val="20"/>
              </w:rPr>
              <w:t>Stanowisko operatorskie – konsola akwizycyjna dwumonitorowa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5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Przekątna kolorowego monitora z aktywną matrycą ciekłokrystaliczną typu Flat ["]</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 21 "</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 21 " – 0 pkt</w:t>
            </w:r>
          </w:p>
          <w:p w:rsidR="00F03CD8" w:rsidRPr="00D566FD" w:rsidRDefault="00F03CD8" w:rsidP="00F03CD8">
            <w:pPr>
              <w:snapToGrid w:val="0"/>
              <w:jc w:val="center"/>
              <w:rPr>
                <w:sz w:val="20"/>
                <w:szCs w:val="20"/>
              </w:rPr>
            </w:pPr>
            <w:r w:rsidRPr="00D566FD">
              <w:rPr>
                <w:sz w:val="20"/>
                <w:szCs w:val="20"/>
              </w:rPr>
              <w:t>≥ 24 " – 10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596"/>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 xml:space="preserve">Możliwość wykorzystania do podglądu rekonstrukcji badań przenośnego tabletu </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596"/>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Pojemność dysku twardego dla obrazów bez kompresji (512x512), wyrażona liczbą obrazów.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 600 000</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596"/>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Bezpośrednia rekonstrukcja warstw MPR bez konieczności wstępnej rekonstrukcji cienkich warstw aksjalnych</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596"/>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Archiwizacja badań pacjentów na CD-R i DVD w standardzie DICOM 3.0</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596"/>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Dwukierunkowy interkom do komunikacji głosowej z pacjentem</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596"/>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 xml:space="preserve">Interfejs sieciowy zgodnie z DICOM 3.0 z następującymi klasami serwisowymi:                                                                 </w:t>
            </w:r>
          </w:p>
          <w:p w:rsidR="00F03CD8" w:rsidRPr="00D566FD" w:rsidRDefault="00F03CD8" w:rsidP="00F03CD8">
            <w:pPr>
              <w:rPr>
                <w:sz w:val="20"/>
                <w:szCs w:val="20"/>
                <w:lang w:val="en-US"/>
              </w:rPr>
            </w:pPr>
            <w:r w:rsidRPr="00D566FD">
              <w:rPr>
                <w:sz w:val="20"/>
                <w:szCs w:val="20"/>
                <w:lang w:val="en-US"/>
              </w:rPr>
              <w:t xml:space="preserve">- Send/Receive                                                                             </w:t>
            </w:r>
          </w:p>
          <w:p w:rsidR="00F03CD8" w:rsidRPr="00D566FD" w:rsidRDefault="00F03CD8" w:rsidP="00F03CD8">
            <w:pPr>
              <w:rPr>
                <w:sz w:val="20"/>
                <w:szCs w:val="20"/>
                <w:lang w:val="en-US"/>
              </w:rPr>
            </w:pPr>
            <w:r w:rsidRPr="00D566FD">
              <w:rPr>
                <w:sz w:val="20"/>
                <w:szCs w:val="20"/>
                <w:lang w:val="en-US"/>
              </w:rPr>
              <w:t xml:space="preserve">- Basic Print                                                                                  </w:t>
            </w:r>
          </w:p>
          <w:p w:rsidR="00F03CD8" w:rsidRPr="00D566FD" w:rsidRDefault="00F03CD8" w:rsidP="00F03CD8">
            <w:pPr>
              <w:rPr>
                <w:sz w:val="20"/>
                <w:szCs w:val="20"/>
                <w:lang w:val="en-US"/>
              </w:rPr>
            </w:pPr>
            <w:r w:rsidRPr="00D566FD">
              <w:rPr>
                <w:sz w:val="20"/>
                <w:szCs w:val="20"/>
                <w:lang w:val="en-US"/>
              </w:rPr>
              <w:t xml:space="preserve">- Query/ Retrieve </w:t>
            </w:r>
          </w:p>
          <w:p w:rsidR="00F03CD8" w:rsidRPr="00D566FD" w:rsidRDefault="00F03CD8" w:rsidP="00F03CD8">
            <w:pPr>
              <w:rPr>
                <w:sz w:val="20"/>
                <w:szCs w:val="20"/>
                <w:lang w:val="en-US"/>
              </w:rPr>
            </w:pPr>
            <w:r w:rsidRPr="00D566FD">
              <w:rPr>
                <w:sz w:val="20"/>
                <w:szCs w:val="20"/>
                <w:lang w:val="en-US"/>
              </w:rPr>
              <w:t xml:space="preserve">- Storage Commitment  </w:t>
            </w:r>
          </w:p>
          <w:p w:rsidR="00F03CD8" w:rsidRPr="00D566FD" w:rsidRDefault="00F03CD8" w:rsidP="00F03CD8">
            <w:pPr>
              <w:rPr>
                <w:sz w:val="20"/>
                <w:szCs w:val="20"/>
              </w:rPr>
            </w:pPr>
            <w:r w:rsidRPr="00D566FD">
              <w:rPr>
                <w:sz w:val="20"/>
                <w:szCs w:val="20"/>
              </w:rPr>
              <w:t xml:space="preserve">- Worklist </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trHeight w:val="454"/>
          <w:jc w:val="center"/>
        </w:trPr>
        <w:tc>
          <w:tcPr>
            <w:tcW w:w="1294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F03CD8" w:rsidRPr="00D566FD" w:rsidRDefault="00F03CD8" w:rsidP="00F03CD8">
            <w:pPr>
              <w:snapToGrid w:val="0"/>
              <w:rPr>
                <w:b/>
                <w:bCs/>
                <w:sz w:val="20"/>
                <w:szCs w:val="20"/>
              </w:rPr>
            </w:pPr>
            <w:r w:rsidRPr="00D566FD">
              <w:rPr>
                <w:b/>
                <w:bCs/>
                <w:sz w:val="20"/>
                <w:szCs w:val="20"/>
              </w:rPr>
              <w:t>VI. OPROGRAMOWANIE KONSOLI OPERATORSKIEJ</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b/>
                <w:bCs/>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MIP (Maximum Intensity Projection)</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VRT (Volume Rendering Techique)</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Rekonstrukcje MPR (również skośne i krzywoliniowe z danych zbieranych przy dowolnym kącie gantry)</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Prezentacje cine</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Pomiary geometryczne (długości / kątów / powierzchni / objętości)</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Pomiary analityczne (pomiar poziomu gęstości, profile gęstości, analiza skanu dynamicznego).</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autoSpaceDE w:val="0"/>
              <w:snapToGrid w:val="0"/>
              <w:rPr>
                <w:sz w:val="20"/>
                <w:szCs w:val="20"/>
              </w:rPr>
            </w:pPr>
            <w:r w:rsidRPr="00D566FD">
              <w:rPr>
                <w:sz w:val="20"/>
                <w:szCs w:val="20"/>
              </w:rPr>
              <w:t>Obliczanie całkowitej dawki ekspozycyjnej (DLP lub CTDIvol), jaką uzyskał pacjent w trakcie badania i jej prezentacja na ekranie konsoli operatorskiej.</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Wielozadaniowość / wielodostęp, w tym możliwość automatycznej rekonstrukcji, archiwizacji i dokumentacji w tle (w trakcie skanowania)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Oprogramowanie do synchronizacji startu badania spiralnego na podstawie automatycznej analizy napływu środka cieniującego w zadanej warstwie bez wykonywania wstrzyknięć testowych.</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Automatyczna detekcja obszaru zainteresowania (ROI) wraz z obliczaniem wartości HU w badaniach z użyciem środka cieniującego.</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rPr>
                <w:sz w:val="20"/>
                <w:szCs w:val="20"/>
              </w:rPr>
            </w:pPr>
            <w:r w:rsidRPr="00D566FD">
              <w:rPr>
                <w:sz w:val="20"/>
                <w:szCs w:val="20"/>
              </w:rPr>
              <w:t>Kompletny zestaw protokołów do badania wszystkich obszarów anatomicznych , z możliwością ich projektowania i zapamiętywania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rPr>
                <w:sz w:val="20"/>
                <w:szCs w:val="20"/>
              </w:rPr>
            </w:pPr>
            <w:r w:rsidRPr="00D566FD">
              <w:rPr>
                <w:sz w:val="20"/>
                <w:szCs w:val="20"/>
              </w:rPr>
              <w:t>Automatyczne, bez udziału operatora, ustawianie zakresu badania, dla danego pacjenta, na podstawie znaczników anatomicznych topogramu i wybranego protokołu badania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TAK/NIE Podać</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rPr>
                <w:sz w:val="20"/>
                <w:szCs w:val="20"/>
              </w:rPr>
            </w:pPr>
            <w:r w:rsidRPr="00D566FD">
              <w:rPr>
                <w:sz w:val="20"/>
                <w:szCs w:val="20"/>
              </w:rPr>
              <w:t>Automatyczne alarmowanie obsługi o możliwości przekroczenia dawki referencyjnej w danym badaniu (przed wykonaniem badania).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rPr>
                <w:color w:val="000000" w:themeColor="text1"/>
                <w:sz w:val="20"/>
                <w:szCs w:val="20"/>
              </w:rPr>
            </w:pPr>
            <w:r w:rsidRPr="00D566FD">
              <w:rPr>
                <w:color w:val="000000" w:themeColor="text1"/>
                <w:sz w:val="20"/>
                <w:szCs w:val="20"/>
              </w:rPr>
              <w:t>Akwizycja dwuenergetyczna/spektralna umożliwiająca uzyskanie dwóch zestawów danych obrazowych badanej anatomii dla dwóch różnych energii promieniowania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rPr>
                <w:sz w:val="20"/>
                <w:szCs w:val="20"/>
              </w:rPr>
            </w:pPr>
            <w:r w:rsidRPr="00D566FD">
              <w:rPr>
                <w:sz w:val="20"/>
                <w:szCs w:val="20"/>
              </w:rPr>
              <w:t>Automatyczne, bez udziału operatora, etykietowanie kręgów i ustawienie płaszczyzn rekonstrukcji kręgów w badaniach kręgosłupa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rPr>
                <w:sz w:val="20"/>
                <w:szCs w:val="20"/>
              </w:rPr>
            </w:pPr>
            <w:r w:rsidRPr="00D566FD">
              <w:rPr>
                <w:sz w:val="20"/>
                <w:szCs w:val="20"/>
              </w:rPr>
              <w:t>Automatyczne, bez udziału operatora, etykietowanie żeber z rozłożeniem ich na płaszczyźnie w badaniach klatki piersiowej</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rPr>
                <w:sz w:val="20"/>
                <w:szCs w:val="20"/>
              </w:rPr>
            </w:pPr>
            <w:r w:rsidRPr="00D566FD">
              <w:rPr>
                <w:sz w:val="20"/>
                <w:szCs w:val="20"/>
              </w:rPr>
              <w:t>Oprogramowanie do zdalnego dostępu do konsoli operatorskiej, umożliwiające zdalne przejęcie konsoli operatorskiej</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rPr>
                <w:sz w:val="20"/>
                <w:szCs w:val="20"/>
              </w:rPr>
            </w:pPr>
            <w:r w:rsidRPr="00D566FD">
              <w:rPr>
                <w:sz w:val="20"/>
                <w:szCs w:val="20"/>
              </w:rPr>
              <w:t>Identyczny wygląd interfejsu konsoli operatorskiej oraz stacji lekarskich, oprogramowanie od jednego producenta.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rPr>
                <w:sz w:val="20"/>
                <w:szCs w:val="20"/>
              </w:rPr>
            </w:pPr>
            <w:r w:rsidRPr="00D566FD">
              <w:rPr>
                <w:sz w:val="20"/>
                <w:szCs w:val="20"/>
              </w:rPr>
              <w:t>UPS umożliwiający podtrzymanie pracy konsoli operatorskiej na czas prawidłowego jej zamknięcia w przypadku utraty zasilania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9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
                <w:bCs/>
                <w:sz w:val="20"/>
                <w:szCs w:val="20"/>
              </w:rPr>
            </w:pPr>
          </w:p>
          <w:p w:rsidR="00F03CD8" w:rsidRPr="00D566FD" w:rsidRDefault="00F03CD8" w:rsidP="00F03CD8">
            <w:pPr>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rPr>
                <w:sz w:val="20"/>
                <w:szCs w:val="20"/>
              </w:rPr>
            </w:pPr>
            <w:r w:rsidRPr="00D566FD">
              <w:rPr>
                <w:sz w:val="20"/>
                <w:szCs w:val="20"/>
              </w:rPr>
              <w:t>Sterowanie wstrzykiwaczem kontrastu bezpośrednio z konsoli tomografu komputerowego. Możliwość programowania i zapamiętywania parametrów wstrzykiwacza bezpośrednio w protokole badania na konsoli operatorskiej.</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trHeight w:val="611"/>
          <w:jc w:val="center"/>
        </w:trPr>
        <w:tc>
          <w:tcPr>
            <w:tcW w:w="12942" w:type="dxa"/>
            <w:gridSpan w:val="6"/>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rPr>
                <w:b/>
                <w:sz w:val="20"/>
                <w:szCs w:val="20"/>
              </w:rPr>
            </w:pPr>
            <w:r w:rsidRPr="00D566FD">
              <w:rPr>
                <w:b/>
                <w:sz w:val="20"/>
                <w:szCs w:val="20"/>
              </w:rPr>
              <w:t xml:space="preserve">VII. </w:t>
            </w:r>
            <w:r w:rsidRPr="00D566FD">
              <w:rPr>
                <w:b/>
                <w:bCs/>
                <w:sz w:val="20"/>
                <w:szCs w:val="20"/>
              </w:rPr>
              <w:t>SYSTEM STANOWISK DIAGNOSTYCZNYCH (min. 4 komplety)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b/>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rPr>
                <w:sz w:val="20"/>
                <w:szCs w:val="20"/>
              </w:rPr>
            </w:pPr>
            <w:r w:rsidRPr="00D566FD">
              <w:rPr>
                <w:sz w:val="20"/>
                <w:szCs w:val="20"/>
              </w:rPr>
              <w:t>Stanowiska diagnostyczne działające w oparciu o technologię klient serwer.</w:t>
            </w:r>
          </w:p>
          <w:p w:rsidR="00F03CD8" w:rsidRPr="00D566FD" w:rsidRDefault="00F03CD8" w:rsidP="00F03CD8">
            <w:pPr>
              <w:rPr>
                <w:sz w:val="20"/>
                <w:szCs w:val="20"/>
              </w:rPr>
            </w:pPr>
            <w:r w:rsidRPr="00D566FD">
              <w:rPr>
                <w:sz w:val="20"/>
                <w:szCs w:val="20"/>
              </w:rPr>
              <w:t xml:space="preserve">Dostosowanie i aktualizacja posiadanego przez Zamawiającego rozwiązania serwerowego SyngoVia do funkcjonalności umożliwiających współpracę z oferowanym tomografem komputerowym. </w:t>
            </w:r>
          </w:p>
          <w:p w:rsidR="00F03CD8" w:rsidRPr="00D566FD" w:rsidRDefault="00F03CD8" w:rsidP="00F03CD8">
            <w:pPr>
              <w:rPr>
                <w:sz w:val="20"/>
                <w:szCs w:val="20"/>
              </w:rPr>
            </w:pPr>
            <w:r w:rsidRPr="00D566FD">
              <w:rPr>
                <w:sz w:val="20"/>
                <w:szCs w:val="20"/>
              </w:rPr>
              <w:t>Możliwość instalacji oprogramowania na dowolnej stacji diagnostycznej, posiadanej przez Zamawiającego wyposażonej w system operacyjny Windows 10.</w:t>
            </w:r>
          </w:p>
          <w:p w:rsidR="00F03CD8" w:rsidRPr="00D566FD" w:rsidRDefault="00F03CD8" w:rsidP="00F03CD8">
            <w:pPr>
              <w:rPr>
                <w:sz w:val="20"/>
                <w:szCs w:val="20"/>
              </w:rPr>
            </w:pPr>
            <w:r w:rsidRPr="00D566FD">
              <w:rPr>
                <w:sz w:val="20"/>
                <w:szCs w:val="20"/>
              </w:rPr>
              <w:t>Opracowywanie uzyskanych badań na stanowisku diagnostycznym możliwe po wyłączeniu tomografu i konsoli operatorskiej.</w:t>
            </w:r>
          </w:p>
          <w:p w:rsidR="00F03CD8" w:rsidRPr="00D566FD" w:rsidRDefault="00F03CD8" w:rsidP="00F03CD8">
            <w:pPr>
              <w:rPr>
                <w:sz w:val="20"/>
                <w:szCs w:val="20"/>
              </w:rPr>
            </w:pPr>
            <w:r w:rsidRPr="00D566FD">
              <w:rPr>
                <w:sz w:val="20"/>
                <w:szCs w:val="20"/>
              </w:rPr>
              <w:t>Komputery stanowisk lekarskich i serwer w konfiguracji sprzętowej zgodne z wymogami producenta oprogramowania, zapewniającej płynną pracę i obróbkę, przetwarzanie oraz ocenę badań.</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rPr>
                <w:sz w:val="20"/>
                <w:szCs w:val="20"/>
              </w:rPr>
            </w:pPr>
            <w:r w:rsidRPr="00D566FD">
              <w:rPr>
                <w:sz w:val="20"/>
                <w:szCs w:val="20"/>
              </w:rPr>
              <w:t xml:space="preserve">Każde stanowisko diagnostyczne wyposażone w dwa monitory diagnostyczne o min. przekątnej 21” i rozdzielczości min, 2MP lub jeden monitor o min. przekątnej 30” i rozdzielczości min. 4MP, </w:t>
            </w:r>
          </w:p>
          <w:p w:rsidR="00F03CD8" w:rsidRPr="00D566FD" w:rsidRDefault="00F03CD8" w:rsidP="00F03CD8">
            <w:pPr>
              <w:rPr>
                <w:sz w:val="20"/>
                <w:szCs w:val="20"/>
              </w:rPr>
            </w:pPr>
            <w:r w:rsidRPr="00D566FD">
              <w:rPr>
                <w:sz w:val="20"/>
                <w:szCs w:val="20"/>
              </w:rPr>
              <w:t>Każde stanowisko diagnostyczne wyposażone w monitor opisowy o min. przekątnej 21” i rozdzielczości min. 2MP.</w:t>
            </w:r>
          </w:p>
          <w:p w:rsidR="00F03CD8" w:rsidRPr="00D566FD" w:rsidRDefault="00F03CD8" w:rsidP="00F03CD8">
            <w:pPr>
              <w:rPr>
                <w:sz w:val="20"/>
                <w:szCs w:val="20"/>
              </w:rPr>
            </w:pPr>
            <w:r w:rsidRPr="00D566FD">
              <w:rPr>
                <w:sz w:val="20"/>
                <w:szCs w:val="20"/>
              </w:rPr>
              <w:t>Min 1 stacja umożliwiająca ocenę badań radiologii klasycznej oraz minimum 2 stacje opisowe w standardzie kolorowych stacji opisowych tomografii komputerowej.</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snapToGrid w:val="0"/>
              <w:jc w:val="center"/>
              <w:rPr>
                <w:sz w:val="20"/>
                <w:szCs w:val="20"/>
              </w:rPr>
            </w:pPr>
            <w:r w:rsidRPr="00D566FD">
              <w:rPr>
                <w:sz w:val="20"/>
                <w:szCs w:val="20"/>
              </w:rPr>
              <w:t>TAK, podać ilość i typ monitorów</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ind w:left="133"/>
              <w:rPr>
                <w:sz w:val="20"/>
                <w:szCs w:val="20"/>
              </w:rPr>
            </w:pPr>
            <w:r w:rsidRPr="00D566FD">
              <w:rPr>
                <w:sz w:val="20"/>
                <w:szCs w:val="20"/>
              </w:rPr>
              <w:t>Wsparcie techniczne w zakresie serwera aplikacyjnego obejmujące aktualizacje oprogramowania diagnostycznego (update/hotfix), modernizacje oprogramowania diagnostycznego (coroczne upgrady do najnowszej i aktualnej wersji oprogramowania).</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rPr>
                <w:sz w:val="20"/>
                <w:szCs w:val="20"/>
              </w:rPr>
            </w:pPr>
            <w:r w:rsidRPr="00D566FD">
              <w:rPr>
                <w:sz w:val="20"/>
                <w:szCs w:val="20"/>
              </w:rPr>
              <w:t>Interfejs sieciowy zgodnie z DICOM 3.0 z następującymi klasami serwisowymi:</w:t>
            </w:r>
          </w:p>
          <w:p w:rsidR="00F03CD8" w:rsidRPr="00D566FD" w:rsidRDefault="00F03CD8" w:rsidP="00F03CD8">
            <w:pPr>
              <w:pStyle w:val="Akapitzlist"/>
              <w:numPr>
                <w:ilvl w:val="0"/>
                <w:numId w:val="29"/>
              </w:numPr>
              <w:suppressAutoHyphens w:val="0"/>
              <w:ind w:left="630"/>
              <w:rPr>
                <w:sz w:val="20"/>
                <w:szCs w:val="20"/>
              </w:rPr>
            </w:pPr>
            <w:r w:rsidRPr="00D566FD">
              <w:rPr>
                <w:sz w:val="20"/>
                <w:szCs w:val="20"/>
              </w:rPr>
              <w:t>Send/Receive,</w:t>
            </w:r>
          </w:p>
          <w:p w:rsidR="00F03CD8" w:rsidRPr="00D566FD" w:rsidRDefault="00F03CD8" w:rsidP="00F03CD8">
            <w:pPr>
              <w:pStyle w:val="Akapitzlist"/>
              <w:numPr>
                <w:ilvl w:val="0"/>
                <w:numId w:val="29"/>
              </w:numPr>
              <w:suppressAutoHyphens w:val="0"/>
              <w:ind w:left="630"/>
              <w:rPr>
                <w:sz w:val="20"/>
                <w:szCs w:val="20"/>
              </w:rPr>
            </w:pPr>
            <w:r w:rsidRPr="00D566FD">
              <w:rPr>
                <w:sz w:val="20"/>
                <w:szCs w:val="20"/>
              </w:rPr>
              <w:t>Basic Print</w:t>
            </w:r>
          </w:p>
          <w:p w:rsidR="00F03CD8" w:rsidRPr="00D566FD" w:rsidRDefault="00F03CD8" w:rsidP="00F03CD8">
            <w:pPr>
              <w:pStyle w:val="Akapitzlist"/>
              <w:numPr>
                <w:ilvl w:val="0"/>
                <w:numId w:val="29"/>
              </w:numPr>
              <w:suppressAutoHyphens w:val="0"/>
              <w:ind w:left="630"/>
              <w:rPr>
                <w:sz w:val="20"/>
                <w:szCs w:val="20"/>
              </w:rPr>
            </w:pPr>
            <w:r w:rsidRPr="00D566FD">
              <w:rPr>
                <w:sz w:val="20"/>
                <w:szCs w:val="20"/>
              </w:rPr>
              <w:t>Retrieve</w:t>
            </w:r>
          </w:p>
          <w:p w:rsidR="00F03CD8" w:rsidRPr="00D566FD" w:rsidRDefault="00F03CD8" w:rsidP="00F03CD8">
            <w:pPr>
              <w:suppressAutoHyphens w:val="0"/>
              <w:rPr>
                <w:sz w:val="20"/>
                <w:szCs w:val="20"/>
              </w:rPr>
            </w:pPr>
            <w:r w:rsidRPr="00D566FD">
              <w:rPr>
                <w:sz w:val="20"/>
                <w:szCs w:val="20"/>
              </w:rPr>
              <w:t>Dodawanie i edycja  węzłów DICOM w oprogramowaniu nie wymaga dodatkowych licencji.</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ind w:left="133"/>
              <w:rPr>
                <w:sz w:val="20"/>
                <w:szCs w:val="20"/>
              </w:rPr>
            </w:pPr>
            <w:r w:rsidRPr="00D566FD">
              <w:rPr>
                <w:sz w:val="20"/>
                <w:szCs w:val="20"/>
              </w:rPr>
              <w:t>Zasilacz UPS do każdej ze stacji o parametrach zapewniających zakończenie pracy (min. 30 minut)</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rPr>
                <w:sz w:val="20"/>
                <w:szCs w:val="20"/>
              </w:rPr>
            </w:pPr>
            <w:r w:rsidRPr="00D566FD">
              <w:rPr>
                <w:sz w:val="20"/>
                <w:szCs w:val="20"/>
              </w:rPr>
              <w:t xml:space="preserve">Automatyczny import badań poprzednich z archiwum PACS. Możliwość zdefiniowania ilości badań poprzednich oraz okresu czasu z jakiego mają być automatycznie zaimportowane. </w:t>
            </w:r>
          </w:p>
          <w:p w:rsidR="00F03CD8" w:rsidRPr="00D566FD" w:rsidRDefault="00F03CD8" w:rsidP="00F03CD8">
            <w:pPr>
              <w:ind w:left="133"/>
              <w:rPr>
                <w:sz w:val="20"/>
                <w:szCs w:val="20"/>
              </w:rPr>
            </w:pPr>
            <w:r w:rsidRPr="00D566FD">
              <w:rPr>
                <w:sz w:val="20"/>
                <w:szCs w:val="20"/>
              </w:rPr>
              <w:t>Import uruchamiany automatycznie z chwilą otrzymania badania bieżącego lub na podstawie listy roboczej tomografu.</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snapToGrid w:val="0"/>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ind w:left="133"/>
              <w:rPr>
                <w:sz w:val="20"/>
                <w:szCs w:val="20"/>
              </w:rPr>
            </w:pPr>
            <w:r w:rsidRPr="00D566FD">
              <w:rPr>
                <w:sz w:val="20"/>
                <w:szCs w:val="20"/>
              </w:rPr>
              <w:t>Przeglądanie i wyświetlanie w jakości diagnostycznej badań wielu modalności min. CT, MR, NM, PT, XA, XR itp.</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ind w:left="133"/>
              <w:rPr>
                <w:sz w:val="20"/>
                <w:szCs w:val="20"/>
              </w:rPr>
            </w:pPr>
            <w:r w:rsidRPr="00D566FD">
              <w:rPr>
                <w:sz w:val="20"/>
                <w:szCs w:val="20"/>
              </w:rPr>
              <w:t>MIP (Maximum Intensity Projection)</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ind w:left="133"/>
              <w:rPr>
                <w:sz w:val="20"/>
                <w:szCs w:val="20"/>
              </w:rPr>
            </w:pPr>
            <w:r w:rsidRPr="00D566FD">
              <w:rPr>
                <w:sz w:val="20"/>
                <w:szCs w:val="20"/>
              </w:rPr>
              <w:t>SSD (Surface Shaded Display)</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ind w:left="133"/>
              <w:rPr>
                <w:sz w:val="20"/>
                <w:szCs w:val="20"/>
              </w:rPr>
            </w:pPr>
            <w:r w:rsidRPr="00D566FD">
              <w:rPr>
                <w:sz w:val="20"/>
                <w:szCs w:val="20"/>
              </w:rPr>
              <w:t>VR (Volume Rendering)</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ind w:left="133"/>
              <w:rPr>
                <w:sz w:val="20"/>
                <w:szCs w:val="20"/>
              </w:rPr>
            </w:pPr>
            <w:r w:rsidRPr="00D566FD">
              <w:rPr>
                <w:sz w:val="20"/>
                <w:szCs w:val="20"/>
              </w:rPr>
              <w:t>Reformatowanie wielopłaszczyznowe (MPR), rekonstrukcje wzdłuż dowolnej prostej (równoległe lub promieniste) lub krzywej</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rPr>
                <w:sz w:val="20"/>
                <w:szCs w:val="20"/>
              </w:rPr>
            </w:pPr>
            <w:r w:rsidRPr="00D566FD">
              <w:rPr>
                <w:sz w:val="20"/>
                <w:szCs w:val="20"/>
              </w:rPr>
              <w:t>Zaawansowana rejestracja i rozpoznawanie anatomii w oparciu o algorytmy sztucznej inteligencji pozwalająca na:</w:t>
            </w:r>
          </w:p>
          <w:p w:rsidR="00F03CD8" w:rsidRPr="00D566FD" w:rsidRDefault="00F03CD8" w:rsidP="00F03CD8">
            <w:pPr>
              <w:pStyle w:val="Akapitzlist"/>
              <w:numPr>
                <w:ilvl w:val="0"/>
                <w:numId w:val="29"/>
              </w:numPr>
              <w:suppressAutoHyphens w:val="0"/>
              <w:ind w:left="630"/>
              <w:rPr>
                <w:sz w:val="20"/>
                <w:szCs w:val="20"/>
              </w:rPr>
            </w:pPr>
            <w:r w:rsidRPr="00D566FD">
              <w:rPr>
                <w:sz w:val="20"/>
                <w:szCs w:val="20"/>
              </w:rPr>
              <w:t>automatyczne rekonstrukcje MPR/widoki zorientowane anatomicznie dla chirurgów/ortopedów</w:t>
            </w:r>
          </w:p>
          <w:p w:rsidR="00F03CD8" w:rsidRPr="00D566FD" w:rsidRDefault="00F03CD8" w:rsidP="00F03CD8">
            <w:pPr>
              <w:pStyle w:val="Akapitzlist"/>
              <w:numPr>
                <w:ilvl w:val="0"/>
                <w:numId w:val="29"/>
              </w:numPr>
              <w:suppressAutoHyphens w:val="0"/>
              <w:ind w:left="630"/>
              <w:rPr>
                <w:sz w:val="20"/>
                <w:szCs w:val="20"/>
              </w:rPr>
            </w:pPr>
            <w:r w:rsidRPr="00D566FD">
              <w:rPr>
                <w:sz w:val="20"/>
                <w:szCs w:val="20"/>
              </w:rPr>
              <w:t>automatyczne generowanie rekonstrukcji wzdłuż linii kręgosłupa</w:t>
            </w:r>
          </w:p>
          <w:p w:rsidR="00F03CD8" w:rsidRPr="00D566FD" w:rsidRDefault="00F03CD8" w:rsidP="00F03CD8">
            <w:pPr>
              <w:ind w:left="133"/>
              <w:rPr>
                <w:sz w:val="20"/>
                <w:szCs w:val="20"/>
              </w:rPr>
            </w:pPr>
            <w:r w:rsidRPr="00D566FD">
              <w:rPr>
                <w:sz w:val="20"/>
                <w:szCs w:val="20"/>
              </w:rPr>
              <w:t>wstępny zakres (rozmiar, ilość warstw) oraz orientacja rekonstrukcji jest ustawiona automatycznie, zależnie od anatomii.</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snapToGrid w:val="0"/>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Oprogramowanie do manipulacji obrazem (przedstawienie w negatywie, obrót obrazu i odbicia lustrzane, powiększenie obrazu, dodawanie obrazów)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 xml:space="preserve">Oprogramowanie do wirtualnej endoskopii umożliwiające endoskopię dróg powietrznych itp., z przekrojami w trzech głównych płaszczyznach (wraz z interaktywną synchronizacją </w:t>
            </w:r>
          </w:p>
          <w:p w:rsidR="00F03CD8" w:rsidRPr="00D566FD" w:rsidRDefault="00F03CD8" w:rsidP="00F03CD8">
            <w:pPr>
              <w:snapToGrid w:val="0"/>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Oprogramowanie do wirtualnej kolonografii, umożliwiające:</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automatyczną segmentację jelita grubego,</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jednoczesną prezentację wnętrza jelita i projekcję przekrojów w trzech głównych płaszczyznach.</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jednoczesną prezentację badania kolonografii w dwóch pozycjach (na brzuchu i na plecach) z synchronizacją przestrzenną.</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 xml:space="preserve">pomiary polipów w widoku wewnątrzjelitowym 3D, </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 xml:space="preserve">automatyczne zaznaczanie kolorem resztek kałowych tzw. stool tagging, </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 xml:space="preserve">ukrywanie jelita cienkiego, </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wyświetlanie odległości od odbytnicy</w:t>
            </w:r>
          </w:p>
          <w:p w:rsidR="00F03CD8" w:rsidRPr="00D566FD" w:rsidRDefault="00F03CD8" w:rsidP="00F03CD8">
            <w:pPr>
              <w:snapToGrid w:val="0"/>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Możliwość rozwinięcia ściany jelita na płaszczyźnie w postaci jednej wstęgi.</w:t>
            </w:r>
          </w:p>
          <w:p w:rsidR="00F03CD8" w:rsidRPr="00D566FD" w:rsidRDefault="00F03CD8" w:rsidP="00F03CD8">
            <w:pPr>
              <w:snapToGrid w:val="0"/>
              <w:rPr>
                <w:sz w:val="20"/>
                <w:szCs w:val="20"/>
              </w:rPr>
            </w:pPr>
            <w:r w:rsidRPr="00D566FD">
              <w:rPr>
                <w:sz w:val="20"/>
                <w:szCs w:val="20"/>
              </w:rPr>
              <w:t>Automatyczna detekcja polipów</w:t>
            </w:r>
          </w:p>
          <w:p w:rsidR="00F03CD8" w:rsidRPr="00D566FD" w:rsidRDefault="00F03CD8" w:rsidP="00F03CD8">
            <w:pPr>
              <w:snapToGrid w:val="0"/>
              <w:ind w:left="133"/>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Automatyczne usuwanie struktur kostnych z pozostawieniem wyłącznie zakontrastowanego drzewa naczyniowego. Możliwość prezentacji układu naczyniowego oraz przeziernych struktur kostnych w czasie rzeczywistym.</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Oprogramowanie do angiografii CT umożliwiające:</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 xml:space="preserve">automatyczną identyfikację i izolację zakontrastowanego naczynia z objętości badanej, </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 xml:space="preserve">rozwinięcie wzdłuż linii centralnej naczynia, </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lastRenderedPageBreak/>
              <w:t xml:space="preserve">pomiar średnicy, pola przekroju w płaszczyźnie prostopadłej do osi naczynia, </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 xml:space="preserve">automatyczne wyznaczanie stenozy, </w:t>
            </w:r>
          </w:p>
          <w:p w:rsidR="00F03CD8" w:rsidRPr="00D566FD" w:rsidRDefault="00F03CD8" w:rsidP="00F03CD8">
            <w:pPr>
              <w:pStyle w:val="Akapitzlist"/>
              <w:numPr>
                <w:ilvl w:val="0"/>
                <w:numId w:val="29"/>
              </w:numPr>
              <w:suppressAutoHyphens w:val="0"/>
              <w:snapToGrid w:val="0"/>
              <w:ind w:left="630"/>
              <w:rPr>
                <w:sz w:val="20"/>
                <w:szCs w:val="20"/>
              </w:rPr>
            </w:pPr>
            <w:r w:rsidRPr="00D566FD">
              <w:rPr>
                <w:sz w:val="20"/>
                <w:szCs w:val="20"/>
                <w:lang w:eastAsia="pl-PL"/>
              </w:rPr>
              <w:t>automatyczna</w:t>
            </w:r>
            <w:r w:rsidRPr="00D566FD">
              <w:rPr>
                <w:sz w:val="20"/>
                <w:szCs w:val="20"/>
              </w:rPr>
              <w:t xml:space="preserve"> segmentację i automatyczne pomiary</w:t>
            </w:r>
          </w:p>
          <w:p w:rsidR="00F03CD8" w:rsidRPr="00D566FD" w:rsidRDefault="00F03CD8" w:rsidP="00F03CD8">
            <w:pPr>
              <w:snapToGrid w:val="0"/>
              <w:ind w:left="133"/>
              <w:rPr>
                <w:sz w:val="20"/>
                <w:szCs w:val="20"/>
              </w:rPr>
            </w:pPr>
            <w:r w:rsidRPr="00D566FD">
              <w:rPr>
                <w:sz w:val="20"/>
                <w:szCs w:val="20"/>
              </w:rPr>
              <w:t>-  jednoczesny dostęp dla min. 2 użytkowników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lastRenderedPageBreak/>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Wsparcie w badaniach CT w procesie planowania stentu, polegające na generowaniu raportów zawierających pomiary oraz zdjęcia, pozwalających  na zamawianie dedykowanych stentów naczyniowych</w:t>
            </w:r>
          </w:p>
          <w:p w:rsidR="00F03CD8" w:rsidRPr="00D566FD" w:rsidRDefault="00F03CD8" w:rsidP="00F03CD8">
            <w:pPr>
              <w:snapToGrid w:val="0"/>
              <w:ind w:left="133"/>
              <w:rPr>
                <w:sz w:val="20"/>
                <w:szCs w:val="20"/>
              </w:rPr>
            </w:pPr>
            <w:r w:rsidRPr="00D566FD">
              <w:rPr>
                <w:sz w:val="20"/>
                <w:szCs w:val="20"/>
              </w:rPr>
              <w:t>-  jednoczesny dostęp dla min. 2 użytkowników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 xml:space="preserve">Oprogramowanie umożliwiające wyświetlanie obrazów monoenergetycznych o ściśle określonej energii  pochodzących z akwizycji dwuenergetycznej CT, w tym z </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rPr>
              <w:t xml:space="preserve">wizualizacją </w:t>
            </w:r>
            <w:r w:rsidRPr="00D566FD">
              <w:rPr>
                <w:sz w:val="20"/>
                <w:szCs w:val="20"/>
                <w:lang w:eastAsia="pl-PL"/>
              </w:rPr>
              <w:t xml:space="preserve">obrazu optymalnego kontrastu, </w:t>
            </w:r>
          </w:p>
          <w:p w:rsidR="00F03CD8" w:rsidRPr="00D566FD" w:rsidRDefault="00F03CD8" w:rsidP="00F03CD8">
            <w:pPr>
              <w:pStyle w:val="Akapitzlist"/>
              <w:numPr>
                <w:ilvl w:val="0"/>
                <w:numId w:val="29"/>
              </w:numPr>
              <w:suppressAutoHyphens w:val="0"/>
              <w:snapToGrid w:val="0"/>
              <w:ind w:left="630"/>
              <w:rPr>
                <w:sz w:val="20"/>
                <w:szCs w:val="20"/>
              </w:rPr>
            </w:pPr>
            <w:r w:rsidRPr="00D566FD">
              <w:rPr>
                <w:sz w:val="20"/>
                <w:szCs w:val="20"/>
                <w:lang w:eastAsia="pl-PL"/>
              </w:rPr>
              <w:t>możliwością red</w:t>
            </w:r>
            <w:r w:rsidRPr="00D566FD">
              <w:rPr>
                <w:sz w:val="20"/>
                <w:szCs w:val="20"/>
              </w:rPr>
              <w:t>ukcji artefaktów od metalowych przedmiotów.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 xml:space="preserve">Oprogramowanie do oceny perfuzji mózgu umożliwiające ocenę ilościową i jakościową (mapy barwne) co najmniej następujących parametrów: </w:t>
            </w:r>
          </w:p>
          <w:p w:rsidR="00F03CD8" w:rsidRPr="00D566FD" w:rsidRDefault="00F03CD8" w:rsidP="00F03CD8">
            <w:pPr>
              <w:pStyle w:val="Akapitzlist"/>
              <w:numPr>
                <w:ilvl w:val="0"/>
                <w:numId w:val="29"/>
              </w:numPr>
              <w:suppressAutoHyphens w:val="0"/>
              <w:snapToGrid w:val="0"/>
              <w:ind w:left="630"/>
              <w:rPr>
                <w:sz w:val="20"/>
                <w:szCs w:val="20"/>
              </w:rPr>
            </w:pPr>
            <w:r w:rsidRPr="00D566FD">
              <w:rPr>
                <w:sz w:val="20"/>
                <w:szCs w:val="20"/>
              </w:rPr>
              <w:t xml:space="preserve">rBF (miejscowy przepływ krwi), </w:t>
            </w:r>
          </w:p>
          <w:p w:rsidR="00F03CD8" w:rsidRPr="00D566FD" w:rsidRDefault="00F03CD8" w:rsidP="00F03CD8">
            <w:pPr>
              <w:pStyle w:val="Akapitzlist"/>
              <w:numPr>
                <w:ilvl w:val="0"/>
                <w:numId w:val="29"/>
              </w:numPr>
              <w:suppressAutoHyphens w:val="0"/>
              <w:snapToGrid w:val="0"/>
              <w:ind w:left="630"/>
              <w:rPr>
                <w:sz w:val="20"/>
                <w:szCs w:val="20"/>
              </w:rPr>
            </w:pPr>
            <w:r w:rsidRPr="00D566FD">
              <w:rPr>
                <w:sz w:val="20"/>
                <w:szCs w:val="20"/>
              </w:rPr>
              <w:t xml:space="preserve">rBV (miejscowa objętość krwi) </w:t>
            </w:r>
          </w:p>
          <w:p w:rsidR="00F03CD8" w:rsidRPr="00D566FD" w:rsidRDefault="00F03CD8" w:rsidP="00F03CD8">
            <w:pPr>
              <w:pStyle w:val="Akapitzlist"/>
              <w:numPr>
                <w:ilvl w:val="0"/>
                <w:numId w:val="29"/>
              </w:numPr>
              <w:suppressAutoHyphens w:val="0"/>
              <w:snapToGrid w:val="0"/>
              <w:ind w:left="630"/>
              <w:rPr>
                <w:sz w:val="20"/>
                <w:szCs w:val="20"/>
              </w:rPr>
            </w:pPr>
            <w:r w:rsidRPr="00D566FD">
              <w:rPr>
                <w:sz w:val="20"/>
                <w:szCs w:val="20"/>
              </w:rPr>
              <w:t xml:space="preserve">TTP (czas do szczytu krzywej wzmocnienia) </w:t>
            </w:r>
          </w:p>
          <w:p w:rsidR="00F03CD8" w:rsidRPr="00D566FD" w:rsidRDefault="00F03CD8" w:rsidP="00F03CD8">
            <w:pPr>
              <w:pStyle w:val="Akapitzlist"/>
              <w:numPr>
                <w:ilvl w:val="0"/>
                <w:numId w:val="29"/>
              </w:numPr>
              <w:suppressAutoHyphens w:val="0"/>
              <w:snapToGrid w:val="0"/>
              <w:ind w:left="630"/>
              <w:rPr>
                <w:sz w:val="20"/>
                <w:szCs w:val="20"/>
              </w:rPr>
            </w:pPr>
            <w:r w:rsidRPr="00D566FD">
              <w:rPr>
                <w:sz w:val="20"/>
                <w:szCs w:val="20"/>
              </w:rPr>
              <w:t xml:space="preserve">MTT (średni czas przejścia) </w:t>
            </w:r>
          </w:p>
          <w:p w:rsidR="00F03CD8" w:rsidRPr="00D566FD" w:rsidRDefault="00F03CD8" w:rsidP="00F03CD8">
            <w:pPr>
              <w:pStyle w:val="Akapitzlist"/>
              <w:numPr>
                <w:ilvl w:val="0"/>
                <w:numId w:val="29"/>
              </w:numPr>
              <w:suppressAutoHyphens w:val="0"/>
              <w:snapToGrid w:val="0"/>
              <w:ind w:left="630"/>
              <w:rPr>
                <w:sz w:val="20"/>
                <w:szCs w:val="20"/>
              </w:rPr>
            </w:pPr>
            <w:r w:rsidRPr="00D566FD">
              <w:rPr>
                <w:sz w:val="20"/>
                <w:szCs w:val="20"/>
              </w:rPr>
              <w:t>PS (ocena bariery przepuszczalności błon komórkowych)</w:t>
            </w:r>
          </w:p>
          <w:p w:rsidR="00F03CD8" w:rsidRPr="00D566FD" w:rsidRDefault="00F03CD8" w:rsidP="00F03CD8">
            <w:pPr>
              <w:snapToGrid w:val="0"/>
              <w:ind w:left="133"/>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 xml:space="preserve">Funkcjonalność szybkiego i powtarzalnego automatycznego generowania map perfuzyjnych bez koniczności ręcznego otwierania badania na stacji lekarskiej oraz ich archiwizowania na potrzeby szybkiej oceny badań SOR (m.in. udarów). </w:t>
            </w:r>
          </w:p>
          <w:p w:rsidR="00F03CD8" w:rsidRPr="00D566FD" w:rsidRDefault="00F03CD8" w:rsidP="00F03CD8">
            <w:pPr>
              <w:snapToGrid w:val="0"/>
              <w:rPr>
                <w:sz w:val="20"/>
                <w:szCs w:val="20"/>
              </w:rPr>
            </w:pPr>
            <w:r w:rsidRPr="00D566FD">
              <w:rPr>
                <w:sz w:val="20"/>
                <w:szCs w:val="20"/>
              </w:rPr>
              <w:t xml:space="preserve">Możliwość natychmiastowego wysłania wygenerowanych map do aparatu zabiegowego. </w:t>
            </w:r>
          </w:p>
          <w:p w:rsidR="00F03CD8" w:rsidRPr="00D566FD" w:rsidRDefault="00F03CD8" w:rsidP="00F03CD8">
            <w:pPr>
              <w:snapToGrid w:val="0"/>
              <w:rPr>
                <w:sz w:val="20"/>
                <w:szCs w:val="20"/>
              </w:rPr>
            </w:pPr>
            <w:r w:rsidRPr="00D566FD">
              <w:rPr>
                <w:sz w:val="20"/>
                <w:szCs w:val="20"/>
              </w:rPr>
              <w:t>Możliwość tworzenia własnego szablonu opracowywania badań perfuzyjnych (makro).</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Aplikacja do oceny udarów niedokrwiennych w badaniach badań CT, realizująca:</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automatyczna ocena badań CT bez kontrastu (natywnych) wraz z określeniem parametru umożliwiającego oszacowanie rozległości i zaawansowania strefy niedokrwienia,</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automatyczne generowanie pomiarów/map bez konieczności ręcznego otwierania badania na stacji lekarskiej automatyczne wysyłanie pomiarów/map do systemu PACS</w:t>
            </w:r>
          </w:p>
          <w:p w:rsidR="00F03CD8" w:rsidRPr="00D566FD" w:rsidRDefault="00F03CD8" w:rsidP="00F03CD8">
            <w:pPr>
              <w:snapToGrid w:val="0"/>
              <w:ind w:left="133"/>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Oprogramowanie do automatycznej lub ręcznej segmentacji 3D i oceny krwiaków w mózgu z serii bez kontrastu wraz z automatycznym obliczaniem objętości krwiaka oraz jego krótkiej i długiej osi</w:t>
            </w:r>
          </w:p>
          <w:p w:rsidR="00F03CD8" w:rsidRPr="00D566FD" w:rsidRDefault="00F03CD8" w:rsidP="00F03CD8">
            <w:pPr>
              <w:snapToGrid w:val="0"/>
              <w:ind w:left="133"/>
              <w:rPr>
                <w:sz w:val="20"/>
                <w:szCs w:val="20"/>
              </w:rPr>
            </w:pPr>
            <w:r w:rsidRPr="00D566FD">
              <w:rPr>
                <w:sz w:val="20"/>
                <w:szCs w:val="20"/>
              </w:rPr>
              <w:lastRenderedPageBreak/>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lastRenderedPageBreak/>
              <w:t xml:space="preserve">TAK, </w:t>
            </w:r>
          </w:p>
          <w:p w:rsidR="00F03CD8" w:rsidRPr="00D566FD" w:rsidRDefault="00F03CD8" w:rsidP="00F03CD8">
            <w:pPr>
              <w:snapToGrid w:val="0"/>
              <w:jc w:val="center"/>
              <w:rPr>
                <w:sz w:val="20"/>
                <w:szCs w:val="20"/>
              </w:rPr>
            </w:pPr>
            <w:r w:rsidRPr="00D566FD">
              <w:rPr>
                <w:sz w:val="20"/>
                <w:szCs w:val="20"/>
              </w:rPr>
              <w:t>podać rodzaj</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Oprogramowanie do segmentacji 3D i oceny tętniaków w mózgu z serii z kontrastem wraz z automatycznym lub ręcznymi pomiarami min.: objętości tętniaka, minimalnej i maksymalnej długości tętniaka oraz maksymalnej i minimalnej średnicy szyjki tętniaka</w:t>
            </w:r>
          </w:p>
          <w:p w:rsidR="00F03CD8" w:rsidRPr="00D566FD" w:rsidRDefault="00F03CD8" w:rsidP="00F03CD8">
            <w:pPr>
              <w:snapToGrid w:val="0"/>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 xml:space="preserve">TAK, </w:t>
            </w:r>
          </w:p>
          <w:p w:rsidR="00F03CD8" w:rsidRPr="00D566FD" w:rsidRDefault="00F03CD8" w:rsidP="00F03CD8">
            <w:pPr>
              <w:snapToGrid w:val="0"/>
              <w:jc w:val="center"/>
              <w:rPr>
                <w:sz w:val="20"/>
                <w:szCs w:val="20"/>
              </w:rPr>
            </w:pPr>
            <w:r w:rsidRPr="00D566FD">
              <w:rPr>
                <w:sz w:val="20"/>
                <w:szCs w:val="20"/>
              </w:rPr>
              <w:t>podać rodzaj</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Funkcjonalność automatycznego generowania rekonstrukcji z badań dwuenergetycznych, np. map barwnych, serii o wybranej energii, na potrzeby łatwej oceny badań dwuenergetycznych z dowolnego stanowiska (np. przeglądarki PACS), nie wymagające uruchamiania dedykowanej aplikacji dwuenergetycznej.</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- 5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Automatyczne porównywanie badań CT w 3D, z kolorowym zaznaczeniem zmian pomiędzy badaniami realizujące:</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automatyczne zarejestrowanie/załadowanie/wyświetlenie badania bieżącego i poprzedniego bez konieczności ręcznej interakcji przez użytkownika,</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automatyczne zaznaczenie w kolorze (np. pomarańczowy kolor zwiększenie gęstości HU, niebieski zmniejszenie HU) wszelkich zmian w budowie płuc pomiędzy dwoma badaniami CT.</w:t>
            </w:r>
          </w:p>
          <w:p w:rsidR="00F03CD8" w:rsidRPr="00D566FD" w:rsidRDefault="00F03CD8" w:rsidP="00F03CD8">
            <w:pPr>
              <w:snapToGrid w:val="0"/>
              <w:ind w:left="133"/>
              <w:rPr>
                <w:sz w:val="20"/>
                <w:szCs w:val="20"/>
              </w:rPr>
            </w:pPr>
            <w:r w:rsidRPr="00D566FD">
              <w:rPr>
                <w:sz w:val="20"/>
                <w:szCs w:val="20"/>
              </w:rPr>
              <w:t>-  jednoczesny dostęp dla min. 2 użytkowników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- 5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Automatyczne oznaczanie kręgów kręgosłupa w badaniach CT.</w:t>
            </w:r>
          </w:p>
          <w:p w:rsidR="00F03CD8" w:rsidRPr="00D566FD" w:rsidRDefault="00F03CD8" w:rsidP="00F03CD8">
            <w:pPr>
              <w:snapToGrid w:val="0"/>
              <w:rPr>
                <w:sz w:val="20"/>
                <w:szCs w:val="20"/>
              </w:rPr>
            </w:pPr>
            <w:r w:rsidRPr="00D566FD">
              <w:rPr>
                <w:sz w:val="20"/>
                <w:szCs w:val="20"/>
              </w:rPr>
              <w:t>Automatyczne oznaczanie żeber w badaniach CT.</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Oprogramowanie do efektywnej oceny badań onkologicznych z możliwością segmentacji zmiany, możliwością porównywania wielu badań tego samego pacjenta jednocześnie, wraz z synchronizacją przestrzenną</w:t>
            </w:r>
          </w:p>
          <w:p w:rsidR="00F03CD8" w:rsidRPr="00D566FD" w:rsidRDefault="00F03CD8" w:rsidP="00F03CD8">
            <w:pPr>
              <w:snapToGrid w:val="0"/>
              <w:ind w:left="133"/>
              <w:rPr>
                <w:sz w:val="20"/>
                <w:szCs w:val="20"/>
              </w:rPr>
            </w:pPr>
            <w:r w:rsidRPr="00D566FD">
              <w:rPr>
                <w:sz w:val="20"/>
                <w:szCs w:val="20"/>
              </w:rPr>
              <w:t>-  jednoczesny dostęp dla min. 2 użytkowników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Oprogramowanie do automatycznej segmentacji  i prezentacji w 3D zmian w narządach miąższowych,  w tym w wątrobie oraz węzłach chłonnych wraz z automatycznym pomiarem zmiany zgodnie z RECIST 1.1, WHO i jej objętości</w:t>
            </w:r>
          </w:p>
          <w:p w:rsidR="00F03CD8" w:rsidRPr="00D566FD" w:rsidRDefault="00F03CD8" w:rsidP="00F03CD8">
            <w:pPr>
              <w:snapToGrid w:val="0"/>
              <w:ind w:left="133"/>
              <w:rPr>
                <w:sz w:val="20"/>
                <w:szCs w:val="20"/>
              </w:rPr>
            </w:pPr>
            <w:r w:rsidRPr="00D566FD">
              <w:rPr>
                <w:sz w:val="20"/>
                <w:szCs w:val="20"/>
              </w:rPr>
              <w:t>-  jednoczesny dostęp dla min. 2 użytkowników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9A0433" w:rsidP="00F03CD8">
            <w:pPr>
              <w:snapToGrid w:val="0"/>
              <w:rPr>
                <w:sz w:val="20"/>
                <w:szCs w:val="20"/>
              </w:rPr>
            </w:pPr>
            <w:r>
              <w:rPr>
                <w:sz w:val="20"/>
                <w:szCs w:val="20"/>
              </w:rPr>
              <w:t>O</w:t>
            </w:r>
            <w:r w:rsidR="00F03CD8" w:rsidRPr="00D566FD">
              <w:rPr>
                <w:sz w:val="20"/>
                <w:szCs w:val="20"/>
              </w:rPr>
              <w:t>programowanie do efektywnej oceny zmian ogniskowych w płucach z automatyczną identyfikacją zmian guzkowych w miąższu i przyopłucnowych przez program komputerowy, z możliwością zapamiętywania zmian, automatyczna ocena dynamiki wielkości zmian</w:t>
            </w:r>
          </w:p>
          <w:p w:rsidR="00F03CD8" w:rsidRPr="00D566FD" w:rsidRDefault="00F03CD8" w:rsidP="00F03CD8">
            <w:pPr>
              <w:snapToGrid w:val="0"/>
              <w:ind w:left="133"/>
              <w:rPr>
                <w:sz w:val="20"/>
                <w:szCs w:val="20"/>
              </w:rPr>
            </w:pPr>
            <w:r w:rsidRPr="00D566FD">
              <w:rPr>
                <w:sz w:val="20"/>
                <w:szCs w:val="20"/>
              </w:rPr>
              <w:t>-  jednoczesny dostęp dla min. 2 użytkowników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Dedykowane (odrębne) algorytmy do segmentacji zmian w płucach, wątrobie oraz węzłach chłonnych</w:t>
            </w:r>
          </w:p>
          <w:p w:rsidR="00F03CD8" w:rsidRPr="00D566FD" w:rsidRDefault="00F03CD8" w:rsidP="00F03CD8">
            <w:pPr>
              <w:snapToGrid w:val="0"/>
              <w:ind w:left="133"/>
              <w:rPr>
                <w:sz w:val="20"/>
                <w:szCs w:val="20"/>
              </w:rPr>
            </w:pPr>
            <w:r w:rsidRPr="00D566FD">
              <w:rPr>
                <w:sz w:val="20"/>
                <w:szCs w:val="20"/>
              </w:rPr>
              <w:t>-  jednoczesny dostęp dla min. 2 użytkowników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Oprogramowanie do pogłębionej analizy zmian hipo/hiperdensyjnych w narządach miąższowych w oparciu o zadane poziomy gęstości HU wraz z wyznaczeniem objętości obszaru hipo/hiperdensyjnego i jego udziału procentowego do całej zmiany</w:t>
            </w:r>
          </w:p>
          <w:p w:rsidR="00F03CD8" w:rsidRPr="00D566FD" w:rsidRDefault="00F03CD8" w:rsidP="00F03CD8">
            <w:pPr>
              <w:snapToGrid w:val="0"/>
              <w:ind w:left="133"/>
              <w:rPr>
                <w:sz w:val="20"/>
                <w:szCs w:val="20"/>
              </w:rPr>
            </w:pPr>
            <w:r w:rsidRPr="00D566FD">
              <w:rPr>
                <w:sz w:val="20"/>
                <w:szCs w:val="20"/>
              </w:rPr>
              <w:t>-  jednoczesny dostęp dla min. 2 użytkowników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Oprogramowanie do automatycznej detekcji i oceny guzków płuc wraz z oceną trendów wzrostu (typu CAD)</w:t>
            </w:r>
          </w:p>
          <w:p w:rsidR="00F03CD8" w:rsidRPr="00D566FD" w:rsidRDefault="00F03CD8" w:rsidP="00F03CD8">
            <w:pPr>
              <w:snapToGrid w:val="0"/>
              <w:ind w:left="133"/>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Automatyczne przetwarzanie w tle (bez ingerencji użytkownika) przez serwer aplikacyjny niskodawkowych badań CT klatki piersiowej, na potrzeby obsługi programów przesiewowych.</w:t>
            </w:r>
          </w:p>
          <w:p w:rsidR="00F03CD8" w:rsidRPr="00D566FD" w:rsidRDefault="00F03CD8" w:rsidP="00F03CD8">
            <w:pPr>
              <w:snapToGrid w:val="0"/>
              <w:rPr>
                <w:sz w:val="20"/>
                <w:szCs w:val="20"/>
              </w:rPr>
            </w:pPr>
            <w:r w:rsidRPr="00D566FD">
              <w:rPr>
                <w:sz w:val="20"/>
                <w:szCs w:val="20"/>
              </w:rPr>
              <w:t xml:space="preserve">Oprogramowanie serwera aplikacyjnego typu Second Reader, w sposób automatyczny, bez konieczności ręcznego otwierania badań, przetwarza w tle badania CT, dokonuje wyszukań zmian w płucach typu Lung CAD, zapisuje je w seriach wynikowych DICOM w archiwum PACS. </w:t>
            </w:r>
          </w:p>
          <w:p w:rsidR="00F03CD8" w:rsidRPr="00D566FD" w:rsidRDefault="00F03CD8" w:rsidP="00F03CD8">
            <w:pPr>
              <w:snapToGrid w:val="0"/>
              <w:rPr>
                <w:sz w:val="20"/>
                <w:szCs w:val="20"/>
              </w:rPr>
            </w:pPr>
            <w:r w:rsidRPr="00D566FD">
              <w:rPr>
                <w:sz w:val="20"/>
                <w:szCs w:val="20"/>
              </w:rPr>
              <w:t>Serie wynikowe zapisane w PACS zawierają znaczniki Lung CAD wraz z towarzyszącymi warstwami.</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Oprogramowanie do oceny perfuzji wielonarządowej umożliwiające ocenę ilościową i jakościową (mapy barwne)co najmniej następujących parametrów: rBF (miejscowy przepływ krwi), rBV (miejscowa objętość krwi)</w:t>
            </w:r>
          </w:p>
          <w:p w:rsidR="00F03CD8" w:rsidRPr="00D566FD" w:rsidRDefault="00F03CD8" w:rsidP="00F03CD8">
            <w:pPr>
              <w:snapToGrid w:val="0"/>
              <w:ind w:left="133"/>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Specjalistyczne oprogramowanie do diagnostyki chorób płuc /POCHP i rozedmy miąższowej/ umożliwiające obliczenie rozedmy i analizę dróg oddechowych.</w:t>
            </w:r>
          </w:p>
          <w:p w:rsidR="00F03CD8" w:rsidRPr="00D566FD" w:rsidRDefault="00F03CD8" w:rsidP="00F03CD8">
            <w:pPr>
              <w:snapToGrid w:val="0"/>
              <w:rPr>
                <w:sz w:val="20"/>
                <w:szCs w:val="20"/>
              </w:rPr>
            </w:pPr>
            <w:r w:rsidRPr="00D566FD">
              <w:rPr>
                <w:sz w:val="20"/>
                <w:szCs w:val="20"/>
              </w:rPr>
              <w:t>Ocena drzewa oskrzelowego w przypadku pacjentów z ciężką niewydolnością oddechową, ciężkimi zaburzeniami rytmu serca z synchronizacją położenia kursora.</w:t>
            </w:r>
          </w:p>
          <w:p w:rsidR="00F03CD8" w:rsidRPr="00D566FD" w:rsidRDefault="00F03CD8" w:rsidP="00F03CD8">
            <w:pPr>
              <w:snapToGrid w:val="0"/>
              <w:ind w:left="133"/>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Aplikacja do oceny badań płuc CT realizująca:</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 xml:space="preserve">bezpośredni dostęp do podobnych przypadków referencyjnych, z uwzględnieniem na śródmiąższowych chorób płuc (ILD), w tym najnowszych przypadków Covid-19. </w:t>
            </w:r>
            <w:r w:rsidRPr="00D566FD">
              <w:rPr>
                <w:sz w:val="20"/>
                <w:szCs w:val="20"/>
                <w:lang w:eastAsia="pl-PL"/>
              </w:rPr>
              <w:br/>
              <w:t>Wsparcie diagnostyczne z użyciem technologii AI.</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zaznaczanie ROI danego obszaru zwraca najbardziej zbliżone opisy wraz z obrazami referencyjnymi</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funkcjonalność oparta o bazę danych przypadków od Thieme eRef.</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baza danych objęta ciągłą aktualizacją</w:t>
            </w:r>
          </w:p>
          <w:p w:rsidR="00F03CD8" w:rsidRPr="00D566FD" w:rsidRDefault="00F03CD8" w:rsidP="00F03CD8">
            <w:pPr>
              <w:snapToGrid w:val="0"/>
              <w:ind w:left="133"/>
              <w:rPr>
                <w:sz w:val="20"/>
                <w:szCs w:val="20"/>
              </w:rPr>
            </w:pPr>
            <w:r w:rsidRPr="00D566FD">
              <w:rPr>
                <w:sz w:val="20"/>
                <w:szCs w:val="20"/>
              </w:rPr>
              <w:t>-  jednoczesny dostęp dla min. 2 użytkowników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 xml:space="preserve">Dedykowane </w:t>
            </w:r>
            <w:bookmarkStart w:id="1" w:name="_Hlk58421965"/>
            <w:r w:rsidRPr="00D566FD">
              <w:rPr>
                <w:sz w:val="20"/>
                <w:szCs w:val="20"/>
              </w:rPr>
              <w:t>oprogramowanie do oceny badań zapalenia płuc oraz przypadków COVID-19</w:t>
            </w:r>
            <w:bookmarkEnd w:id="1"/>
            <w:r w:rsidRPr="00D566FD">
              <w:rPr>
                <w:sz w:val="20"/>
                <w:szCs w:val="20"/>
              </w:rPr>
              <w:t>.</w:t>
            </w:r>
          </w:p>
          <w:p w:rsidR="00F03CD8" w:rsidRPr="00D566FD" w:rsidRDefault="00F03CD8" w:rsidP="00F03CD8">
            <w:pPr>
              <w:snapToGrid w:val="0"/>
              <w:rPr>
                <w:sz w:val="20"/>
                <w:szCs w:val="20"/>
              </w:rPr>
            </w:pPr>
            <w:r w:rsidRPr="00D566FD">
              <w:rPr>
                <w:sz w:val="20"/>
                <w:szCs w:val="20"/>
              </w:rPr>
              <w:lastRenderedPageBreak/>
              <w:t>Wyliczanie i przedstawienie w postaci tabelarycznej następujących parametrów:</w:t>
            </w:r>
          </w:p>
          <w:p w:rsidR="00F03CD8" w:rsidRPr="00D566FD" w:rsidRDefault="00F03CD8" w:rsidP="00F03CD8">
            <w:pPr>
              <w:pStyle w:val="Akapitzlist"/>
              <w:numPr>
                <w:ilvl w:val="0"/>
                <w:numId w:val="31"/>
              </w:numPr>
              <w:snapToGrid w:val="0"/>
              <w:ind w:hanging="231"/>
              <w:rPr>
                <w:sz w:val="20"/>
                <w:szCs w:val="20"/>
                <w:lang w:eastAsia="pl-PL"/>
              </w:rPr>
            </w:pPr>
            <w:r w:rsidRPr="00D566FD">
              <w:rPr>
                <w:sz w:val="20"/>
                <w:szCs w:val="20"/>
                <w:lang w:eastAsia="pl-PL"/>
              </w:rPr>
              <w:t>indeksu nieprzejrzystości (opacities): łącznego, dla lewego i prawego płuca, oraz poszczególnych płatów,</w:t>
            </w:r>
          </w:p>
          <w:p w:rsidR="00F03CD8" w:rsidRPr="00D566FD" w:rsidRDefault="00F03CD8" w:rsidP="00F03CD8">
            <w:pPr>
              <w:pStyle w:val="Akapitzlist"/>
              <w:numPr>
                <w:ilvl w:val="0"/>
                <w:numId w:val="31"/>
              </w:numPr>
              <w:snapToGrid w:val="0"/>
              <w:ind w:hanging="231"/>
              <w:rPr>
                <w:sz w:val="20"/>
                <w:szCs w:val="20"/>
                <w:lang w:eastAsia="pl-PL"/>
              </w:rPr>
            </w:pPr>
            <w:r w:rsidRPr="00D566FD">
              <w:rPr>
                <w:sz w:val="20"/>
                <w:szCs w:val="20"/>
                <w:lang w:eastAsia="pl-PL"/>
              </w:rPr>
              <w:t>objętości: łącznej, dla lewego i prawego płuca, oraz poszczególnych płatów,</w:t>
            </w:r>
          </w:p>
          <w:p w:rsidR="00F03CD8" w:rsidRPr="00D566FD" w:rsidRDefault="00F03CD8" w:rsidP="00F03CD8">
            <w:pPr>
              <w:pStyle w:val="Akapitzlist"/>
              <w:numPr>
                <w:ilvl w:val="0"/>
                <w:numId w:val="31"/>
              </w:numPr>
              <w:snapToGrid w:val="0"/>
              <w:ind w:hanging="231"/>
              <w:rPr>
                <w:sz w:val="20"/>
                <w:szCs w:val="20"/>
                <w:lang w:eastAsia="pl-PL"/>
              </w:rPr>
            </w:pPr>
            <w:r w:rsidRPr="00D566FD">
              <w:rPr>
                <w:sz w:val="20"/>
                <w:szCs w:val="20"/>
                <w:lang w:eastAsia="pl-PL"/>
              </w:rPr>
              <w:t>objętości nieprzejrzystości (opacities): łącznej, dla lewego i prawego płuca, oraz poszczególnych płatów,</w:t>
            </w:r>
          </w:p>
          <w:p w:rsidR="00F03CD8" w:rsidRPr="00D566FD" w:rsidRDefault="00F03CD8" w:rsidP="00F03CD8">
            <w:pPr>
              <w:pStyle w:val="Akapitzlist"/>
              <w:numPr>
                <w:ilvl w:val="0"/>
                <w:numId w:val="31"/>
              </w:numPr>
              <w:snapToGrid w:val="0"/>
              <w:ind w:hanging="231"/>
              <w:rPr>
                <w:sz w:val="20"/>
                <w:szCs w:val="20"/>
                <w:lang w:eastAsia="pl-PL"/>
              </w:rPr>
            </w:pPr>
            <w:r w:rsidRPr="00D566FD">
              <w:rPr>
                <w:sz w:val="20"/>
                <w:szCs w:val="20"/>
                <w:lang w:eastAsia="pl-PL"/>
              </w:rPr>
              <w:t>udziału procentowego nieprzejrzystości (opacities): łącznego, dla lewego i prawego płuca, oraz poszczególnych płatów,</w:t>
            </w:r>
          </w:p>
          <w:p w:rsidR="00F03CD8" w:rsidRPr="00D566FD" w:rsidRDefault="00F03CD8" w:rsidP="00F03CD8">
            <w:pPr>
              <w:pStyle w:val="Akapitzlist"/>
              <w:numPr>
                <w:ilvl w:val="0"/>
                <w:numId w:val="31"/>
              </w:numPr>
              <w:snapToGrid w:val="0"/>
              <w:ind w:hanging="231"/>
              <w:rPr>
                <w:sz w:val="20"/>
                <w:szCs w:val="20"/>
                <w:lang w:eastAsia="pl-PL"/>
              </w:rPr>
            </w:pPr>
            <w:r w:rsidRPr="00D566FD">
              <w:rPr>
                <w:sz w:val="20"/>
                <w:szCs w:val="20"/>
                <w:lang w:eastAsia="pl-PL"/>
              </w:rPr>
              <w:t>średniego i standardowego odchylenia wartości HU pomiędzy wartością HU dla miąższu płuc a wykrytymi nieprzejrzystośćiami (opacities).</w:t>
            </w:r>
          </w:p>
          <w:p w:rsidR="00F03CD8" w:rsidRPr="00D566FD" w:rsidRDefault="00F03CD8" w:rsidP="00F03CD8">
            <w:pPr>
              <w:snapToGrid w:val="0"/>
              <w:rPr>
                <w:sz w:val="20"/>
                <w:szCs w:val="20"/>
              </w:rPr>
            </w:pPr>
            <w:r w:rsidRPr="00D566FD">
              <w:rPr>
                <w:sz w:val="20"/>
                <w:szCs w:val="20"/>
              </w:rPr>
              <w:t>Wizualizacja obszaru nieprzejrzystości (opacities) w widoku osiowym 2D oraz w widoku 3D VRT na tle widoku płuc.</w:t>
            </w:r>
          </w:p>
          <w:p w:rsidR="00F03CD8" w:rsidRPr="00D566FD" w:rsidRDefault="00F03CD8" w:rsidP="00F03CD8">
            <w:pPr>
              <w:snapToGrid w:val="0"/>
              <w:rPr>
                <w:sz w:val="20"/>
                <w:szCs w:val="20"/>
              </w:rPr>
            </w:pPr>
            <w:r w:rsidRPr="00D566FD">
              <w:rPr>
                <w:sz w:val="20"/>
                <w:szCs w:val="20"/>
              </w:rPr>
              <w:t>Eksport wyników w pliku DICOM.</w:t>
            </w:r>
          </w:p>
          <w:p w:rsidR="00F03CD8" w:rsidRPr="00D566FD" w:rsidRDefault="00F03CD8" w:rsidP="00F03CD8">
            <w:pPr>
              <w:snapToGrid w:val="0"/>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lastRenderedPageBreak/>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Rozszerzone funkcjonalności aplikacji do oceny badań zapalenia płuc oraz przypadków COVID-19:</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automatyczne wyliczanie parametrów, bez konieczności otwarcia badania przez użytkownika</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zakresy wartości gęstości HU wyznaczane automatycznie, bez konieczności ręcznego określania ich przez radiologa.</w:t>
            </w:r>
            <w:r w:rsidRPr="00D566FD">
              <w:rPr>
                <w:sz w:val="20"/>
                <w:szCs w:val="20"/>
              </w:rPr>
              <w:t xml:space="preserve"> </w:t>
            </w:r>
          </w:p>
          <w:p w:rsidR="00F03CD8" w:rsidRPr="00D566FD" w:rsidRDefault="00F03CD8" w:rsidP="00F03CD8">
            <w:pPr>
              <w:snapToGrid w:val="0"/>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Oprogramowanie umożliwiające analizę naczyń płuc z możliwością szybkiej oceny perfuzji płuc z wykorzystaniem danych uzyskanych w akwizycji dwuenergetycznej, realizujące:</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wyświetlanie w różnych kolorach naczyń zasilających obszary z poprawną perfuzją i ograniczoną perfuzją, np. kolor czerwony: niska ilość kontrastu, niebeski: wysoka ilość kontrastu</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 xml:space="preserve">wyświetlanie stężenia środka kontrastującego w miąższu płuc w postaci kolorowej maski (nakładki) </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ocena ilościowa z określeniem w mg/ml stężenia środka kontrastującego w zaznaczonym obszarze ROI</w:t>
            </w:r>
          </w:p>
          <w:p w:rsidR="00F03CD8" w:rsidRPr="00D566FD" w:rsidRDefault="00F03CD8" w:rsidP="00F03CD8">
            <w:pPr>
              <w:snapToGrid w:val="0"/>
              <w:ind w:left="133"/>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Oprogramowanie do oceny badań organów miąższowych (m.in. wątroby) wykonanych metodą dwuenergetyczną, umożliwiające:</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 xml:space="preserve">wyznaczenie koncentracji środka kontrastowego w postaci kolorowych map, w tkankach oraz zmianach, </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 xml:space="preserve">możliwość płynnej zmiany wyświetlania pomiędzy kolorowym obrazem środka </w:t>
            </w:r>
            <w:r w:rsidRPr="00D566FD">
              <w:rPr>
                <w:sz w:val="20"/>
                <w:szCs w:val="20"/>
                <w:lang w:eastAsia="pl-PL"/>
              </w:rPr>
              <w:lastRenderedPageBreak/>
              <w:t xml:space="preserve">kontrastującego oraz bez środka kontrastującego </w:t>
            </w:r>
          </w:p>
          <w:p w:rsidR="00F03CD8" w:rsidRPr="00D566FD" w:rsidRDefault="00F03CD8" w:rsidP="00F03CD8">
            <w:pPr>
              <w:pStyle w:val="Akapitzlist"/>
              <w:numPr>
                <w:ilvl w:val="0"/>
                <w:numId w:val="29"/>
              </w:numPr>
              <w:suppressAutoHyphens w:val="0"/>
              <w:snapToGrid w:val="0"/>
              <w:ind w:left="630"/>
              <w:rPr>
                <w:sz w:val="20"/>
                <w:szCs w:val="20"/>
              </w:rPr>
            </w:pPr>
            <w:r w:rsidRPr="00D566FD">
              <w:rPr>
                <w:sz w:val="20"/>
                <w:szCs w:val="20"/>
                <w:lang w:eastAsia="pl-PL"/>
              </w:rPr>
              <w:t>mapy stężenia</w:t>
            </w:r>
            <w:r w:rsidRPr="00D566FD">
              <w:rPr>
                <w:sz w:val="20"/>
                <w:szCs w:val="20"/>
              </w:rPr>
              <w:t xml:space="preserve"> tłuszczu w wątrobie</w:t>
            </w:r>
          </w:p>
          <w:p w:rsidR="00F03CD8" w:rsidRPr="00D566FD" w:rsidRDefault="00F03CD8" w:rsidP="00F03CD8">
            <w:pPr>
              <w:snapToGrid w:val="0"/>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lastRenderedPageBreak/>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 xml:space="preserve">Aplikacja dla szybkiej i dokładnej oceny badań SOR, w tym politraumy, obejmująca w obrębie jednej dedykowanej aplikacji klinicznej) następujące etapy oceny: </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 xml:space="preserve">ocena kostna z możliwością obracania żeber, rozwinięciem struktury kostnej klatki piersiowej na płaszczyźnie, </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ocena kręgosłupa z automatycznym wyznaczaniem linii rdzenia kręgowego, przeglądaniem w płaszczyznach prostopadłych do osi kręgosłupa</w:t>
            </w:r>
          </w:p>
          <w:p w:rsidR="00F03CD8" w:rsidRPr="00D566FD" w:rsidRDefault="00F03CD8" w:rsidP="00F03CD8">
            <w:pPr>
              <w:pStyle w:val="Akapitzlist"/>
              <w:numPr>
                <w:ilvl w:val="0"/>
                <w:numId w:val="29"/>
              </w:numPr>
              <w:suppressAutoHyphens w:val="0"/>
              <w:snapToGrid w:val="0"/>
              <w:ind w:left="630"/>
              <w:rPr>
                <w:sz w:val="20"/>
                <w:szCs w:val="20"/>
                <w:lang w:eastAsia="pl-PL"/>
              </w:rPr>
            </w:pPr>
            <w:r w:rsidRPr="00D566FD">
              <w:rPr>
                <w:sz w:val="20"/>
                <w:szCs w:val="20"/>
                <w:lang w:eastAsia="pl-PL"/>
              </w:rPr>
              <w:t xml:space="preserve">automatyczne oznakowanie kręgów kręgosłupa i żeber </w:t>
            </w:r>
          </w:p>
          <w:p w:rsidR="00F03CD8" w:rsidRPr="00D566FD" w:rsidRDefault="00F03CD8" w:rsidP="00F03CD8">
            <w:pPr>
              <w:snapToGrid w:val="0"/>
              <w:ind w:left="133"/>
              <w:rPr>
                <w:sz w:val="20"/>
                <w:szCs w:val="20"/>
              </w:rPr>
            </w:pPr>
            <w:r w:rsidRPr="00D566FD">
              <w:rPr>
                <w:sz w:val="20"/>
                <w:szCs w:val="20"/>
              </w:rPr>
              <w:t>-  jednoczesny dostęp dla min. 1 użytkownika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611"/>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Alternatywna w stosunku do innych technik wymaganych zapisami SIWZ technika renderingu 3D umożliwiająca fotorealistyczną prezentację ludzkiej anatomii działająca w czasie rzeczywistym (bez znacznych spowolnień) i zawierająca szereg zoptymalizowanych pod kątem danej anatomii presetów obrazowania oraz konfigurowalnych pod kątem danego użytkownika widoków wyświetlania.</w:t>
            </w:r>
          </w:p>
          <w:p w:rsidR="00F03CD8" w:rsidRPr="00D566FD" w:rsidRDefault="00F03CD8" w:rsidP="00F03CD8">
            <w:pPr>
              <w:snapToGrid w:val="0"/>
              <w:rPr>
                <w:sz w:val="20"/>
                <w:szCs w:val="20"/>
              </w:rPr>
            </w:pPr>
            <w:bookmarkStart w:id="2" w:name="_Hlk109041311"/>
            <w:r w:rsidRPr="00D566FD">
              <w:rPr>
                <w:sz w:val="20"/>
                <w:szCs w:val="20"/>
              </w:rPr>
              <w:t xml:space="preserve">Oprogramowanie umożliwiające tworzenie i udostępnianie obrazów. </w:t>
            </w:r>
            <w:bookmarkEnd w:id="2"/>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jc w:val="center"/>
              <w:rPr>
                <w:sz w:val="20"/>
                <w:szCs w:val="20"/>
              </w:rPr>
            </w:pPr>
            <w:r w:rsidRPr="00D566FD">
              <w:rPr>
                <w:sz w:val="20"/>
                <w:szCs w:val="20"/>
              </w:rPr>
              <w:t>TAK/NIE</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 - 10 pkt</w:t>
            </w:r>
          </w:p>
          <w:p w:rsidR="00F03CD8" w:rsidRPr="00D566FD" w:rsidRDefault="00F03CD8" w:rsidP="00F03CD8">
            <w:pPr>
              <w:snapToGrid w:val="0"/>
              <w:jc w:val="center"/>
              <w:rPr>
                <w:sz w:val="20"/>
                <w:szCs w:val="20"/>
              </w:rPr>
            </w:pPr>
            <w:r w:rsidRPr="00D566FD">
              <w:rPr>
                <w:sz w:val="20"/>
                <w:szCs w:val="20"/>
              </w:rPr>
              <w:t>NIE - 0 pkt</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cantSplit/>
          <w:trHeight w:val="371"/>
          <w:jc w:val="center"/>
        </w:trPr>
        <w:tc>
          <w:tcPr>
            <w:tcW w:w="12942" w:type="dxa"/>
            <w:gridSpan w:val="6"/>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03CD8" w:rsidRPr="00D566FD" w:rsidRDefault="00F03CD8" w:rsidP="00F03CD8">
            <w:pPr>
              <w:snapToGrid w:val="0"/>
              <w:rPr>
                <w:b/>
                <w:sz w:val="20"/>
                <w:szCs w:val="20"/>
              </w:rPr>
            </w:pPr>
            <w:r w:rsidRPr="00D566FD">
              <w:rPr>
                <w:b/>
                <w:sz w:val="20"/>
                <w:szCs w:val="20"/>
              </w:rPr>
              <w:t>VIII. POZOSTAŁE WYMAGANIA</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b/>
                <w:sz w:val="20"/>
                <w:szCs w:val="20"/>
              </w:rPr>
            </w:pPr>
          </w:p>
        </w:tc>
      </w:tr>
      <w:tr w:rsidR="00F03CD8" w:rsidRPr="00D566FD" w:rsidTr="005A09C3">
        <w:trPr>
          <w:cantSplit/>
          <w:trHeight w:val="244"/>
          <w:jc w:val="center"/>
        </w:trPr>
        <w:tc>
          <w:tcPr>
            <w:tcW w:w="12942" w:type="dxa"/>
            <w:gridSpan w:val="6"/>
            <w:vMerge/>
            <w:tcBorders>
              <w:left w:val="single" w:sz="8" w:space="0" w:color="000000"/>
              <w:bottom w:val="single" w:sz="8" w:space="0" w:color="000000"/>
              <w:right w:val="single" w:sz="8" w:space="0" w:color="000000"/>
            </w:tcBorders>
            <w:shd w:val="clear" w:color="auto" w:fill="auto"/>
            <w:vAlign w:val="center"/>
          </w:tcPr>
          <w:p w:rsidR="00F03CD8" w:rsidRPr="00D566FD" w:rsidRDefault="00F03CD8" w:rsidP="00F03CD8">
            <w:pPr>
              <w:jc w:val="center"/>
              <w:rPr>
                <w:sz w:val="20"/>
                <w:szCs w:val="20"/>
              </w:rPr>
            </w:pPr>
          </w:p>
        </w:tc>
        <w:tc>
          <w:tcPr>
            <w:tcW w:w="1561" w:type="dxa"/>
            <w:gridSpan w:val="2"/>
            <w:tcBorders>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p>
        </w:tc>
      </w:tr>
      <w:tr w:rsidR="00F03CD8" w:rsidRPr="00D566FD" w:rsidTr="005A09C3">
        <w:trPr>
          <w:gridAfter w:val="1"/>
          <w:wAfter w:w="8" w:type="dxa"/>
          <w:trHeight w:val="290"/>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pStyle w:val="Nagwek1"/>
              <w:suppressAutoHyphens w:val="0"/>
              <w:snapToGrid w:val="0"/>
              <w:jc w:val="both"/>
              <w:rPr>
                <w:rFonts w:ascii="Times New Roman" w:hAnsi="Times New Roman" w:cs="Times New Roman"/>
                <w:b/>
                <w:color w:val="auto"/>
                <w:sz w:val="20"/>
                <w:szCs w:val="20"/>
              </w:rPr>
            </w:pPr>
            <w:r w:rsidRPr="00D566FD">
              <w:rPr>
                <w:rFonts w:ascii="Times New Roman" w:hAnsi="Times New Roman" w:cs="Times New Roman"/>
                <w:color w:val="auto"/>
                <w:sz w:val="20"/>
                <w:szCs w:val="20"/>
              </w:rPr>
              <w:t>Integracja aparatu z systemem informatycznym RIS/PACS Zamawiającego (Softmed Orion/Agfa Impax) w zakresie obsługi list roboczych. Integracja i konfiguracja dostarczanego urządzenia z posiadanym systemem RIS/PACS na koszt Wykonawcy.</w:t>
            </w:r>
          </w:p>
          <w:p w:rsidR="00F03CD8" w:rsidRPr="00D566FD" w:rsidRDefault="00F03CD8" w:rsidP="00F03CD8">
            <w:pPr>
              <w:autoSpaceDE w:val="0"/>
              <w:autoSpaceDN w:val="0"/>
              <w:adjustRightInd w:val="0"/>
              <w:rPr>
                <w:sz w:val="20"/>
                <w:szCs w:val="20"/>
              </w:rPr>
            </w:pPr>
            <w:r w:rsidRPr="00D566FD">
              <w:rPr>
                <w:sz w:val="20"/>
                <w:szCs w:val="20"/>
              </w:rPr>
              <w:t>Archiwizacja danych obrazowych w systemie PACS Zamawiającego (Impax Agfa). Integracja i konfiguracja dostarczanego urządzenia z posiadanym systemem PACS na koszt Wykonawcy.</w:t>
            </w:r>
          </w:p>
          <w:p w:rsidR="00F03CD8" w:rsidRPr="00D566FD" w:rsidRDefault="00F03CD8" w:rsidP="00F03CD8">
            <w:pPr>
              <w:autoSpaceDE w:val="0"/>
              <w:autoSpaceDN w:val="0"/>
              <w:adjustRightInd w:val="0"/>
              <w:rPr>
                <w:sz w:val="20"/>
                <w:szCs w:val="20"/>
              </w:rPr>
            </w:pPr>
            <w:r w:rsidRPr="00D566FD">
              <w:rPr>
                <w:sz w:val="20"/>
                <w:szCs w:val="20"/>
              </w:rPr>
              <w:t xml:space="preserve">Konfiguracja systemów RIS (Softmed Orion) oraz PACS (Agfa Impax) może być wykonana wyłącznie przez  serwis tych systemów. Koszty związane z integracją w cenie oferty. Integracja aparatu z systemem RIS (Orion Softmed) i PACS  (Impax Agfa) Zamawiającego </w:t>
            </w:r>
            <w:r w:rsidRPr="00D566FD">
              <w:rPr>
                <w:kern w:val="2"/>
                <w:sz w:val="20"/>
                <w:szCs w:val="20"/>
              </w:rPr>
              <w:t>na podstawie licencji pozyskanych przez Zamawiającego.</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Nie dotyczy</w:t>
            </w:r>
          </w:p>
        </w:tc>
      </w:tr>
      <w:tr w:rsidR="00F03CD8" w:rsidRPr="00D566FD" w:rsidTr="005A09C3">
        <w:trPr>
          <w:gridAfter w:val="1"/>
          <w:wAfter w:w="8" w:type="dxa"/>
          <w:trHeight w:val="290"/>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Cs/>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rFonts w:eastAsia="Calibri"/>
                <w:sz w:val="20"/>
                <w:szCs w:val="20"/>
                <w:lang w:eastAsia="pl-PL"/>
              </w:rPr>
              <w:t xml:space="preserve">Duplikator płyt CD/DVD/Blue-Ray wersja z drukarka atramentową generujący trwałe podpisy na płytach. System min. dwunapędowy wraz z oprogramowaniem z możliwością nagrania płyt z dowolnie wybraną przeglądarką DICOM. Możliwość wymiany przeglądarki DICOM dołączanej do nagranej płyty. Wyposażony we wszystkie elementy oraz oprogramowaniem umożliwiające </w:t>
            </w:r>
            <w:r w:rsidRPr="00D566FD">
              <w:rPr>
                <w:iCs/>
                <w:sz w:val="20"/>
                <w:szCs w:val="20"/>
              </w:rPr>
              <w:t>podłączenie z systemami RIS/PACS w tym z istniejącym w SU Kraków systemem AGFA IMPAX, Praca w standardzie BluRay, Zasobnik płyt o pojemności min. 2x50 płyt.</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290"/>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Cs/>
                <w:sz w:val="20"/>
                <w:szCs w:val="20"/>
              </w:rPr>
            </w:pPr>
          </w:p>
        </w:tc>
        <w:tc>
          <w:tcPr>
            <w:tcW w:w="7232" w:type="dxa"/>
            <w:tcBorders>
              <w:top w:val="single" w:sz="8" w:space="0" w:color="000000"/>
              <w:left w:val="single" w:sz="8" w:space="0" w:color="000000"/>
              <w:bottom w:val="single" w:sz="8" w:space="0" w:color="000000"/>
            </w:tcBorders>
          </w:tcPr>
          <w:p w:rsidR="00F03CD8" w:rsidRPr="00452209" w:rsidRDefault="00F03CD8" w:rsidP="006B5BDA">
            <w:pPr>
              <w:jc w:val="both"/>
            </w:pPr>
            <w:r w:rsidRPr="00452209">
              <w:rPr>
                <w:sz w:val="22"/>
                <w:szCs w:val="22"/>
              </w:rPr>
              <w:t xml:space="preserve">Zestaw firmowych fantomów serwisowych do kalibracji i testów podstawowych spełniających aktualne wymogi prawne. </w:t>
            </w:r>
            <w:r w:rsidR="00452209" w:rsidRPr="00CD7D78">
              <w:rPr>
                <w:b/>
                <w:color w:val="7030A0"/>
                <w:sz w:val="22"/>
                <w:szCs w:val="22"/>
              </w:rPr>
              <w:t xml:space="preserve">Zamawiający wymaga dostarczenia fantomów umożliwiających wykonanie kontroli jakości zgodnej </w:t>
            </w:r>
            <w:r w:rsidR="00452209" w:rsidRPr="00CD7D78">
              <w:rPr>
                <w:b/>
                <w:color w:val="7030A0"/>
                <w:sz w:val="22"/>
                <w:szCs w:val="22"/>
              </w:rPr>
              <w:br/>
              <w:t>z obowiązującym prawem. Tj. Obwieszczeniem Marszałka Sejmu Rzeczypospolitej Polskiej z dnia 16 września 2021 r. w sprawie ogłoszenia jednolitego tekstu ustawy - Prawo Atomowe. Fantomy mają umożliwić wykonani</w:t>
            </w:r>
            <w:r w:rsidR="006B5BDA">
              <w:rPr>
                <w:b/>
                <w:color w:val="7030A0"/>
                <w:sz w:val="22"/>
                <w:szCs w:val="22"/>
              </w:rPr>
              <w:t>a</w:t>
            </w:r>
            <w:r w:rsidR="00452209" w:rsidRPr="00CD7D78">
              <w:rPr>
                <w:b/>
                <w:color w:val="7030A0"/>
                <w:sz w:val="22"/>
                <w:szCs w:val="22"/>
              </w:rPr>
              <w:t xml:space="preserve"> co najmniej takich testów jak, Artefakt, Wartość HU, Jednorodność obrazu, poziom szumu, ro</w:t>
            </w:r>
            <w:r w:rsidR="00D2657C">
              <w:rPr>
                <w:b/>
                <w:color w:val="7030A0"/>
                <w:sz w:val="22"/>
                <w:szCs w:val="22"/>
              </w:rPr>
              <w:t>z</w:t>
            </w:r>
            <w:r w:rsidR="00452209" w:rsidRPr="00CD7D78">
              <w:rPr>
                <w:b/>
                <w:color w:val="7030A0"/>
                <w:sz w:val="22"/>
                <w:szCs w:val="22"/>
              </w:rPr>
              <w:t>dzielczość wy</w:t>
            </w:r>
            <w:r w:rsidR="00D2657C">
              <w:rPr>
                <w:b/>
                <w:color w:val="7030A0"/>
                <w:sz w:val="22"/>
                <w:szCs w:val="22"/>
              </w:rPr>
              <w:t>s</w:t>
            </w:r>
            <w:r w:rsidR="00452209" w:rsidRPr="00CD7D78">
              <w:rPr>
                <w:b/>
                <w:color w:val="7030A0"/>
                <w:sz w:val="22"/>
                <w:szCs w:val="22"/>
              </w:rPr>
              <w:t>okokont</w:t>
            </w:r>
            <w:r w:rsidR="00D2657C">
              <w:rPr>
                <w:b/>
                <w:color w:val="7030A0"/>
                <w:sz w:val="22"/>
                <w:szCs w:val="22"/>
              </w:rPr>
              <w:t>rastowa, Geometryczna poprawność</w:t>
            </w:r>
            <w:r w:rsidR="00452209" w:rsidRPr="00CD7D78">
              <w:rPr>
                <w:b/>
                <w:color w:val="7030A0"/>
                <w:sz w:val="22"/>
                <w:szCs w:val="22"/>
              </w:rPr>
              <w:t xml:space="preserve"> obrazu, św</w:t>
            </w:r>
            <w:r w:rsidR="00D2657C">
              <w:rPr>
                <w:b/>
                <w:color w:val="7030A0"/>
                <w:sz w:val="22"/>
                <w:szCs w:val="22"/>
              </w:rPr>
              <w:t>i</w:t>
            </w:r>
            <w:r w:rsidR="00452209" w:rsidRPr="00CD7D78">
              <w:rPr>
                <w:b/>
                <w:color w:val="7030A0"/>
                <w:sz w:val="22"/>
                <w:szCs w:val="22"/>
              </w:rPr>
              <w:t>atła lokaliz</w:t>
            </w:r>
            <w:r w:rsidR="00D2657C">
              <w:rPr>
                <w:b/>
                <w:color w:val="7030A0"/>
                <w:sz w:val="22"/>
                <w:szCs w:val="22"/>
              </w:rPr>
              <w:t>a</w:t>
            </w:r>
            <w:r w:rsidR="00452209" w:rsidRPr="00CD7D78">
              <w:rPr>
                <w:b/>
                <w:color w:val="7030A0"/>
                <w:sz w:val="22"/>
                <w:szCs w:val="22"/>
              </w:rPr>
              <w:t xml:space="preserve">cyjne, ruch stołu </w:t>
            </w:r>
            <w:r w:rsidR="0049266C">
              <w:rPr>
                <w:b/>
                <w:color w:val="7030A0"/>
                <w:sz w:val="22"/>
                <w:szCs w:val="22"/>
              </w:rPr>
              <w:t>z</w:t>
            </w:r>
            <w:r w:rsidR="00452209" w:rsidRPr="00CD7D78">
              <w:rPr>
                <w:b/>
                <w:color w:val="7030A0"/>
                <w:sz w:val="22"/>
                <w:szCs w:val="22"/>
              </w:rPr>
              <w:t xml:space="preserve"> uwzględnieniem </w:t>
            </w:r>
            <w:r w:rsidR="00D2657C" w:rsidRPr="00CD7D78">
              <w:rPr>
                <w:b/>
                <w:color w:val="7030A0"/>
                <w:sz w:val="22"/>
                <w:szCs w:val="22"/>
              </w:rPr>
              <w:t>obciążenia</w:t>
            </w:r>
            <w:r w:rsidR="00452209" w:rsidRPr="00CD7D78">
              <w:rPr>
                <w:b/>
                <w:color w:val="7030A0"/>
                <w:sz w:val="22"/>
                <w:szCs w:val="22"/>
              </w:rPr>
              <w:t xml:space="preserve"> stołu do wartości min. 75 kg.</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290"/>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Cs/>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F03CD8">
            <w:pPr>
              <w:snapToGrid w:val="0"/>
              <w:rPr>
                <w:sz w:val="20"/>
                <w:szCs w:val="20"/>
              </w:rPr>
            </w:pPr>
            <w:r w:rsidRPr="00D566FD">
              <w:rPr>
                <w:sz w:val="20"/>
                <w:szCs w:val="20"/>
              </w:rPr>
              <w:t>Rolki do przesuwania pacjenta</w:t>
            </w:r>
            <w:r w:rsidR="00196E15">
              <w:rPr>
                <w:sz w:val="20"/>
                <w:szCs w:val="20"/>
              </w:rPr>
              <w:t xml:space="preserve"> </w:t>
            </w:r>
            <w:r w:rsidR="00196E15" w:rsidRPr="0087591A">
              <w:rPr>
                <w:b/>
                <w:color w:val="0070C0"/>
                <w:sz w:val="20"/>
                <w:szCs w:val="20"/>
              </w:rPr>
              <w:t>lub deska do przesuwania pacjenta</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290"/>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Cs/>
                <w:sz w:val="20"/>
                <w:szCs w:val="20"/>
              </w:rPr>
            </w:pPr>
          </w:p>
        </w:tc>
        <w:tc>
          <w:tcPr>
            <w:tcW w:w="7232" w:type="dxa"/>
            <w:tcBorders>
              <w:top w:val="single" w:sz="8" w:space="0" w:color="000000"/>
              <w:left w:val="single" w:sz="8" w:space="0" w:color="000000"/>
              <w:bottom w:val="single" w:sz="8" w:space="0" w:color="000000"/>
            </w:tcBorders>
          </w:tcPr>
          <w:p w:rsidR="00F03CD8" w:rsidRPr="00D566FD" w:rsidRDefault="00F03CD8" w:rsidP="004D4F83">
            <w:pPr>
              <w:snapToGrid w:val="0"/>
              <w:jc w:val="both"/>
              <w:rPr>
                <w:sz w:val="20"/>
                <w:szCs w:val="20"/>
              </w:rPr>
            </w:pPr>
            <w:r w:rsidRPr="00D566FD">
              <w:rPr>
                <w:sz w:val="20"/>
                <w:szCs w:val="20"/>
              </w:rPr>
              <w:t xml:space="preserve">Zestaw środkow ochrony osobistej przed promieniowaniem. Koc radiologiczny min 0,5mmPb o wymiarach min 120x80 cm – 2 sztuki. </w:t>
            </w:r>
            <w:r w:rsidRPr="00D566FD">
              <w:rPr>
                <w:sz w:val="20"/>
                <w:szCs w:val="20"/>
                <w:lang w:eastAsia="pl-PL"/>
              </w:rPr>
              <w:t>garsonka M (kamizelka 0,5mmPb, spódnica 0,25 mmPb) – min. 4 komplety, garsonka XL (kamizelka 0,5mmPb, spódnica 0,25 mmPb) – min. 4 komplety, fartuch dwustronny XXL (0,5mmPb przód, 0,25mmPb tył) – 2 sztuki, osłony tarczycy min 4 sztuki, osłona miednicy na rzep 0,5 mmPb min 45x50cm – 2 szt, osłona miednicy na pałąku 0,5 mmPb min 45x50cm – 2 szt.  okulary ochronne min 2 sztuki, przyłbice min 4 szt.</w:t>
            </w:r>
            <w:r w:rsidR="00452209">
              <w:rPr>
                <w:sz w:val="20"/>
                <w:szCs w:val="20"/>
                <w:lang w:eastAsia="pl-PL"/>
              </w:rPr>
              <w:t xml:space="preserve"> </w:t>
            </w:r>
            <w:r w:rsidR="00452209" w:rsidRPr="0008573A">
              <w:rPr>
                <w:b/>
                <w:color w:val="7030A0"/>
                <w:sz w:val="20"/>
                <w:szCs w:val="20"/>
                <w:lang w:eastAsia="pl-PL"/>
              </w:rPr>
              <w:t xml:space="preserve">Rękawice ochronne </w:t>
            </w:r>
            <w:r w:rsidR="004D4F83" w:rsidRPr="0008573A">
              <w:rPr>
                <w:b/>
                <w:color w:val="7030A0"/>
                <w:sz w:val="20"/>
                <w:szCs w:val="20"/>
                <w:lang w:eastAsia="pl-PL"/>
              </w:rPr>
              <w:t>wielorazowego użytku</w:t>
            </w:r>
            <w:r w:rsidR="006B5BDA">
              <w:rPr>
                <w:b/>
                <w:color w:val="7030A0"/>
                <w:sz w:val="20"/>
                <w:szCs w:val="20"/>
                <w:lang w:eastAsia="pl-PL"/>
              </w:rPr>
              <w:t xml:space="preserve"> </w:t>
            </w:r>
            <w:r w:rsidR="00452209" w:rsidRPr="0008573A">
              <w:rPr>
                <w:b/>
                <w:color w:val="7030A0"/>
                <w:sz w:val="20"/>
                <w:szCs w:val="20"/>
                <w:lang w:eastAsia="pl-PL"/>
              </w:rPr>
              <w:t xml:space="preserve">- cienkie wykonane z materiału chroniącego przed promieniowaniem </w:t>
            </w:r>
            <w:r w:rsidR="00452209" w:rsidRPr="006B5BDA">
              <w:rPr>
                <w:b/>
                <w:color w:val="7030A0"/>
                <w:sz w:val="20"/>
                <w:szCs w:val="20"/>
                <w:lang w:eastAsia="pl-PL"/>
              </w:rPr>
              <w:t xml:space="preserve">jonizującym </w:t>
            </w:r>
            <w:r w:rsidR="006B5BDA" w:rsidRPr="006B5BDA">
              <w:rPr>
                <w:b/>
                <w:color w:val="7030A0"/>
                <w:sz w:val="20"/>
                <w:szCs w:val="20"/>
                <w:shd w:val="clear" w:color="auto" w:fill="FFFFFF"/>
              </w:rPr>
              <w:t>(niskoenergetyczne promieniowanie X oraz gamma)</w:t>
            </w:r>
            <w:r w:rsidR="006B5BDA">
              <w:rPr>
                <w:rFonts w:ascii="Courier New" w:hAnsi="Courier New" w:cs="Courier New"/>
                <w:color w:val="2C363A"/>
                <w:sz w:val="21"/>
                <w:szCs w:val="21"/>
                <w:shd w:val="clear" w:color="auto" w:fill="FFFFFF"/>
              </w:rPr>
              <w:t xml:space="preserve"> </w:t>
            </w:r>
            <w:r w:rsidR="00452209" w:rsidRPr="0008573A">
              <w:rPr>
                <w:b/>
                <w:color w:val="7030A0"/>
                <w:sz w:val="20"/>
                <w:szCs w:val="20"/>
                <w:lang w:eastAsia="pl-PL"/>
              </w:rPr>
              <w:t xml:space="preserve">umożliwiające prace w zakresie </w:t>
            </w:r>
            <w:r w:rsidR="004D4F83" w:rsidRPr="0008573A">
              <w:rPr>
                <w:b/>
                <w:color w:val="7030A0"/>
                <w:sz w:val="20"/>
                <w:szCs w:val="20"/>
                <w:lang w:eastAsia="pl-PL"/>
              </w:rPr>
              <w:t>biopsji</w:t>
            </w:r>
            <w:r w:rsidR="00452209" w:rsidRPr="0008573A">
              <w:rPr>
                <w:b/>
                <w:color w:val="7030A0"/>
                <w:sz w:val="20"/>
                <w:szCs w:val="20"/>
                <w:lang w:eastAsia="pl-PL"/>
              </w:rPr>
              <w:t xml:space="preserve"> pod nadzorem tomograf</w:t>
            </w:r>
            <w:r w:rsidR="004D4F83" w:rsidRPr="0008573A">
              <w:rPr>
                <w:b/>
                <w:color w:val="7030A0"/>
                <w:sz w:val="20"/>
                <w:szCs w:val="20"/>
                <w:lang w:eastAsia="pl-PL"/>
              </w:rPr>
              <w:t>ii komputerowej: po 4 pary w każdym z rozmiarów S, M, L, XL.</w:t>
            </w:r>
            <w:r w:rsidR="004D4F83">
              <w:rPr>
                <w:sz w:val="20"/>
                <w:szCs w:val="20"/>
                <w:lang w:eastAsia="pl-PL"/>
              </w:rPr>
              <w:t xml:space="preserve"> </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Nie dotyczy</w:t>
            </w:r>
          </w:p>
        </w:tc>
      </w:tr>
      <w:tr w:rsidR="00646C28" w:rsidRPr="00D566FD" w:rsidTr="005A09C3">
        <w:trPr>
          <w:gridAfter w:val="1"/>
          <w:wAfter w:w="8" w:type="dxa"/>
          <w:trHeight w:val="290"/>
          <w:jc w:val="center"/>
        </w:trPr>
        <w:tc>
          <w:tcPr>
            <w:tcW w:w="883" w:type="dxa"/>
            <w:tcBorders>
              <w:top w:val="single" w:sz="8" w:space="0" w:color="000000"/>
              <w:left w:val="single" w:sz="8" w:space="0" w:color="000000"/>
              <w:bottom w:val="single" w:sz="8" w:space="0" w:color="000000"/>
            </w:tcBorders>
            <w:vAlign w:val="center"/>
          </w:tcPr>
          <w:p w:rsidR="00646C28" w:rsidRPr="00D566FD" w:rsidRDefault="00646C28" w:rsidP="00646C28">
            <w:pPr>
              <w:numPr>
                <w:ilvl w:val="0"/>
                <w:numId w:val="14"/>
              </w:numPr>
              <w:suppressAutoHyphens w:val="0"/>
              <w:snapToGrid w:val="0"/>
              <w:rPr>
                <w:bCs/>
                <w:sz w:val="20"/>
                <w:szCs w:val="20"/>
              </w:rPr>
            </w:pPr>
          </w:p>
        </w:tc>
        <w:tc>
          <w:tcPr>
            <w:tcW w:w="7232" w:type="dxa"/>
            <w:tcBorders>
              <w:top w:val="single" w:sz="8" w:space="0" w:color="000000"/>
              <w:left w:val="single" w:sz="8" w:space="0" w:color="000000"/>
              <w:bottom w:val="single" w:sz="8" w:space="0" w:color="000000"/>
            </w:tcBorders>
          </w:tcPr>
          <w:p w:rsidR="00646C28" w:rsidRPr="00D566FD" w:rsidRDefault="00646C28" w:rsidP="00646C28">
            <w:pPr>
              <w:jc w:val="both"/>
              <w:rPr>
                <w:sz w:val="20"/>
                <w:szCs w:val="20"/>
              </w:rPr>
            </w:pPr>
            <w:r w:rsidRPr="00D566FD">
              <w:rPr>
                <w:sz w:val="20"/>
                <w:szCs w:val="20"/>
              </w:rPr>
              <w:t xml:space="preserve">Automatyczny wstrzykiwacz kontrastu do tomografii komputerowej zawieszony sufitowo lub na ramieniu aparatu (nie na wózku). </w:t>
            </w:r>
          </w:p>
          <w:p w:rsidR="00646C28" w:rsidRPr="00D566FD" w:rsidRDefault="00646C28" w:rsidP="00646C28">
            <w:pPr>
              <w:jc w:val="both"/>
              <w:rPr>
                <w:sz w:val="20"/>
                <w:szCs w:val="20"/>
              </w:rPr>
            </w:pPr>
            <w:r w:rsidRPr="00D566FD">
              <w:rPr>
                <w:rFonts w:eastAsiaTheme="minorHAnsi"/>
                <w:sz w:val="20"/>
                <w:szCs w:val="20"/>
              </w:rPr>
              <w:t xml:space="preserve">Wstrzykiwacz bezwkładowy,3 kanałowy do skanera CT (2 źródła kontrastu i 1 źródło NaCl). Możliwość bezpośredniego zastosowania dwóch butelek z kontrastem każdego z dostępnych producentów środków cieniujących o pojemności od 50ml do 500ml oraz NaCl o pojemności do 1000ml. Możliwość podtrzymania temperatury wstępnie podgrzanego środka kontrastowego. Ultradźwiękowy system wykrywania pęcherzyków powietrza w wężykach wstrzykiwacza. Możliwość przeprowadzenia testu iniekcji sola fizjologiczną w celu oceny właściwego umieszczenia dostępu. Możliwość przeprowadzenia mieszania płynów za pomocą iniekcji naprzemiennej kontrastu i soli fizjologicznej w różnych stężeniach: (zawartość środka kontrastowego 15%, 20%,25% 30%,50%). Prędkości iniekcji kontrastu 0,5ml/s do 9,7 ml/s (co 0,1ml/s). Możliwość wstrzyknięcia dla każdej fazy 1ml-200ml (co 1ml). Możliwość wyboru z przygotowanego przez producenta menu wstrzykiwacza stężenia i marki różnych producentów środka kontrastowego (z uwagi na różne parametry lepkości środków </w:t>
            </w:r>
            <w:r w:rsidRPr="00D566FD">
              <w:rPr>
                <w:rFonts w:eastAsiaTheme="minorHAnsi"/>
                <w:sz w:val="20"/>
                <w:szCs w:val="20"/>
              </w:rPr>
              <w:lastRenderedPageBreak/>
              <w:t>kontrastowych). Możliwość wyboru z przygotowanego przez producenta menu wstrzykiwacza objętości butelki (w celu dokładnej kalkulacji czy ilość kontrastu zapewni możliwość wykonania zleconego badania). Możliwość wyboru z przygotowanego przez producenta menu wstrzykiwacza rozmiaru wkłucia indywidualnie dla każdego pacjenta (w celu dobrania optymalnej prędkości podania środka kontrastowego, co redukuje ryzyko wynaczynienia). Dwie identyczne konsole sterujące z interfejsem w języku polskim z możliwością wprowadzenia wszystkich parametrów badania (objętość płynów i prędkość podania, czas opóźnienia, marka i stężenie kontrastu, rozmiar wkłucia) zarówno w pokoju badań jak i w sterowni. Komunikaty graficzne i głosowe dotyczące czynności obsługowych w języku polskim wraz z możliwością wyświetlania krótkich filmów instruktażowych na obu konsolach. Możliwość wprowadzenia do pamięci wstrzykiwacza  (min. 2GB ) dedykowanych protokołów podania kontrastu i NaCl.</w:t>
            </w:r>
          </w:p>
        </w:tc>
        <w:tc>
          <w:tcPr>
            <w:tcW w:w="1701" w:type="dxa"/>
            <w:tcBorders>
              <w:top w:val="single" w:sz="8" w:space="0" w:color="000000"/>
              <w:left w:val="single" w:sz="8" w:space="0" w:color="000000"/>
              <w:bottom w:val="single" w:sz="8" w:space="0" w:color="000000"/>
            </w:tcBorders>
          </w:tcPr>
          <w:p w:rsidR="00646C28" w:rsidRPr="00CD7D78" w:rsidRDefault="00646C28" w:rsidP="00646C28">
            <w:pPr>
              <w:jc w:val="center"/>
              <w:rPr>
                <w:b/>
                <w:color w:val="7030A0"/>
                <w:sz w:val="20"/>
                <w:szCs w:val="20"/>
                <w:highlight w:val="yellow"/>
              </w:rPr>
            </w:pPr>
            <w:r w:rsidRPr="00CD7D78">
              <w:rPr>
                <w:b/>
                <w:color w:val="7030A0"/>
                <w:sz w:val="20"/>
                <w:szCs w:val="20"/>
              </w:rPr>
              <w:lastRenderedPageBreak/>
              <w:t>TAK</w:t>
            </w:r>
          </w:p>
        </w:tc>
        <w:tc>
          <w:tcPr>
            <w:tcW w:w="1417" w:type="dxa"/>
            <w:tcBorders>
              <w:top w:val="single" w:sz="8" w:space="0" w:color="000000"/>
              <w:left w:val="single" w:sz="8" w:space="0" w:color="000000"/>
              <w:bottom w:val="single" w:sz="8" w:space="0" w:color="000000"/>
            </w:tcBorders>
            <w:vAlign w:val="center"/>
          </w:tcPr>
          <w:p w:rsidR="00646C28" w:rsidRPr="00646C28" w:rsidRDefault="00646C28" w:rsidP="00646C28">
            <w:pPr>
              <w:snapToGrid w:val="0"/>
              <w:ind w:left="-70"/>
              <w:rPr>
                <w:b/>
                <w:bCs/>
                <w:sz w:val="20"/>
                <w:szCs w:val="20"/>
                <w:highlight w:val="yellow"/>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646C28" w:rsidRPr="00CD7D78" w:rsidRDefault="00646C28" w:rsidP="00646C28">
            <w:pPr>
              <w:jc w:val="center"/>
              <w:rPr>
                <w:b/>
                <w:color w:val="7030A0"/>
                <w:sz w:val="20"/>
                <w:szCs w:val="20"/>
                <w:highlight w:val="yellow"/>
              </w:rPr>
            </w:pPr>
            <w:r w:rsidRPr="00CD7D78">
              <w:rPr>
                <w:b/>
                <w:color w:val="7030A0"/>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646C28" w:rsidRPr="00646C28" w:rsidRDefault="00646C28" w:rsidP="00646C28">
            <w:pPr>
              <w:snapToGrid w:val="0"/>
              <w:jc w:val="center"/>
              <w:rPr>
                <w:sz w:val="20"/>
                <w:szCs w:val="20"/>
                <w:highlight w:val="yellow"/>
              </w:rPr>
            </w:pPr>
          </w:p>
        </w:tc>
      </w:tr>
      <w:tr w:rsidR="00F03CD8" w:rsidRPr="00D566FD" w:rsidTr="005A09C3">
        <w:trPr>
          <w:gridAfter w:val="1"/>
          <w:wAfter w:w="8" w:type="dxa"/>
          <w:trHeight w:val="290"/>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sz w:val="20"/>
                <w:szCs w:val="20"/>
              </w:rPr>
            </w:pPr>
            <w:r w:rsidRPr="00D566FD">
              <w:rPr>
                <w:sz w:val="20"/>
                <w:szCs w:val="20"/>
              </w:rPr>
              <w:t xml:space="preserve">Cieplarka do podgrzewania środków kontrastowych. Wyświetlacz wskazujący temperaturę. Pojemność komory min. </w:t>
            </w:r>
            <w:r w:rsidRPr="00FC5B92">
              <w:rPr>
                <w:b/>
                <w:strike/>
                <w:color w:val="0070C0"/>
                <w:sz w:val="20"/>
                <w:szCs w:val="20"/>
              </w:rPr>
              <w:t>30l</w:t>
            </w:r>
            <w:r w:rsidR="0042649D" w:rsidRPr="00FC5B92">
              <w:rPr>
                <w:b/>
                <w:strike/>
                <w:color w:val="0070C0"/>
                <w:sz w:val="20"/>
                <w:szCs w:val="20"/>
              </w:rPr>
              <w:t xml:space="preserve"> </w:t>
            </w:r>
            <w:r w:rsidR="0042649D" w:rsidRPr="00FC5B92">
              <w:rPr>
                <w:b/>
                <w:color w:val="0070C0"/>
                <w:sz w:val="20"/>
                <w:szCs w:val="20"/>
              </w:rPr>
              <w:t>20l</w:t>
            </w:r>
            <w:r w:rsidRPr="00FC5B92">
              <w:rPr>
                <w:b/>
                <w:color w:val="0070C0"/>
                <w:sz w:val="20"/>
                <w:szCs w:val="20"/>
              </w:rPr>
              <w:t>.</w:t>
            </w:r>
            <w:r w:rsidRPr="00D566FD">
              <w:rPr>
                <w:sz w:val="20"/>
                <w:szCs w:val="20"/>
              </w:rPr>
              <w:t xml:space="preserve"> Drzwi co najmniej pojedyncze. Zakres regulacji temperatury min. +10 do + 50st C, regulacja temperatury co 0,1 st C. Komora</w:t>
            </w:r>
            <w:r w:rsidR="0042649D">
              <w:rPr>
                <w:sz w:val="20"/>
                <w:szCs w:val="20"/>
              </w:rPr>
              <w:t xml:space="preserve"> lub obudowa </w:t>
            </w:r>
            <w:r w:rsidRPr="00D566FD">
              <w:rPr>
                <w:sz w:val="20"/>
                <w:szCs w:val="20"/>
              </w:rPr>
              <w:t xml:space="preserve"> wykonana ze stali nierdzewnej. Ilość półek min.2. </w:t>
            </w:r>
          </w:p>
          <w:p w:rsidR="00F03CD8" w:rsidRPr="00D566FD" w:rsidRDefault="00F03CD8" w:rsidP="00F03CD8">
            <w:pPr>
              <w:jc w:val="both"/>
              <w:rPr>
                <w:sz w:val="20"/>
                <w:szCs w:val="20"/>
                <w:lang w:eastAsia="pl-PL"/>
              </w:rPr>
            </w:pPr>
            <w:r w:rsidRPr="00D566FD">
              <w:rPr>
                <w:sz w:val="20"/>
                <w:szCs w:val="20"/>
                <w:lang w:eastAsia="pl-PL"/>
              </w:rPr>
              <w:t>Przeznaczoną do ogrzewania płynów infuzyjnych, irygacyjnych, środków kontrastowych oraz akcesoriów medycznych. Cechy charakterystyczne urządzenia: Obudowa wykonana ze stali nierdzewnej, wyświetlacz wskazujący temperaturę lub czas pracy.</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290"/>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pStyle w:val="Default"/>
              <w:jc w:val="both"/>
              <w:rPr>
                <w:rFonts w:ascii="Times New Roman" w:hAnsi="Times New Roman" w:cs="Times New Roman"/>
                <w:sz w:val="20"/>
                <w:szCs w:val="20"/>
              </w:rPr>
            </w:pPr>
            <w:r w:rsidRPr="00D566FD">
              <w:rPr>
                <w:rFonts w:ascii="Times New Roman" w:hAnsi="Times New Roman" w:cs="Times New Roman"/>
                <w:bCs/>
                <w:sz w:val="20"/>
                <w:szCs w:val="20"/>
              </w:rPr>
              <w:t>Oprogramowanie typu DICOM-Reader z wieczystą gwarancją do automatycznego transferu płyt CD i DVD z nagranymi obrazami DICOM do węzłów PACS (odbsługujących DICOM  C-Store). Oprogramowanie powinno umożliwiać automatyczny transfer  zawartości płyt bez bezkonieczności obsługi procesu przez użytkownika.  Oprgramowanie powinno umożliwiać transfer wszystkich obiektów zgodnych  ze standardem DICOM. Oprogramowanie powinno posiadać fukcjonalność automatycznego edycji i zamiany treści tagów DICOM przez wysłaniem do PACS według zdefiniowanych reguł. Sześć odrębnych licencji umożliwiających import z co najmniej sześciu różnych modalności do porównania (MR,TK,RTG,ANGIO,RT,MN) każda z zewnętrznym napędem CD/DVD za przyłączem typu USB.</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Nie dotyczy</w:t>
            </w:r>
          </w:p>
        </w:tc>
      </w:tr>
      <w:tr w:rsidR="00F03CD8" w:rsidRPr="00D566FD" w:rsidTr="005A09C3">
        <w:trPr>
          <w:gridAfter w:val="1"/>
          <w:wAfter w:w="8" w:type="dxa"/>
          <w:trHeight w:val="477"/>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bCs/>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Instrukcja obsługi aparatu TK w formie elektronicznej i papierowej oraz instrukcje obsługi urządzeń wyposażenia-   w języku polskim</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TAK</w:t>
            </w:r>
          </w:p>
          <w:p w:rsidR="00F03CD8" w:rsidRPr="00D566FD" w:rsidRDefault="00F03CD8" w:rsidP="00F03CD8">
            <w:pPr>
              <w:snapToGrid w:val="0"/>
              <w:jc w:val="center"/>
              <w:rPr>
                <w:sz w:val="20"/>
                <w:szCs w:val="20"/>
              </w:rPr>
            </w:pPr>
            <w:r w:rsidRPr="00D566FD">
              <w:rPr>
                <w:sz w:val="20"/>
                <w:szCs w:val="20"/>
              </w:rPr>
              <w:t>Dostarczyć wraz z dostawą</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Nie dotyczy</w:t>
            </w:r>
          </w:p>
        </w:tc>
      </w:tr>
      <w:tr w:rsidR="00F03CD8" w:rsidRPr="00D566FD" w:rsidTr="005A09C3">
        <w:trPr>
          <w:gridAfter w:val="1"/>
          <w:wAfter w:w="8" w:type="dxa"/>
          <w:trHeight w:val="347"/>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Moc podłączeniowa [kVA]</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Podać</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p>
        </w:tc>
      </w:tr>
      <w:tr w:rsidR="00F03CD8" w:rsidRPr="00D566FD" w:rsidTr="005A09C3">
        <w:trPr>
          <w:gridAfter w:val="1"/>
          <w:wAfter w:w="8" w:type="dxa"/>
          <w:trHeight w:val="329"/>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Ilość ciepła emitowana do pomieszczenia badań w trakcie skanowania [kW]</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Podać</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p>
        </w:tc>
      </w:tr>
      <w:tr w:rsidR="00F03CD8" w:rsidRPr="00D566FD" w:rsidTr="005A09C3">
        <w:trPr>
          <w:gridAfter w:val="1"/>
          <w:wAfter w:w="8" w:type="dxa"/>
          <w:trHeight w:val="398"/>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 xml:space="preserve">Zakres temperatur pracy systemu [stopnie C] </w:t>
            </w:r>
          </w:p>
        </w:tc>
        <w:tc>
          <w:tcPr>
            <w:tcW w:w="1701"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jc w:val="center"/>
              <w:rPr>
                <w:sz w:val="20"/>
                <w:szCs w:val="20"/>
              </w:rPr>
            </w:pPr>
            <w:r w:rsidRPr="00D566FD">
              <w:rPr>
                <w:sz w:val="20"/>
                <w:szCs w:val="20"/>
              </w:rPr>
              <w:t>Podać</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rPr>
                <w:sz w:val="20"/>
                <w:szCs w:val="20"/>
              </w:rPr>
            </w:pPr>
            <w:r w:rsidRPr="00D566FD">
              <w:rPr>
                <w:sz w:val="20"/>
                <w:szCs w:val="20"/>
              </w:rPr>
              <w:t>Przed rozpoczęciem prac adaptacyjnych Wykonawca ustali z Zamawiającym ostateczne usytuowanie aparatów wewnątrz pracowni TK oraz szczegóły projektu osłon stałych.</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sz w:val="20"/>
                <w:szCs w:val="20"/>
              </w:rPr>
            </w:pPr>
            <w:r w:rsidRPr="00D566FD">
              <w:rPr>
                <w:sz w:val="20"/>
                <w:szCs w:val="20"/>
              </w:rPr>
              <w:t>Montaż urządzenia – we wskazanych pomieszczeniach SU Kraków</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sz w:val="20"/>
                <w:szCs w:val="20"/>
              </w:rPr>
            </w:pPr>
            <w:r w:rsidRPr="00D566FD">
              <w:rPr>
                <w:sz w:val="20"/>
                <w:szCs w:val="20"/>
              </w:rPr>
              <w:t>Wykonawca gwarantuje, że masa systemu nie wpłynie na dopuszczalne obciążenie stropu pracowni.</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sz w:val="20"/>
                <w:szCs w:val="20"/>
              </w:rPr>
            </w:pPr>
            <w:r w:rsidRPr="00D566FD">
              <w:rPr>
                <w:sz w:val="20"/>
                <w:szCs w:val="20"/>
              </w:rPr>
              <w:t>Podać informację czy system wymaga dodatkowych (poza istniejącą infrastrukturą) instalacji chłodzących.</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sz w:val="20"/>
                <w:szCs w:val="20"/>
              </w:rPr>
            </w:pPr>
            <w:r w:rsidRPr="00D566FD">
              <w:rPr>
                <w:sz w:val="20"/>
                <w:szCs w:val="20"/>
              </w:rPr>
              <w:t>W przypadku potrzeby odprowadzenia ciepła z oferowanego systemu, urządzeń zasilających, peryferyjnych i komputerów należy dostarczyć i zainstalować odpowiedni system zapewniający pracę systemu w warunkach zgodnych z wytycznymi producenta.</w:t>
            </w:r>
          </w:p>
          <w:p w:rsidR="00F03CD8" w:rsidRPr="00D566FD" w:rsidRDefault="00F03CD8" w:rsidP="00F03CD8">
            <w:pPr>
              <w:jc w:val="both"/>
              <w:rPr>
                <w:sz w:val="20"/>
                <w:szCs w:val="20"/>
              </w:rPr>
            </w:pPr>
            <w:r w:rsidRPr="00D566FD">
              <w:rPr>
                <w:sz w:val="20"/>
                <w:szCs w:val="20"/>
              </w:rPr>
              <w:t>UWAGA: po stronie Wykonawcy wszystkie ewentualne prace i czynności projektowe (w tym dokonanie uzgodnień z projektantem szpitala) i wykonawcze.</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spacing w:line="288" w:lineRule="auto"/>
              <w:jc w:val="both"/>
              <w:rPr>
                <w:bCs/>
                <w:iCs/>
                <w:sz w:val="20"/>
                <w:szCs w:val="20"/>
              </w:rPr>
            </w:pPr>
            <w:r w:rsidRPr="00D566FD">
              <w:rPr>
                <w:bCs/>
                <w:iCs/>
                <w:sz w:val="20"/>
                <w:szCs w:val="20"/>
              </w:rPr>
              <w:t>Wykonawca gwarantuje, że jego urządzenie już po oddaniu do eksploatacji nie będzie wymagało prowadzenia przez Zamawiającego dodatkowych instalacji i innych prac związanych z eksploatacją urządzenia.</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pStyle w:val="Nagwek1"/>
              <w:keepLines w:val="0"/>
              <w:numPr>
                <w:ilvl w:val="0"/>
                <w:numId w:val="3"/>
              </w:numPr>
              <w:suppressAutoHyphens w:val="0"/>
              <w:snapToGrid w:val="0"/>
              <w:spacing w:before="0" w:line="288" w:lineRule="auto"/>
              <w:ind w:left="0" w:firstLine="0"/>
              <w:jc w:val="both"/>
              <w:rPr>
                <w:rFonts w:ascii="Times New Roman" w:hAnsi="Times New Roman" w:cs="Times New Roman"/>
                <w:b/>
                <w:bCs/>
                <w:iCs/>
                <w:color w:val="auto"/>
                <w:sz w:val="20"/>
                <w:szCs w:val="20"/>
              </w:rPr>
            </w:pPr>
            <w:r w:rsidRPr="00D566FD">
              <w:rPr>
                <w:rFonts w:ascii="Times New Roman" w:hAnsi="Times New Roman" w:cs="Times New Roman"/>
                <w:iCs/>
                <w:color w:val="auto"/>
                <w:sz w:val="20"/>
                <w:szCs w:val="20"/>
              </w:rPr>
              <w:t>Ciężar całego systemu [kg] z rozbiciem na najbardziej istotne elementy składowe.</w:t>
            </w:r>
          </w:p>
          <w:p w:rsidR="00F03CD8" w:rsidRPr="00D566FD" w:rsidRDefault="00F03CD8" w:rsidP="00F03CD8">
            <w:pPr>
              <w:snapToGrid w:val="0"/>
              <w:spacing w:line="288" w:lineRule="auto"/>
              <w:jc w:val="both"/>
              <w:rPr>
                <w:bCs/>
                <w:iCs/>
                <w:sz w:val="20"/>
                <w:szCs w:val="20"/>
              </w:rPr>
            </w:pPr>
            <w:r w:rsidRPr="00D566FD">
              <w:rPr>
                <w:bCs/>
                <w:iCs/>
                <w:sz w:val="20"/>
                <w:szCs w:val="20"/>
              </w:rPr>
              <w:t>UWAGA – Wykonawca gwarantuje jednocześnie, że masa systemu nie wpłynie na dopuszczalne obciążenie konstrukcji obiektu.</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 Podać</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sz w:val="20"/>
                <w:szCs w:val="20"/>
              </w:rPr>
            </w:pPr>
            <w:r w:rsidRPr="00D566FD">
              <w:rPr>
                <w:sz w:val="20"/>
                <w:szCs w:val="20"/>
              </w:rPr>
              <w:t>Warunki klimatyczne wymagane podczas pracy urządzenia: zakres temperatur [0C], zakres wilgotności [%]</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b/>
                <w:sz w:val="20"/>
                <w:szCs w:val="20"/>
              </w:rPr>
            </w:pPr>
            <w:r w:rsidRPr="00D566FD">
              <w:rPr>
                <w:sz w:val="20"/>
                <w:szCs w:val="20"/>
              </w:rPr>
              <w:t>W cenie oferty – niezbędne prace instalacyjne i adaptacyjne umożliwiające montaż i ergonomiczną pracę oferowanego systemu. (opracowanie projektów i realizacja), oraz dokumentacja – konieczne do odbioru i dopuszczenia do eksploatacji pracowni oraz aparatu przez uprawnione instytucje.</w:t>
            </w:r>
          </w:p>
          <w:p w:rsidR="00F03CD8" w:rsidRPr="00D566FD" w:rsidRDefault="00F03CD8" w:rsidP="00646C28">
            <w:pPr>
              <w:pStyle w:val="Tekstpodstawowy"/>
              <w:jc w:val="both"/>
              <w:rPr>
                <w:rFonts w:ascii="Times New Roman" w:hAnsi="Times New Roman"/>
                <w:b/>
                <w:szCs w:val="20"/>
              </w:rPr>
            </w:pPr>
            <w:r w:rsidRPr="00D566FD">
              <w:rPr>
                <w:rFonts w:ascii="Times New Roman" w:hAnsi="Times New Roman"/>
                <w:szCs w:val="20"/>
              </w:rPr>
              <w:t xml:space="preserve">Zakres minimalny niezbędnej adaptacji pomieszczeń co najmniej: wymiana wykładziny w Sali badań, wymiana klimatyzatorów, wymiana kanałów kablowych, malowanie wszystkich pomieszczeń. Prace w zakresie instalacji zasilającej: co najmniej opomiarowanie linii zasilającej,  dostosowanie zabezpieczeń, dostosowanie linii zasilającej. Pozostałe prace związane z wymaganą adaptacją co najmniej: wykonanie projektu osłon stałych, projekt nośności stropu, wykonanie projektów branżowych powykonawczych – w branżach w których wystąpią zmiany, zabezpieczenie terenu remontu, odbiór odpadów poremontowych oraz opakowań po dostarczanym sprzęcie, </w:t>
            </w:r>
            <w:r w:rsidRPr="00D566FD">
              <w:rPr>
                <w:rFonts w:ascii="Times New Roman" w:hAnsi="Times New Roman"/>
                <w:szCs w:val="20"/>
              </w:rPr>
              <w:lastRenderedPageBreak/>
              <w:t>dostosowanie wielkości pracowni TK</w:t>
            </w:r>
            <w:r w:rsidR="009A0433">
              <w:rPr>
                <w:rFonts w:ascii="Times New Roman" w:hAnsi="Times New Roman"/>
                <w:szCs w:val="20"/>
              </w:rPr>
              <w:t>, sterowni oraz pomieszczenia przygotowania pacjenta</w:t>
            </w:r>
            <w:r w:rsidRPr="00D566FD">
              <w:rPr>
                <w:rFonts w:ascii="Times New Roman" w:hAnsi="Times New Roman"/>
                <w:szCs w:val="20"/>
              </w:rPr>
              <w:t xml:space="preserve"> do rozmiarów umożliwiających optymalne wykorzystanie oferowanego systemu. Uzbrojenie pracowni i </w:t>
            </w:r>
            <w:r w:rsidR="009A0433" w:rsidRPr="00D566FD">
              <w:rPr>
                <w:rFonts w:ascii="Times New Roman" w:hAnsi="Times New Roman"/>
                <w:szCs w:val="20"/>
              </w:rPr>
              <w:t>opisowi</w:t>
            </w:r>
            <w:r w:rsidRPr="00D566FD">
              <w:rPr>
                <w:rFonts w:ascii="Times New Roman" w:hAnsi="Times New Roman"/>
                <w:szCs w:val="20"/>
              </w:rPr>
              <w:t xml:space="preserve"> o wymagane przyłącza 230V i LAN, montaż wymaganych osłon radiologicznych w tym drzwi i okien w nowo wydzielonej dostosowanej do oferowanego systemu sterowni. Wszystkie nowo instalowane elementy takie jak drzwi okna i osłony radiologiczne, nowe wraz z wymaganymi prawem dokumentami i certyfikatami.</w:t>
            </w:r>
            <w:r w:rsidRPr="00D566FD">
              <w:rPr>
                <w:rFonts w:ascii="Times New Roman" w:eastAsia="Arial Unicode MS" w:hAnsi="Times New Roman"/>
                <w:szCs w:val="20"/>
              </w:rPr>
              <w:t xml:space="preserve"> </w:t>
            </w:r>
            <w:r w:rsidRPr="00D566FD">
              <w:rPr>
                <w:rStyle w:val="gwp6ad392b6font"/>
                <w:rFonts w:ascii="Times New Roman" w:eastAsia="Arial Unicode MS" w:hAnsi="Times New Roman"/>
                <w:szCs w:val="20"/>
              </w:rPr>
              <w:t xml:space="preserve">Pracowni TK po adaptacji ma być kompletna i wyposażona we wszystkie niezbędne elementy i wyposażenie umożliwiające odbiór przez prawem wymagane </w:t>
            </w:r>
            <w:r w:rsidRPr="003019D0">
              <w:rPr>
                <w:rStyle w:val="gwp6ad392b6font"/>
                <w:rFonts w:ascii="Times New Roman" w:eastAsia="Arial Unicode MS" w:hAnsi="Times New Roman"/>
                <w:szCs w:val="20"/>
              </w:rPr>
              <w:t>instytucje.</w:t>
            </w:r>
            <w:r w:rsidR="00646C28" w:rsidRPr="003019D0">
              <w:rPr>
                <w:rFonts w:ascii="Times New Roman" w:hAnsi="Times New Roman"/>
                <w:color w:val="000000"/>
              </w:rPr>
              <w:t xml:space="preserve"> </w:t>
            </w:r>
            <w:r w:rsidR="00790F76">
              <w:rPr>
                <w:rFonts w:ascii="Times New Roman" w:hAnsi="Times New Roman"/>
                <w:b/>
                <w:color w:val="7030A0"/>
              </w:rPr>
              <w:t>Zamawiający wyraża zgodę</w:t>
            </w:r>
            <w:r w:rsidR="00646C28" w:rsidRPr="003019D0">
              <w:rPr>
                <w:rFonts w:ascii="Times New Roman" w:hAnsi="Times New Roman"/>
                <w:b/>
                <w:color w:val="7030A0"/>
              </w:rPr>
              <w:t xml:space="preserve"> na użycie dotychczasowego okna RTG jeżeli projekt osłon nie będzie wymagał nowego. Zamawiający wymaga wymiany stolarki drzwiowej z uwagi na wysoki stan zużycia obecnie zainstalowanych drzwi ochronnych. Zamawiający wymaga wykonania nowego układu klimatyzacji w pomieszczeniach pracownia tomografu komputerowego tj. gabinet pracowni, sterownia oraz pomieszczenie przygotowania pacjenta.</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lastRenderedPageBreak/>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sz w:val="20"/>
                <w:szCs w:val="20"/>
              </w:rPr>
            </w:pPr>
            <w:r w:rsidRPr="00D566FD">
              <w:rPr>
                <w:sz w:val="20"/>
                <w:szCs w:val="20"/>
              </w:rPr>
              <w:t>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rPr>
                <w:sz w:val="20"/>
                <w:szCs w:val="20"/>
              </w:rPr>
            </w:pPr>
            <w:r w:rsidRPr="00D566FD">
              <w:rPr>
                <w:sz w:val="20"/>
                <w:szCs w:val="20"/>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sz w:val="20"/>
                <w:szCs w:val="20"/>
              </w:rPr>
            </w:pPr>
            <w:r w:rsidRPr="00D566FD">
              <w:rPr>
                <w:sz w:val="20"/>
                <w:szCs w:val="20"/>
              </w:rPr>
              <w:t>Pełna dokumentacja powykonawcza zawierająca dokumentację architektoniczną, budowlaną, instalacyjną - w tym informacje elektryczne i teletechniczne. Projekt osłon radiologicznych w 3 egzemplarzach. Testy specjalistyczne. Testy odbiorcze w zakresie ustalonym z użytkownikiem.</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sz w:val="20"/>
                <w:szCs w:val="20"/>
              </w:rPr>
            </w:pPr>
            <w:r w:rsidRPr="00D566FD">
              <w:rPr>
                <w:sz w:val="20"/>
                <w:szCs w:val="20"/>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sz w:val="20"/>
                <w:szCs w:val="20"/>
              </w:rPr>
            </w:pPr>
            <w:r w:rsidRPr="00D566FD">
              <w:rPr>
                <w:sz w:val="20"/>
                <w:szCs w:val="20"/>
              </w:rPr>
              <w:t>Wykonawca jest odpowiedzialny za realizację całokształtu prac adaptacyjnych i instalacyjnych przy współpracy z inspektorem nadzoru Zamawiającego.</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sz w:val="20"/>
                <w:szCs w:val="20"/>
              </w:rPr>
            </w:pPr>
            <w:r w:rsidRPr="00D566FD">
              <w:rPr>
                <w:sz w:val="20"/>
                <w:szCs w:val="20"/>
              </w:rPr>
              <w:t>W cenie oferty – prace porządkowe po instalacji, odbiór zbędnych opakowań, substancji szkodliwych (o ile występują), naprawa szkód (o ile wystąpią podczas dostawy i montażu).</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r w:rsidR="00F03CD8" w:rsidRPr="00D566FD" w:rsidTr="005A09C3">
        <w:trPr>
          <w:gridAfter w:val="1"/>
          <w:wAfter w:w="8" w:type="dxa"/>
          <w:trHeight w:val="404"/>
          <w:jc w:val="center"/>
        </w:trPr>
        <w:tc>
          <w:tcPr>
            <w:tcW w:w="883" w:type="dxa"/>
            <w:tcBorders>
              <w:top w:val="single" w:sz="8" w:space="0" w:color="000000"/>
              <w:left w:val="single" w:sz="8" w:space="0" w:color="000000"/>
              <w:bottom w:val="single" w:sz="8" w:space="0" w:color="000000"/>
            </w:tcBorders>
            <w:vAlign w:val="center"/>
          </w:tcPr>
          <w:p w:rsidR="00F03CD8" w:rsidRPr="00D566FD" w:rsidRDefault="00F03CD8" w:rsidP="00F03CD8">
            <w:pPr>
              <w:numPr>
                <w:ilvl w:val="0"/>
                <w:numId w:val="14"/>
              </w:numPr>
              <w:suppressAutoHyphens w:val="0"/>
              <w:snapToGrid w:val="0"/>
              <w:rPr>
                <w:sz w:val="20"/>
                <w:szCs w:val="20"/>
              </w:rPr>
            </w:pPr>
          </w:p>
        </w:tc>
        <w:tc>
          <w:tcPr>
            <w:tcW w:w="7232" w:type="dxa"/>
            <w:tcBorders>
              <w:top w:val="single" w:sz="8" w:space="0" w:color="000000"/>
              <w:left w:val="single" w:sz="8" w:space="0" w:color="000000"/>
              <w:bottom w:val="single" w:sz="8" w:space="0" w:color="000000"/>
            </w:tcBorders>
            <w:vAlign w:val="center"/>
          </w:tcPr>
          <w:p w:rsidR="00F03CD8" w:rsidRPr="00D566FD" w:rsidRDefault="00F03CD8" w:rsidP="00F03CD8">
            <w:pPr>
              <w:jc w:val="both"/>
              <w:rPr>
                <w:sz w:val="20"/>
                <w:szCs w:val="20"/>
              </w:rPr>
            </w:pPr>
            <w:r w:rsidRPr="00D566FD">
              <w:rPr>
                <w:sz w:val="20"/>
                <w:szCs w:val="20"/>
              </w:rPr>
              <w:t>W obrębie pomieszczeń i ich otoczeniu – przygotowanie i odpowiednie zabezpieczenie dróg transportu, otworów montażowych oraz innych niezbędnych obiektów i czynności związanych z realizacją przedmiotu zamówienia.</w:t>
            </w:r>
          </w:p>
        </w:tc>
        <w:tc>
          <w:tcPr>
            <w:tcW w:w="1701" w:type="dxa"/>
            <w:tcBorders>
              <w:top w:val="single" w:sz="8" w:space="0" w:color="000000"/>
              <w:left w:val="single" w:sz="8" w:space="0" w:color="000000"/>
              <w:bottom w:val="single" w:sz="8" w:space="0" w:color="000000"/>
            </w:tcBorders>
          </w:tcPr>
          <w:p w:rsidR="00F03CD8" w:rsidRPr="00D566FD" w:rsidRDefault="00F03CD8" w:rsidP="00F03CD8">
            <w:pPr>
              <w:jc w:val="center"/>
              <w:rPr>
                <w:sz w:val="20"/>
                <w:szCs w:val="20"/>
              </w:rPr>
            </w:pPr>
            <w:r w:rsidRPr="00D566FD">
              <w:rPr>
                <w:sz w:val="20"/>
                <w:szCs w:val="20"/>
              </w:rPr>
              <w:t>TAK</w:t>
            </w:r>
          </w:p>
        </w:tc>
        <w:tc>
          <w:tcPr>
            <w:tcW w:w="1417" w:type="dxa"/>
            <w:tcBorders>
              <w:top w:val="single" w:sz="8" w:space="0" w:color="000000"/>
              <w:left w:val="single" w:sz="8" w:space="0" w:color="000000"/>
              <w:bottom w:val="single" w:sz="8" w:space="0" w:color="000000"/>
            </w:tcBorders>
            <w:vAlign w:val="center"/>
          </w:tcPr>
          <w:p w:rsidR="00F03CD8" w:rsidRPr="00D566FD" w:rsidRDefault="00F03CD8" w:rsidP="00F03CD8">
            <w:pPr>
              <w:snapToGrid w:val="0"/>
              <w:ind w:left="-70"/>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jc w:val="center"/>
              <w:rPr>
                <w:sz w:val="20"/>
                <w:szCs w:val="20"/>
              </w:rPr>
            </w:pPr>
            <w:r w:rsidRPr="00D566FD">
              <w:rPr>
                <w:sz w:val="20"/>
                <w:szCs w:val="20"/>
              </w:rPr>
              <w:t>Bez oceny</w:t>
            </w:r>
          </w:p>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F03CD8" w:rsidRPr="00D566FD" w:rsidRDefault="00F03CD8" w:rsidP="00F03CD8">
            <w:pPr>
              <w:snapToGrid w:val="0"/>
              <w:jc w:val="center"/>
              <w:rPr>
                <w:sz w:val="20"/>
                <w:szCs w:val="20"/>
              </w:rPr>
            </w:pPr>
          </w:p>
        </w:tc>
      </w:tr>
    </w:tbl>
    <w:p w:rsidR="002A4242" w:rsidRPr="00D566FD" w:rsidRDefault="002A4242" w:rsidP="002A4242">
      <w:pPr>
        <w:autoSpaceDN w:val="0"/>
        <w:spacing w:after="120" w:line="276" w:lineRule="auto"/>
        <w:jc w:val="center"/>
        <w:textAlignment w:val="baseline"/>
        <w:rPr>
          <w:rFonts w:eastAsia="Lucida Sans Unicode"/>
          <w:kern w:val="3"/>
          <w:sz w:val="20"/>
          <w:szCs w:val="20"/>
          <w:lang w:eastAsia="zh-CN" w:bidi="hi-IN"/>
        </w:rPr>
      </w:pPr>
      <w:r w:rsidRPr="00D566FD">
        <w:rPr>
          <w:rFonts w:eastAsia="Lucida Sans Unicode"/>
          <w:kern w:val="3"/>
          <w:sz w:val="20"/>
          <w:szCs w:val="20"/>
          <w:lang w:eastAsia="zh-CN" w:bidi="hi-IN"/>
        </w:rPr>
        <w:br w:type="page"/>
      </w:r>
    </w:p>
    <w:p w:rsidR="002A4242" w:rsidRPr="00D566FD" w:rsidRDefault="002A4242" w:rsidP="002A4242">
      <w:pPr>
        <w:jc w:val="center"/>
        <w:rPr>
          <w:sz w:val="20"/>
          <w:szCs w:val="20"/>
        </w:rPr>
      </w:pPr>
    </w:p>
    <w:p w:rsidR="002A4242" w:rsidRPr="00D566FD" w:rsidRDefault="002A4242" w:rsidP="002A4242">
      <w:pPr>
        <w:jc w:val="center"/>
        <w:rPr>
          <w:sz w:val="20"/>
          <w:szCs w:val="20"/>
        </w:rPr>
      </w:pPr>
    </w:p>
    <w:p w:rsidR="002A4242" w:rsidRPr="00DF6259" w:rsidRDefault="00DB4DE1" w:rsidP="002A4242">
      <w:pPr>
        <w:spacing w:line="288" w:lineRule="auto"/>
        <w:jc w:val="center"/>
        <w:rPr>
          <w:b/>
          <w:color w:val="000000" w:themeColor="text1"/>
          <w:kern w:val="2"/>
          <w:sz w:val="20"/>
          <w:szCs w:val="20"/>
          <w:u w:val="single"/>
        </w:rPr>
      </w:pPr>
      <w:r w:rsidRPr="00DF6259">
        <w:rPr>
          <w:b/>
          <w:color w:val="000000" w:themeColor="text1"/>
          <w:kern w:val="2"/>
          <w:sz w:val="20"/>
          <w:szCs w:val="20"/>
          <w:u w:val="single"/>
        </w:rPr>
        <w:t>Warunki gwarancji, szkolenia i serwisu</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31"/>
        <w:gridCol w:w="1134"/>
        <w:gridCol w:w="2835"/>
        <w:gridCol w:w="1984"/>
      </w:tblGrid>
      <w:tr w:rsidR="002A4242" w:rsidRPr="00D566FD" w:rsidTr="00436E70">
        <w:tc>
          <w:tcPr>
            <w:tcW w:w="567"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b/>
                <w:bCs/>
                <w:kern w:val="2"/>
                <w:sz w:val="20"/>
                <w:szCs w:val="20"/>
              </w:rPr>
            </w:pPr>
            <w:r w:rsidRPr="00D566FD">
              <w:rPr>
                <w:b/>
                <w:bCs/>
                <w:kern w:val="2"/>
                <w:sz w:val="20"/>
                <w:szCs w:val="20"/>
              </w:rPr>
              <w:t>Lp.</w:t>
            </w: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keepNext/>
              <w:numPr>
                <w:ilvl w:val="2"/>
                <w:numId w:val="0"/>
              </w:numPr>
              <w:tabs>
                <w:tab w:val="num" w:pos="0"/>
              </w:tabs>
              <w:snapToGrid w:val="0"/>
              <w:jc w:val="center"/>
              <w:outlineLvl w:val="2"/>
              <w:rPr>
                <w:b/>
                <w:bCs/>
                <w:kern w:val="2"/>
                <w:sz w:val="20"/>
                <w:szCs w:val="20"/>
              </w:rPr>
            </w:pPr>
            <w:r w:rsidRPr="00D566FD">
              <w:rPr>
                <w:b/>
                <w:bCs/>
                <w:kern w:val="2"/>
                <w:sz w:val="20"/>
                <w:szCs w:val="20"/>
              </w:rPr>
              <w:t>Parametr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b/>
                <w:bCs/>
                <w:kern w:val="2"/>
                <w:sz w:val="20"/>
                <w:szCs w:val="20"/>
              </w:rPr>
            </w:pPr>
            <w:r w:rsidRPr="00D566FD">
              <w:rPr>
                <w:b/>
                <w:bCs/>
                <w:kern w:val="2"/>
                <w:sz w:val="20"/>
                <w:szCs w:val="20"/>
              </w:rPr>
              <w:t>Parametr wymagany</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b/>
                <w:bCs/>
                <w:kern w:val="2"/>
                <w:sz w:val="20"/>
                <w:szCs w:val="20"/>
              </w:rPr>
            </w:pPr>
            <w:r w:rsidRPr="00D566FD">
              <w:rPr>
                <w:b/>
                <w:bCs/>
                <w:kern w:val="2"/>
                <w:sz w:val="20"/>
                <w:szCs w:val="20"/>
              </w:rPr>
              <w:t>Parametr oferowany</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b/>
                <w:bCs/>
                <w:kern w:val="2"/>
                <w:sz w:val="20"/>
                <w:szCs w:val="20"/>
              </w:rPr>
            </w:pPr>
            <w:r w:rsidRPr="00D566FD">
              <w:rPr>
                <w:b/>
                <w:bCs/>
                <w:kern w:val="2"/>
                <w:sz w:val="20"/>
                <w:szCs w:val="20"/>
              </w:rPr>
              <w:t>Sposób oceny</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tabs>
                <w:tab w:val="left" w:pos="0"/>
              </w:tabs>
              <w:snapToGrid w:val="0"/>
              <w:jc w:val="center"/>
              <w:rPr>
                <w:b/>
                <w:bCs/>
                <w:kern w:val="2"/>
                <w:sz w:val="20"/>
                <w:szCs w:val="20"/>
              </w:rPr>
            </w:pPr>
            <w:r w:rsidRPr="00D566FD">
              <w:rPr>
                <w:b/>
                <w:bCs/>
                <w:kern w:val="2"/>
                <w:sz w:val="20"/>
                <w:szCs w:val="20"/>
              </w:rPr>
              <w:t>GWARANCJE</w:t>
            </w:r>
          </w:p>
        </w:tc>
        <w:tc>
          <w:tcPr>
            <w:tcW w:w="1134"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b/>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1"/>
                <w:sz w:val="20"/>
                <w:szCs w:val="20"/>
              </w:rPr>
            </w:pP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rPr>
                <w:kern w:val="2"/>
                <w:sz w:val="20"/>
                <w:szCs w:val="20"/>
              </w:rPr>
            </w:pPr>
            <w:r w:rsidRPr="00D566FD">
              <w:rPr>
                <w:kern w:val="2"/>
                <w:sz w:val="20"/>
                <w:szCs w:val="20"/>
              </w:rPr>
              <w:t>Okres pełnej, bez wyłączeń gwarancji dla wszystkich zaoferowanych elementów tomografu komputerowego wraz z wstrzykiwaczem [liczba miesięcy]</w:t>
            </w:r>
          </w:p>
          <w:p w:rsidR="002A4242" w:rsidRPr="00D566FD" w:rsidRDefault="002A4242" w:rsidP="00436E70">
            <w:pPr>
              <w:rPr>
                <w:i/>
                <w:iCs/>
                <w:kern w:val="2"/>
                <w:sz w:val="20"/>
                <w:szCs w:val="20"/>
              </w:rPr>
            </w:pPr>
            <w:r w:rsidRPr="00D566FD">
              <w:rPr>
                <w:i/>
                <w:iCs/>
                <w:kern w:val="2"/>
                <w:sz w:val="20"/>
                <w:szCs w:val="20"/>
              </w:rPr>
              <w:t xml:space="preserve">UWAGA – należy podać pełną liczbę miesięcy. Wartości ułamkowe będą przy ocenie zaokrąglane w dół – do pełnych miesięcy. Zamawiający zastrzega, że okres rękojmi musi być równy okresowi gwarancji. </w:t>
            </w:r>
            <w:r w:rsidRPr="00D566FD">
              <w:rPr>
                <w:i/>
                <w:kern w:val="2"/>
                <w:sz w:val="20"/>
                <w:szCs w:val="20"/>
              </w:rPr>
              <w:t>Zamawiający zastrzega, że górną granicą punktacji gwarancji będzie 10 lat.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60 miesięcy</w:t>
            </w:r>
          </w:p>
        </w:tc>
        <w:tc>
          <w:tcPr>
            <w:tcW w:w="2835"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2A4242" w:rsidRPr="00D566FD" w:rsidRDefault="002A4242" w:rsidP="00436E70">
            <w:pPr>
              <w:snapToGrid w:val="0"/>
              <w:ind w:right="-12"/>
              <w:jc w:val="center"/>
              <w:rPr>
                <w:kern w:val="2"/>
                <w:sz w:val="20"/>
                <w:szCs w:val="20"/>
              </w:rPr>
            </w:pPr>
            <w:r w:rsidRPr="00D566FD">
              <w:rPr>
                <w:kern w:val="2"/>
                <w:sz w:val="20"/>
                <w:szCs w:val="20"/>
              </w:rPr>
              <w:t>Najdłuższy okres – 30 pkt. Inne – proporcjonalnie mniej względem najdłuższego okresu</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rPr>
                <w:kern w:val="2"/>
                <w:sz w:val="20"/>
                <w:szCs w:val="20"/>
              </w:rPr>
            </w:pPr>
            <w:r w:rsidRPr="00D566FD">
              <w:rPr>
                <w:kern w:val="2"/>
                <w:sz w:val="20"/>
                <w:szCs w:val="20"/>
              </w:rPr>
              <w:t>Okres pełnej, bez wyłączeń gwarancji dla urządzeń wspomagających i peryferyjnych [liczba miesięcy]</w:t>
            </w:r>
          </w:p>
          <w:p w:rsidR="002A4242" w:rsidRPr="00D566FD" w:rsidRDefault="002A4242" w:rsidP="00436E70">
            <w:pPr>
              <w:snapToGrid w:val="0"/>
              <w:rPr>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24 miesiące</w:t>
            </w:r>
          </w:p>
        </w:tc>
        <w:tc>
          <w:tcPr>
            <w:tcW w:w="2835"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2A4242" w:rsidRPr="00D566FD" w:rsidRDefault="002A4242" w:rsidP="00436E70">
            <w:pPr>
              <w:snapToGrid w:val="0"/>
              <w:ind w:right="-12"/>
              <w:jc w:val="center"/>
              <w:rPr>
                <w:kern w:val="2"/>
                <w:sz w:val="20"/>
                <w:szCs w:val="20"/>
              </w:rPr>
            </w:pP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kern w:val="2"/>
                <w:sz w:val="20"/>
                <w:szCs w:val="20"/>
              </w:rPr>
            </w:pPr>
            <w:r w:rsidRPr="00D566FD">
              <w:rPr>
                <w:kern w:val="2"/>
                <w:sz w:val="20"/>
                <w:szCs w:val="20"/>
              </w:rPr>
              <w:t>Gwarancja dostępności części zamiennych [liczba lat] – min. 8 lat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snapToGrid w:val="0"/>
              <w:ind w:right="-12"/>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tabs>
                <w:tab w:val="left" w:pos="0"/>
              </w:tabs>
              <w:snapToGrid w:val="0"/>
              <w:rPr>
                <w:kern w:val="2"/>
                <w:sz w:val="20"/>
                <w:szCs w:val="20"/>
              </w:rPr>
            </w:pPr>
            <w:r w:rsidRPr="00D566FD">
              <w:rPr>
                <w:iCs/>
                <w:kern w:val="2"/>
                <w:sz w:val="20"/>
                <w:szCs w:val="20"/>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snapToGrid w:val="0"/>
              <w:ind w:right="-12"/>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tabs>
                <w:tab w:val="left" w:pos="0"/>
              </w:tabs>
              <w:snapToGrid w:val="0"/>
              <w:rPr>
                <w:b/>
                <w:bCs/>
                <w:kern w:val="2"/>
                <w:sz w:val="20"/>
                <w:szCs w:val="20"/>
              </w:rPr>
            </w:pPr>
            <w:r w:rsidRPr="00D566FD">
              <w:rPr>
                <w:b/>
                <w:bCs/>
                <w:kern w:val="2"/>
                <w:sz w:val="20"/>
                <w:szCs w:val="20"/>
              </w:rPr>
              <w:t>WARUNKI SERWISU</w:t>
            </w:r>
          </w:p>
        </w:tc>
        <w:tc>
          <w:tcPr>
            <w:tcW w:w="1134"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b/>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b/>
                <w:kern w:val="2"/>
                <w:sz w:val="20"/>
                <w:szCs w:val="20"/>
              </w:rPr>
            </w:pP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tabs>
                <w:tab w:val="left" w:pos="0"/>
              </w:tabs>
              <w:snapToGrid w:val="0"/>
              <w:rPr>
                <w:kern w:val="2"/>
                <w:sz w:val="20"/>
                <w:szCs w:val="20"/>
              </w:rPr>
            </w:pPr>
            <w:r w:rsidRPr="00D566FD">
              <w:rPr>
                <w:kern w:val="2"/>
                <w:sz w:val="20"/>
                <w:szCs w:val="20"/>
              </w:rPr>
              <w:t>Zdalna diagnostyka przez chronione łącze z możliwością rejestracji i odczytu online rejestrów błędów, oraz monitorowaniem systemu (uwaga – całość ewentualnych prac i wyposażenia sprzętowego, które będzie służyło tej funkcjonalności po stronie wykonawcy)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p w:rsidR="002A4242" w:rsidRPr="00D566FD" w:rsidRDefault="002A4242" w:rsidP="00436E70">
            <w:pPr>
              <w:snapToGrid w:val="0"/>
              <w:jc w:val="center"/>
              <w:rPr>
                <w:kern w:val="2"/>
                <w:sz w:val="20"/>
                <w:szCs w:val="20"/>
              </w:rPr>
            </w:pPr>
            <w:r w:rsidRPr="00D566FD">
              <w:rPr>
                <w:kern w:val="2"/>
                <w:sz w:val="20"/>
                <w:szCs w:val="20"/>
              </w:rPr>
              <w:t>podać</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kern w:val="2"/>
                <w:sz w:val="20"/>
                <w:szCs w:val="20"/>
              </w:rPr>
            </w:pPr>
            <w:r w:rsidRPr="00D566FD">
              <w:rPr>
                <w:kern w:val="2"/>
                <w:sz w:val="20"/>
                <w:szCs w:val="20"/>
              </w:rPr>
              <w:t>W cenie oferty -  przeglądy okresowe w okresie gwarancji (w częstotliwości i w zakresie zgodnym z wymogami producenta). Obowiązkowy (w cenie oferty) przegląd z końcem biegu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kern w:val="2"/>
                <w:sz w:val="20"/>
                <w:szCs w:val="20"/>
              </w:rPr>
            </w:pPr>
            <w:r w:rsidRPr="00D566FD">
              <w:rPr>
                <w:kern w:val="2"/>
                <w:sz w:val="20"/>
                <w:szCs w:val="20"/>
              </w:rPr>
              <w:t>Wszystkie czynności serwisowe, w tym podłączenie i uruchomienie sprzętu w miejscu wskazanym przez Zamawiającego oraz  przeglądy konserwacyjne, w okresie gwarancji - w ramach wynagrodzenia umownego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rFonts w:eastAsia="Andale Sans UI"/>
                <w:kern w:val="2"/>
                <w:sz w:val="20"/>
                <w:szCs w:val="20"/>
              </w:rPr>
            </w:pPr>
            <w:r w:rsidRPr="00D566FD">
              <w:rPr>
                <w:rFonts w:eastAsia="Andale Sans UI"/>
                <w:kern w:val="2"/>
                <w:sz w:val="20"/>
                <w:szCs w:val="20"/>
              </w:rPr>
              <w:t>Czas reakcji (dotyczy także reakcji zdalnej): „przyjęte zgłoszenie – podjęta naprawa” =&lt; 48 [godz.]</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rFonts w:eastAsia="Andale Sans UI"/>
                <w:kern w:val="2"/>
                <w:sz w:val="20"/>
                <w:szCs w:val="20"/>
              </w:rPr>
            </w:pPr>
            <w:r w:rsidRPr="00D566FD">
              <w:rPr>
                <w:rFonts w:eastAsia="Andale Sans UI"/>
                <w:kern w:val="2"/>
                <w:sz w:val="20"/>
                <w:szCs w:val="20"/>
              </w:rPr>
              <w:t>Możliwość zgłoszeń 24h/dobę, 365 dni/rok</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rFonts w:eastAsia="Andale Sans UI"/>
                <w:kern w:val="2"/>
                <w:sz w:val="20"/>
                <w:szCs w:val="20"/>
              </w:rPr>
            </w:pPr>
            <w:r w:rsidRPr="00D566FD">
              <w:rPr>
                <w:rFonts w:eastAsia="Andale Sans UI"/>
                <w:kern w:val="2"/>
                <w:sz w:val="20"/>
                <w:szCs w:val="20"/>
              </w:rPr>
              <w:t>Wymiana każdego podzespołu na nowy po pierwszej  nieskutecznej próbie jego naprawy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kern w:val="2"/>
                <w:sz w:val="20"/>
                <w:szCs w:val="20"/>
              </w:rPr>
            </w:pPr>
            <w:r w:rsidRPr="00D566FD">
              <w:rPr>
                <w:kern w:val="2"/>
                <w:sz w:val="20"/>
                <w:szCs w:val="20"/>
              </w:rPr>
              <w:t>Zakończenie działań serwisowych – do 5 dni roboczych od dnia zgłoszenia awarii, a w przypadku konieczności importu części zamiennych, nie dłuższym niż 10</w:t>
            </w:r>
            <w:r w:rsidRPr="00D566FD">
              <w:rPr>
                <w:b/>
                <w:kern w:val="2"/>
                <w:sz w:val="20"/>
                <w:szCs w:val="20"/>
              </w:rPr>
              <w:t xml:space="preserve"> </w:t>
            </w:r>
            <w:r w:rsidRPr="00D566FD">
              <w:rPr>
                <w:kern w:val="2"/>
                <w:sz w:val="20"/>
                <w:szCs w:val="20"/>
              </w:rPr>
              <w:t>dni roboczych od dnia zgłoszenia awarii.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tabs>
                <w:tab w:val="left" w:pos="0"/>
              </w:tabs>
              <w:snapToGrid w:val="0"/>
              <w:rPr>
                <w:kern w:val="2"/>
                <w:sz w:val="20"/>
                <w:szCs w:val="20"/>
              </w:rPr>
            </w:pPr>
            <w:r w:rsidRPr="00D566FD">
              <w:rPr>
                <w:kern w:val="2"/>
                <w:sz w:val="20"/>
                <w:szCs w:val="20"/>
              </w:rPr>
              <w:t>Struktura serwisowa gwarantująca realizację wymogów stawianych w niniejszej specyfikacji lub udokumentowana/uprawdopodobniona dokumentami możliwość gwarancji realizacji wymogów stawianych w niniejszej specyfikacji – należy podać (przy dostawie sprzętu)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rFonts w:eastAsia="Andale Sans UI"/>
                <w:kern w:val="2"/>
                <w:sz w:val="20"/>
                <w:szCs w:val="20"/>
              </w:rPr>
            </w:pPr>
            <w:r w:rsidRPr="00D566FD">
              <w:rPr>
                <w:rFonts w:eastAsia="Andale Sans UI"/>
                <w:kern w:val="2"/>
                <w:sz w:val="20"/>
                <w:szCs w:val="20"/>
              </w:rPr>
              <w:t>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w:t>
            </w:r>
            <w:r w:rsidR="003106DF">
              <w:rPr>
                <w:rFonts w:eastAsia="Andale Sans UI"/>
                <w:kern w:val="2"/>
                <w:sz w:val="20"/>
                <w:szCs w:val="20"/>
              </w:rPr>
              <w:t xml:space="preserve">. </w:t>
            </w:r>
            <w:r w:rsidR="003106DF" w:rsidRPr="00A45070">
              <w:rPr>
                <w:b/>
                <w:color w:val="7030A0"/>
                <w:sz w:val="20"/>
                <w:szCs w:val="20"/>
              </w:rPr>
              <w:t>Zamawiający wyraża zg</w:t>
            </w:r>
            <w:bookmarkStart w:id="3" w:name="_GoBack"/>
            <w:bookmarkEnd w:id="3"/>
            <w:r w:rsidR="003106DF" w:rsidRPr="00A45070">
              <w:rPr>
                <w:b/>
                <w:color w:val="7030A0"/>
                <w:sz w:val="20"/>
                <w:szCs w:val="20"/>
              </w:rPr>
              <w:t>odę na dostarczenie kodów serwisowych po zakończeniu gwarancji podstawowej na urządzenie na każde życzenie Zamawiającego. Zamawiający potwierdza, że będzie wymagał od potencjalnych podmiotów świadczących pogwarancyjne usługi serwisowe podpisania stosownej umowy licencyjnej.</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b/>
                <w:bCs/>
                <w:kern w:val="2"/>
                <w:sz w:val="20"/>
                <w:szCs w:val="20"/>
              </w:rPr>
            </w:pPr>
            <w:r w:rsidRPr="00D566FD">
              <w:rPr>
                <w:b/>
                <w:bCs/>
                <w:kern w:val="2"/>
                <w:sz w:val="20"/>
                <w:szCs w:val="20"/>
              </w:rPr>
              <w:t>SZKOLENIA</w:t>
            </w:r>
          </w:p>
        </w:tc>
        <w:tc>
          <w:tcPr>
            <w:tcW w:w="1134"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rPr>
                <w:kern w:val="2"/>
                <w:sz w:val="20"/>
                <w:szCs w:val="20"/>
              </w:rPr>
            </w:pPr>
            <w:r w:rsidRPr="00D566FD">
              <w:rPr>
                <w:kern w:val="2"/>
                <w:sz w:val="20"/>
                <w:szCs w:val="20"/>
              </w:rPr>
              <w:t xml:space="preserve">Szkolenia dla personelu  medycznego z zakresu obsługi urządzenia (min. 1 dzień przez min 6 godzin) w momencie jego instalacji i odbioru. Kolejne szkolenia tj. minimum 5 dni (min 5 osób przez min 6 godzin dziennie) szkoleniowych przed rozpoczęciem pracy oraz kolejnych 3 dni szkoleniowe w trakcie pierwszych 12 miesięcy użytkowania (min 5 osób przez min 6 godzin dziennie). W razie potrzeby Zamawiającego, możliwość stałego wsparcia aplikacyjnego w początkowym (do 6 -ciu miesięcy) okresie pracy urządzeń (dodatkowe szkolenie, dodatkowa grupa osób, konsultacje, itp.). </w:t>
            </w:r>
            <w:r w:rsidRPr="00D566FD">
              <w:rPr>
                <w:sz w:val="20"/>
                <w:szCs w:val="20"/>
              </w:rPr>
              <w:t>Szkolenia obejmujące zagadnienia w zakresie efektywności energetycznej urządzenia, , energooszczędności</w:t>
            </w:r>
            <w:r w:rsidR="00646C28">
              <w:rPr>
                <w:sz w:val="20"/>
                <w:szCs w:val="20"/>
              </w:rPr>
              <w:t xml:space="preserve">. </w:t>
            </w:r>
            <w:r w:rsidR="003019D0" w:rsidRPr="003019D0">
              <w:rPr>
                <w:b/>
                <w:color w:val="7030A0"/>
                <w:sz w:val="20"/>
                <w:szCs w:val="20"/>
              </w:rPr>
              <w:t>Zamawiający wyraża zgodę</w:t>
            </w:r>
            <w:r w:rsidR="00646C28" w:rsidRPr="003019D0">
              <w:rPr>
                <w:b/>
                <w:color w:val="7030A0"/>
                <w:sz w:val="20"/>
                <w:szCs w:val="20"/>
              </w:rPr>
              <w:t xml:space="preserve"> na przepro</w:t>
            </w:r>
            <w:r w:rsidR="003019D0">
              <w:rPr>
                <w:b/>
                <w:color w:val="7030A0"/>
                <w:sz w:val="20"/>
                <w:szCs w:val="20"/>
              </w:rPr>
              <w:t xml:space="preserve">wadzenie szkoleń aplikacyjnych </w:t>
            </w:r>
            <w:r w:rsidR="00646C28" w:rsidRPr="003019D0">
              <w:rPr>
                <w:b/>
                <w:color w:val="7030A0"/>
                <w:sz w:val="20"/>
                <w:szCs w:val="20"/>
              </w:rPr>
              <w:t>po uzyskaniu zezwolenia WSSE i uruchomieniu urządzenia.</w:t>
            </w:r>
          </w:p>
        </w:tc>
        <w:tc>
          <w:tcPr>
            <w:tcW w:w="1134"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rPr>
                <w:kern w:val="2"/>
                <w:sz w:val="20"/>
                <w:szCs w:val="20"/>
              </w:rPr>
            </w:pPr>
            <w:r w:rsidRPr="00D566FD">
              <w:rPr>
                <w:kern w:val="2"/>
                <w:sz w:val="20"/>
                <w:szCs w:val="20"/>
              </w:rPr>
              <w:t>Szkolenia dla personelu technicznego (min. 2 osoby – 1 dzień co najmniej 6 godzin)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134"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kern w:val="2"/>
                <w:sz w:val="20"/>
                <w:szCs w:val="20"/>
              </w:rPr>
            </w:pPr>
            <w:r w:rsidRPr="00D566FD">
              <w:rPr>
                <w:kern w:val="2"/>
                <w:sz w:val="20"/>
                <w:szCs w:val="20"/>
              </w:rPr>
              <w:t>Liczba i okres szkoleń:</w:t>
            </w:r>
          </w:p>
          <w:p w:rsidR="002A4242" w:rsidRPr="00D566FD" w:rsidRDefault="002A4242" w:rsidP="00436E70">
            <w:pPr>
              <w:numPr>
                <w:ilvl w:val="0"/>
                <w:numId w:val="1"/>
              </w:numPr>
              <w:tabs>
                <w:tab w:val="num" w:pos="360"/>
              </w:tabs>
              <w:ind w:left="0" w:firstLine="0"/>
              <w:rPr>
                <w:kern w:val="2"/>
                <w:sz w:val="20"/>
                <w:szCs w:val="20"/>
              </w:rPr>
            </w:pPr>
            <w:r w:rsidRPr="00D566FD">
              <w:rPr>
                <w:kern w:val="2"/>
                <w:sz w:val="20"/>
                <w:szCs w:val="20"/>
              </w:rPr>
              <w:t>pierwsze szkolenie - tuż po instalacji systemu, w wymiarze do 2 dni roboczych</w:t>
            </w:r>
          </w:p>
          <w:p w:rsidR="002A4242" w:rsidRPr="00D566FD" w:rsidRDefault="002A4242" w:rsidP="00436E70">
            <w:pPr>
              <w:numPr>
                <w:ilvl w:val="0"/>
                <w:numId w:val="1"/>
              </w:numPr>
              <w:tabs>
                <w:tab w:val="num" w:pos="360"/>
              </w:tabs>
              <w:ind w:left="0" w:firstLine="0"/>
              <w:rPr>
                <w:kern w:val="2"/>
                <w:sz w:val="20"/>
                <w:szCs w:val="20"/>
              </w:rPr>
            </w:pPr>
            <w:r w:rsidRPr="00D566FD">
              <w:rPr>
                <w:kern w:val="2"/>
                <w:sz w:val="20"/>
                <w:szCs w:val="20"/>
              </w:rPr>
              <w:t>dodatkowe, w razie potrzeby, w innym terminie ustalonym z kierownikiem pracowni,</w:t>
            </w:r>
          </w:p>
          <w:p w:rsidR="002A4242" w:rsidRPr="00D566FD" w:rsidRDefault="002A4242" w:rsidP="00436E70">
            <w:pPr>
              <w:rPr>
                <w:i/>
                <w:kern w:val="2"/>
                <w:sz w:val="20"/>
                <w:szCs w:val="20"/>
              </w:rPr>
            </w:pPr>
            <w:r w:rsidRPr="00D566FD">
              <w:rPr>
                <w:i/>
                <w:kern w:val="2"/>
                <w:sz w:val="20"/>
                <w:szCs w:val="20"/>
              </w:rPr>
              <w:t>Uwaga – szkolenia dodatkowe dla wszystkich grup w co najmniej takiej samej liczbie osób jak podano w powyższych punktach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rPr>
          <w:trHeight w:val="396"/>
        </w:trPr>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b/>
                <w:bCs/>
                <w:kern w:val="2"/>
                <w:sz w:val="20"/>
                <w:szCs w:val="20"/>
              </w:rPr>
            </w:pPr>
            <w:r w:rsidRPr="00D566FD">
              <w:rPr>
                <w:b/>
                <w:bCs/>
                <w:kern w:val="2"/>
                <w:sz w:val="20"/>
                <w:szCs w:val="20"/>
              </w:rPr>
              <w:t>DOKUMENTACJA</w:t>
            </w:r>
          </w:p>
        </w:tc>
        <w:tc>
          <w:tcPr>
            <w:tcW w:w="1134"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b/>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2A4242" w:rsidRPr="00D566FD" w:rsidRDefault="002A4242" w:rsidP="00436E70">
            <w:pPr>
              <w:snapToGrid w:val="0"/>
              <w:jc w:val="center"/>
              <w:rPr>
                <w:kern w:val="2"/>
                <w:sz w:val="20"/>
                <w:szCs w:val="20"/>
              </w:rPr>
            </w:pP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autoSpaceDE w:val="0"/>
              <w:snapToGrid w:val="0"/>
              <w:rPr>
                <w:kern w:val="2"/>
                <w:sz w:val="20"/>
                <w:szCs w:val="20"/>
              </w:rPr>
            </w:pPr>
            <w:r w:rsidRPr="00D566FD">
              <w:rPr>
                <w:kern w:val="2"/>
                <w:sz w:val="20"/>
                <w:szCs w:val="20"/>
              </w:rPr>
              <w:t>Instrukcje obsługi w języku polskim w formie elektronicznej i drukowanej (przekazane w momencie dostawy dla każdego egzemplarza) – dotyczy także urządzeń peryferyjnych</w:t>
            </w:r>
          </w:p>
          <w:p w:rsidR="002A4242" w:rsidRPr="00D566FD" w:rsidRDefault="002A4242" w:rsidP="00436E70">
            <w:pPr>
              <w:autoSpaceDE w:val="0"/>
              <w:snapToGrid w:val="0"/>
              <w:rPr>
                <w:kern w:val="2"/>
                <w:sz w:val="20"/>
                <w:szCs w:val="20"/>
              </w:rPr>
            </w:pPr>
            <w:r w:rsidRPr="00D566FD">
              <w:rPr>
                <w:kern w:val="2"/>
                <w:sz w:val="20"/>
                <w:szCs w:val="20"/>
              </w:rPr>
              <w:t>Instrukcje i szkolenia zawierające wskazówki dot.  zarządzania wydajnością i energooszczędnością urządzenia, działań w zakresie efektywności energetycznej urządzenia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autoSpaceDE w:val="0"/>
              <w:snapToGrid w:val="0"/>
              <w:rPr>
                <w:kern w:val="2"/>
                <w:sz w:val="20"/>
                <w:szCs w:val="20"/>
              </w:rPr>
            </w:pPr>
            <w:r w:rsidRPr="00D566FD">
              <w:rPr>
                <w:sz w:val="20"/>
                <w:szCs w:val="20"/>
              </w:rPr>
              <w:t xml:space="preserve">Paszport techniczny zgodny z wzorem użytkowanym w SU oraz informacje umożliwiające wypełnienie karty technicznej urządzenia zgodnej z Rozporządzeniem Ministra Zdrowia z dnia 19 października 2021 r.Poz. 1959 </w:t>
            </w:r>
            <w:r w:rsidRPr="00D566FD">
              <w:rPr>
                <w:bCs/>
                <w:sz w:val="20"/>
                <w:szCs w:val="20"/>
              </w:rPr>
              <w:t>w sprawie informacji zawartych w Krajowej Bazie Urządzeń Radiologicznych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kern w:val="2"/>
                <w:sz w:val="20"/>
                <w:szCs w:val="20"/>
              </w:rPr>
            </w:pPr>
            <w:r w:rsidRPr="00D566FD">
              <w:rPr>
                <w:kern w:val="2"/>
                <w:sz w:val="20"/>
                <w:szCs w:val="20"/>
              </w:rPr>
              <w:t>Wykonawca w ramach dostawy sprzętu zobowiązuje się dostarczyć komplet akcesoriów, okablowania itp. asortymentu niezbędnego do uruchomienia i funkcjonowania aparatu jako całości w wymaganej specyfikacją konfiguracji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kern w:val="2"/>
                <w:sz w:val="20"/>
                <w:szCs w:val="20"/>
              </w:rPr>
            </w:pPr>
            <w:r w:rsidRPr="00D566FD">
              <w:rPr>
                <w:kern w:val="2"/>
                <w:sz w:val="20"/>
                <w:szCs w:val="20"/>
              </w:rPr>
              <w:t>Dokumentacja (lub tzw. lista kontrolna zawierająca wykaz części i czynności) dotycząca przeglądów technicznych w języku polskim (dostarczona przy dostawie)</w:t>
            </w:r>
          </w:p>
          <w:p w:rsidR="002A4242" w:rsidRPr="00D566FD" w:rsidRDefault="002A4242" w:rsidP="00436E70">
            <w:pPr>
              <w:snapToGrid w:val="0"/>
              <w:rPr>
                <w:i/>
                <w:kern w:val="2"/>
                <w:sz w:val="20"/>
                <w:szCs w:val="20"/>
              </w:rPr>
            </w:pPr>
            <w:r w:rsidRPr="00D566FD">
              <w:rPr>
                <w:i/>
                <w:kern w:val="2"/>
                <w:sz w:val="20"/>
                <w:szCs w:val="20"/>
              </w:rPr>
              <w:t>UWAGA – dokumentacja musi zapewnić co najmniej pełną diagnostykę urządzenia, wykonywanie drobnych napraw, regulacji, kalibracji, oraz przeglądów okresowych w standardzie wymaganym przez producenta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kern w:val="2"/>
                <w:sz w:val="20"/>
                <w:szCs w:val="20"/>
              </w:rPr>
            </w:pPr>
            <w:r w:rsidRPr="00D566FD">
              <w:rPr>
                <w:kern w:val="2"/>
                <w:sz w:val="20"/>
                <w:szCs w:val="20"/>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rPr>
                <w:kern w:val="2"/>
                <w:sz w:val="20"/>
                <w:szCs w:val="20"/>
              </w:rPr>
            </w:pPr>
            <w:r w:rsidRPr="00D566FD">
              <w:rPr>
                <w:kern w:val="2"/>
                <w:sz w:val="20"/>
                <w:szCs w:val="20"/>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snapToGrid w:val="0"/>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rPr>
                <w:kern w:val="2"/>
                <w:sz w:val="20"/>
                <w:szCs w:val="20"/>
              </w:rPr>
            </w:pPr>
            <w:r w:rsidRPr="00D566FD">
              <w:rPr>
                <w:kern w:val="2"/>
                <w:sz w:val="20"/>
                <w:szCs w:val="20"/>
              </w:rPr>
              <w:t>Możliwość mycia i dezynfekcji poszczególnych elementów aparatów w oparciu o przedstawione przez wykonawcę zalecane preparaty myjące i dezynfekujące.</w:t>
            </w:r>
          </w:p>
          <w:p w:rsidR="002A4242" w:rsidRPr="00D566FD" w:rsidRDefault="002A4242" w:rsidP="00436E70">
            <w:pPr>
              <w:rPr>
                <w:i/>
                <w:kern w:val="2"/>
                <w:sz w:val="20"/>
                <w:szCs w:val="20"/>
              </w:rPr>
            </w:pPr>
            <w:r w:rsidRPr="00D566FD">
              <w:rPr>
                <w:i/>
                <w:kern w:val="2"/>
                <w:sz w:val="20"/>
                <w:szCs w:val="20"/>
              </w:rPr>
              <w:t>UWAGA – zalecane środki powinny zawierać nazwy związków chemicznych, a nie tylko nazwy handlowe preparatów.</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snapToGrid w:val="0"/>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r w:rsidRPr="00D566FD">
              <w:rPr>
                <w:kern w:val="2"/>
                <w:sz w:val="20"/>
                <w:szCs w:val="20"/>
              </w:rPr>
              <w:t>- - -</w:t>
            </w: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rPr>
                <w:b/>
                <w:kern w:val="2"/>
                <w:sz w:val="20"/>
                <w:szCs w:val="20"/>
              </w:rPr>
            </w:pPr>
            <w:r w:rsidRPr="00D566FD">
              <w:rPr>
                <w:b/>
                <w:kern w:val="2"/>
                <w:sz w:val="20"/>
                <w:szCs w:val="20"/>
              </w:rPr>
              <w:t>Pozostałe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snapToGrid w:val="0"/>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sz w:val="20"/>
                <w:szCs w:val="20"/>
              </w:rPr>
            </w:pPr>
            <w:r w:rsidRPr="00D566FD">
              <w:rPr>
                <w:kern w:val="2"/>
                <w:sz w:val="20"/>
                <w:szCs w:val="20"/>
              </w:rPr>
              <w:t xml:space="preserve">Komplet testów, pomiarów i dokumentów niezbędnych do odbioru aparatów przez WSSE i inne uprawnione instytucje (w tym wszystkie czynności niezbędne do odbiorów formalnych) </w:t>
            </w:r>
            <w:r w:rsidRPr="00D566FD">
              <w:rPr>
                <w:sz w:val="20"/>
                <w:szCs w:val="20"/>
              </w:rPr>
              <w:t>w tym pomiary rozkładu mocy dawki wokół aparatu i pomiary w otoczeniu miejsca użytkowania, testy odbiorcze i specjalistyczne, projekt osłon stałych także testów specjalistycznych dla monitorów stanowisk opisowych</w:t>
            </w:r>
            <w:r w:rsidRPr="00F627EC">
              <w:rPr>
                <w:sz w:val="20"/>
                <w:szCs w:val="20"/>
              </w:rPr>
              <w:t>.</w:t>
            </w:r>
            <w:r w:rsidR="00646C28" w:rsidRPr="00F627EC">
              <w:rPr>
                <w:sz w:val="20"/>
                <w:szCs w:val="20"/>
              </w:rPr>
              <w:t xml:space="preserve"> </w:t>
            </w:r>
            <w:r w:rsidR="00646C28" w:rsidRPr="00F627EC">
              <w:rPr>
                <w:color w:val="2C363A"/>
                <w:sz w:val="22"/>
                <w:szCs w:val="22"/>
                <w:shd w:val="clear" w:color="auto" w:fill="FFFFFF"/>
              </w:rPr>
              <w:t> </w:t>
            </w:r>
            <w:r w:rsidR="00646C28" w:rsidRPr="00F627EC">
              <w:rPr>
                <w:b/>
                <w:bCs/>
                <w:color w:val="7030A0"/>
                <w:sz w:val="20"/>
                <w:szCs w:val="20"/>
                <w:shd w:val="clear" w:color="auto" w:fill="FFFFFF"/>
              </w:rPr>
              <w:t>Zamawiający potwierdza, że wymaga powyższych dokumentów oraz że samodzielnie złoży dokumenty do WSSE oraz że czas oczekiwania na decyzje WSSE nie jest liczony do czasu realizacji przedmiotu umowy.</w:t>
            </w:r>
          </w:p>
        </w:tc>
        <w:tc>
          <w:tcPr>
            <w:tcW w:w="1134" w:type="dxa"/>
            <w:tcBorders>
              <w:top w:val="single" w:sz="4" w:space="0" w:color="auto"/>
              <w:left w:val="single" w:sz="4" w:space="0" w:color="auto"/>
              <w:bottom w:val="single" w:sz="4" w:space="0" w:color="auto"/>
              <w:right w:val="single" w:sz="4" w:space="0" w:color="auto"/>
            </w:tcBorders>
            <w:hideMark/>
          </w:tcPr>
          <w:p w:rsidR="002A4242" w:rsidRPr="00D566FD" w:rsidRDefault="002A4242" w:rsidP="00436E70">
            <w:pPr>
              <w:jc w:val="center"/>
              <w:rPr>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snapToGrid w:val="0"/>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kern w:val="2"/>
                <w:sz w:val="20"/>
                <w:szCs w:val="20"/>
              </w:rPr>
            </w:pPr>
            <w:r w:rsidRPr="00D566FD">
              <w:rPr>
                <w:kern w:val="2"/>
                <w:sz w:val="20"/>
                <w:szCs w:val="20"/>
              </w:rPr>
              <w:t>Tryb oszczędzania energii lub niskiego poboru mocy</w:t>
            </w:r>
          </w:p>
        </w:tc>
        <w:tc>
          <w:tcPr>
            <w:tcW w:w="1134" w:type="dxa"/>
            <w:tcBorders>
              <w:top w:val="single" w:sz="4" w:space="0" w:color="auto"/>
              <w:left w:val="single" w:sz="4" w:space="0" w:color="auto"/>
              <w:bottom w:val="single" w:sz="4" w:space="0" w:color="auto"/>
              <w:right w:val="single" w:sz="4" w:space="0" w:color="auto"/>
            </w:tcBorders>
            <w:hideMark/>
          </w:tcPr>
          <w:p w:rsidR="002A4242" w:rsidRPr="00D566FD" w:rsidRDefault="002A4242" w:rsidP="00436E70">
            <w:pPr>
              <w:jc w:val="center"/>
              <w:rPr>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snapToGrid w:val="0"/>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p>
        </w:tc>
      </w:tr>
      <w:tr w:rsidR="002A4242" w:rsidRPr="00D566FD" w:rsidTr="00436E70">
        <w:tc>
          <w:tcPr>
            <w:tcW w:w="567"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numPr>
                <w:ilvl w:val="0"/>
                <w:numId w:val="26"/>
              </w:numPr>
              <w:contextualSpacing/>
              <w:jc w:val="center"/>
              <w:rPr>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rPr>
                <w:kern w:val="2"/>
                <w:sz w:val="20"/>
                <w:szCs w:val="20"/>
              </w:rPr>
            </w:pPr>
            <w:r w:rsidRPr="00D566FD">
              <w:rPr>
                <w:kern w:val="2"/>
                <w:sz w:val="20"/>
                <w:szCs w:val="20"/>
              </w:rPr>
              <w:t>Możliwość automatycznego przechodzenia urządzenia w tryb czuwania/niskiego poboru mocy</w:t>
            </w:r>
          </w:p>
        </w:tc>
        <w:tc>
          <w:tcPr>
            <w:tcW w:w="1134" w:type="dxa"/>
            <w:tcBorders>
              <w:top w:val="single" w:sz="4" w:space="0" w:color="auto"/>
              <w:left w:val="single" w:sz="4" w:space="0" w:color="auto"/>
              <w:bottom w:val="single" w:sz="4" w:space="0" w:color="auto"/>
              <w:right w:val="single" w:sz="4" w:space="0" w:color="auto"/>
            </w:tcBorders>
            <w:hideMark/>
          </w:tcPr>
          <w:p w:rsidR="002A4242" w:rsidRPr="00D566FD" w:rsidRDefault="002A4242" w:rsidP="00436E70">
            <w:pPr>
              <w:jc w:val="center"/>
              <w:rPr>
                <w:sz w:val="20"/>
                <w:szCs w:val="20"/>
              </w:rPr>
            </w:pPr>
            <w:r w:rsidRPr="00D566FD">
              <w:rPr>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rsidR="002A4242" w:rsidRPr="00D566FD" w:rsidRDefault="002A4242" w:rsidP="00436E70">
            <w:pPr>
              <w:snapToGrid w:val="0"/>
              <w:jc w:val="center"/>
              <w:rPr>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4242" w:rsidRPr="00D566FD" w:rsidRDefault="002A4242" w:rsidP="00436E70">
            <w:pPr>
              <w:snapToGrid w:val="0"/>
              <w:jc w:val="center"/>
              <w:rPr>
                <w:kern w:val="2"/>
                <w:sz w:val="20"/>
                <w:szCs w:val="20"/>
              </w:rPr>
            </w:pPr>
          </w:p>
        </w:tc>
      </w:tr>
    </w:tbl>
    <w:p w:rsidR="002A4242" w:rsidRPr="00D566FD" w:rsidRDefault="002A4242" w:rsidP="002A4242">
      <w:pPr>
        <w:spacing w:after="160" w:line="259" w:lineRule="auto"/>
        <w:jc w:val="center"/>
        <w:rPr>
          <w:sz w:val="20"/>
          <w:szCs w:val="20"/>
        </w:rPr>
      </w:pPr>
    </w:p>
    <w:p w:rsidR="002A4242" w:rsidRPr="00D566FD" w:rsidRDefault="002A4242" w:rsidP="002A4242">
      <w:pPr>
        <w:jc w:val="center"/>
        <w:rPr>
          <w:sz w:val="20"/>
          <w:szCs w:val="20"/>
        </w:rPr>
      </w:pPr>
    </w:p>
    <w:p w:rsidR="002A4242" w:rsidRPr="00D566FD" w:rsidRDefault="002A4242" w:rsidP="00D15B41">
      <w:pPr>
        <w:jc w:val="center"/>
        <w:rPr>
          <w:sz w:val="20"/>
          <w:szCs w:val="20"/>
        </w:rPr>
      </w:pPr>
    </w:p>
    <w:sectPr w:rsidR="002A4242" w:rsidRPr="00D566FD" w:rsidSect="001D46D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4C" w:rsidRDefault="00EC444C" w:rsidP="002824BC">
      <w:r>
        <w:separator/>
      </w:r>
    </w:p>
  </w:endnote>
  <w:endnote w:type="continuationSeparator" w:id="0">
    <w:p w:rsidR="00EC444C" w:rsidRDefault="00EC444C" w:rsidP="002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113081"/>
      <w:docPartObj>
        <w:docPartGallery w:val="Page Numbers (Bottom of Page)"/>
        <w:docPartUnique/>
      </w:docPartObj>
    </w:sdtPr>
    <w:sdtEndPr/>
    <w:sdtContent>
      <w:p w:rsidR="00646C28" w:rsidRDefault="00646C28">
        <w:pPr>
          <w:pStyle w:val="Stopka"/>
          <w:jc w:val="right"/>
        </w:pPr>
        <w:r>
          <w:fldChar w:fldCharType="begin"/>
        </w:r>
        <w:r>
          <w:instrText>PAGE   \* MERGEFORMAT</w:instrText>
        </w:r>
        <w:r>
          <w:fldChar w:fldCharType="separate"/>
        </w:r>
        <w:r w:rsidR="00A45070">
          <w:rPr>
            <w:noProof/>
          </w:rPr>
          <w:t>22</w:t>
        </w:r>
        <w:r>
          <w:fldChar w:fldCharType="end"/>
        </w:r>
      </w:p>
    </w:sdtContent>
  </w:sdt>
  <w:p w:rsidR="00646C28" w:rsidRDefault="00646C28" w:rsidP="00D7488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4C" w:rsidRDefault="00EC444C" w:rsidP="002824BC">
      <w:r>
        <w:separator/>
      </w:r>
    </w:p>
  </w:footnote>
  <w:footnote w:type="continuationSeparator" w:id="0">
    <w:p w:rsidR="00EC444C" w:rsidRDefault="00EC444C" w:rsidP="0028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28" w:rsidRPr="00DB0578" w:rsidRDefault="00646C28" w:rsidP="00A46CB8">
    <w:pPr>
      <w:tabs>
        <w:tab w:val="center" w:pos="4536"/>
      </w:tabs>
      <w:rPr>
        <w:lang w:eastAsia="pl-PL"/>
      </w:rPr>
    </w:pPr>
    <w:r>
      <w:rPr>
        <w:bCs/>
        <w:lang w:eastAsia="pl-PL"/>
      </w:rPr>
      <w:t>DFP.271.112</w:t>
    </w:r>
    <w:r w:rsidRPr="00DB0578">
      <w:rPr>
        <w:bCs/>
        <w:lang w:eastAsia="pl-PL"/>
      </w:rPr>
      <w:t>.2022.AMW</w:t>
    </w:r>
    <w:r w:rsidRPr="00DB0578">
      <w:rPr>
        <w:lang w:eastAsia="pl-PL"/>
      </w:rPr>
      <w:t xml:space="preserve">                                                               </w:t>
    </w:r>
  </w:p>
  <w:p w:rsidR="00646C28" w:rsidRPr="00DB0578" w:rsidRDefault="00646C28" w:rsidP="00A46CB8">
    <w:pPr>
      <w:tabs>
        <w:tab w:val="center" w:pos="4536"/>
      </w:tabs>
      <w:jc w:val="right"/>
      <w:rPr>
        <w:lang w:eastAsia="pl-PL"/>
      </w:rPr>
    </w:pPr>
    <w:r w:rsidRPr="00DB0578">
      <w:rPr>
        <w:lang w:eastAsia="pl-PL"/>
      </w:rPr>
      <w:t>Załącznik nr 1</w:t>
    </w:r>
    <w:r>
      <w:rPr>
        <w:lang w:eastAsia="pl-PL"/>
      </w:rPr>
      <w:t>a</w:t>
    </w:r>
    <w:r w:rsidRPr="00DB0578">
      <w:rPr>
        <w:lang w:eastAsia="pl-PL"/>
      </w:rPr>
      <w:t xml:space="preserve"> do SWZ</w:t>
    </w:r>
  </w:p>
  <w:p w:rsidR="00646C28" w:rsidRDefault="00646C28" w:rsidP="00D7488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C0C16"/>
    <w:name w:val="WWNum7"/>
    <w:lvl w:ilvl="0">
      <w:start w:val="1"/>
      <w:numFmt w:val="decimal"/>
      <w:lvlText w:val="%1."/>
      <w:lvlJc w:val="left"/>
      <w:pPr>
        <w:tabs>
          <w:tab w:val="num" w:pos="720"/>
        </w:tabs>
        <w:ind w:left="720" w:hanging="360"/>
      </w:pPr>
      <w:rPr>
        <w:b w:val="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pStyle w:val="Nagwek3"/>
      <w:lvlText w:val="%1."/>
      <w:lvlJc w:val="left"/>
      <w:pPr>
        <w:tabs>
          <w:tab w:val="num" w:pos="720"/>
        </w:tabs>
        <w:ind w:left="720" w:hanging="360"/>
      </w:pPr>
      <w:rPr>
        <w:b w:val="0"/>
        <w:bCs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13D92BE7"/>
    <w:multiLevelType w:val="hybridMultilevel"/>
    <w:tmpl w:val="18A27676"/>
    <w:lvl w:ilvl="0" w:tplc="6D8ABB1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F31FD"/>
    <w:multiLevelType w:val="hybridMultilevel"/>
    <w:tmpl w:val="D18445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786185F"/>
    <w:multiLevelType w:val="hybridMultilevel"/>
    <w:tmpl w:val="44BE8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4B5634"/>
    <w:multiLevelType w:val="hybridMultilevel"/>
    <w:tmpl w:val="9F6A2E7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043CE2"/>
    <w:multiLevelType w:val="hybridMultilevel"/>
    <w:tmpl w:val="4FAE3FD4"/>
    <w:lvl w:ilvl="0" w:tplc="A48E64FA">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31DDF"/>
    <w:multiLevelType w:val="hybridMultilevel"/>
    <w:tmpl w:val="E774E7B2"/>
    <w:lvl w:ilvl="0" w:tplc="E1AC435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77546"/>
    <w:multiLevelType w:val="hybridMultilevel"/>
    <w:tmpl w:val="A8F2C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6615A2"/>
    <w:multiLevelType w:val="hybridMultilevel"/>
    <w:tmpl w:val="23EC6B9A"/>
    <w:lvl w:ilvl="0" w:tplc="653E63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12A5A"/>
    <w:multiLevelType w:val="hybridMultilevel"/>
    <w:tmpl w:val="53C0666E"/>
    <w:lvl w:ilvl="0" w:tplc="5EBAA026">
      <w:numFmt w:val="bullet"/>
      <w:lvlText w:val=""/>
      <w:lvlJc w:val="left"/>
      <w:pPr>
        <w:ind w:left="720" w:hanging="360"/>
      </w:pPr>
      <w:rPr>
        <w:rFonts w:ascii="Wingdings" w:eastAsia="Times New Roman"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6D7D61"/>
    <w:multiLevelType w:val="hybridMultilevel"/>
    <w:tmpl w:val="9D684E86"/>
    <w:lvl w:ilvl="0" w:tplc="705030E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470258"/>
    <w:multiLevelType w:val="hybridMultilevel"/>
    <w:tmpl w:val="7B8ACC54"/>
    <w:lvl w:ilvl="0" w:tplc="117C0A82">
      <w:numFmt w:val="bullet"/>
      <w:lvlText w:val=""/>
      <w:lvlJc w:val="left"/>
      <w:pPr>
        <w:ind w:left="720" w:hanging="360"/>
      </w:pPr>
      <w:rPr>
        <w:rFonts w:ascii="Wingdings" w:eastAsia="Times New Roman"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635928"/>
    <w:multiLevelType w:val="singleLevel"/>
    <w:tmpl w:val="C082AE3A"/>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EE3621D"/>
    <w:multiLevelType w:val="hybridMultilevel"/>
    <w:tmpl w:val="7DE63C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3092AAB"/>
    <w:multiLevelType w:val="hybridMultilevel"/>
    <w:tmpl w:val="21DC5B92"/>
    <w:lvl w:ilvl="0" w:tplc="6D7C9886">
      <w:start w:val="1"/>
      <w:numFmt w:val="decimal"/>
      <w:lvlText w:val="%1."/>
      <w:lvlJc w:val="left"/>
      <w:pPr>
        <w:ind w:left="360" w:hanging="360"/>
      </w:pPr>
      <w:rPr>
        <w:rFonts w:hint="default"/>
        <w:w w:val="9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491580F"/>
    <w:multiLevelType w:val="hybridMultilevel"/>
    <w:tmpl w:val="456EF62E"/>
    <w:lvl w:ilvl="0" w:tplc="515EF7D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71CA9"/>
    <w:multiLevelType w:val="hybridMultilevel"/>
    <w:tmpl w:val="79BE0E96"/>
    <w:lvl w:ilvl="0" w:tplc="653E63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BE579E"/>
    <w:multiLevelType w:val="hybridMultilevel"/>
    <w:tmpl w:val="1786DB60"/>
    <w:lvl w:ilvl="0" w:tplc="4A0E674E">
      <w:start w:val="1"/>
      <w:numFmt w:val="decimal"/>
      <w:lvlText w:val="%1."/>
      <w:lvlJc w:val="left"/>
      <w:pPr>
        <w:ind w:left="360" w:hanging="360"/>
      </w:pPr>
      <w:rPr>
        <w:rFonts w:hint="default"/>
        <w:w w:val="9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1F00BD"/>
    <w:multiLevelType w:val="hybridMultilevel"/>
    <w:tmpl w:val="E6F03896"/>
    <w:lvl w:ilvl="0" w:tplc="D29C611E">
      <w:numFmt w:val="bullet"/>
      <w:lvlText w:val="-"/>
      <w:lvlJc w:val="left"/>
      <w:pPr>
        <w:ind w:left="720" w:hanging="360"/>
      </w:pPr>
      <w:rPr>
        <w:rFonts w:ascii="Arial" w:eastAsia="MS Mincho"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EF0D9E"/>
    <w:multiLevelType w:val="hybridMultilevel"/>
    <w:tmpl w:val="4B6CE00E"/>
    <w:lvl w:ilvl="0" w:tplc="653E632A">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BA1281"/>
    <w:multiLevelType w:val="hybridMultilevel"/>
    <w:tmpl w:val="9C04F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550E44"/>
    <w:multiLevelType w:val="hybridMultilevel"/>
    <w:tmpl w:val="0D306A08"/>
    <w:lvl w:ilvl="0" w:tplc="63CAB48C">
      <w:start w:val="1"/>
      <w:numFmt w:val="decimal"/>
      <w:lvlText w:val="%1."/>
      <w:lvlJc w:val="left"/>
      <w:pPr>
        <w:ind w:left="360" w:hanging="360"/>
      </w:pPr>
      <w:rPr>
        <w:rFonts w:hint="default"/>
        <w:w w:val="9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BEA18BC"/>
    <w:multiLevelType w:val="hybridMultilevel"/>
    <w:tmpl w:val="E4F05BBA"/>
    <w:lvl w:ilvl="0" w:tplc="22BE5BD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85128"/>
    <w:multiLevelType w:val="hybridMultilevel"/>
    <w:tmpl w:val="534E5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9"/>
  </w:num>
  <w:num w:numId="8">
    <w:abstractNumId w:val="8"/>
  </w:num>
  <w:num w:numId="9">
    <w:abstractNumId w:val="26"/>
  </w:num>
  <w:num w:numId="10">
    <w:abstractNumId w:val="13"/>
  </w:num>
  <w:num w:numId="11">
    <w:abstractNumId w:val="19"/>
  </w:num>
  <w:num w:numId="12">
    <w:abstractNumId w:val="27"/>
  </w:num>
  <w:num w:numId="13">
    <w:abstractNumId w:val="6"/>
  </w:num>
  <w:num w:numId="14">
    <w:abstractNumId w:val="1"/>
  </w:num>
  <w:num w:numId="15">
    <w:abstractNumId w:val="3"/>
  </w:num>
  <w:num w:numId="16">
    <w:abstractNumId w:val="2"/>
    <w:lvlOverride w:ilvl="0">
      <w:startOverride w:val="1"/>
    </w:lvlOverride>
  </w:num>
  <w:num w:numId="17">
    <w:abstractNumId w:val="5"/>
  </w:num>
  <w:num w:numId="18">
    <w:abstractNumId w:val="24"/>
  </w:num>
  <w:num w:numId="19">
    <w:abstractNumId w:val="11"/>
  </w:num>
  <w:num w:numId="20">
    <w:abstractNumId w:val="23"/>
  </w:num>
  <w:num w:numId="21">
    <w:abstractNumId w:val="20"/>
  </w:num>
  <w:num w:numId="22">
    <w:abstractNumId w:val="21"/>
  </w:num>
  <w:num w:numId="23">
    <w:abstractNumId w:val="18"/>
  </w:num>
  <w:num w:numId="24">
    <w:abstractNumId w:val="25"/>
  </w:num>
  <w:num w:numId="25">
    <w:abstractNumId w:val="14"/>
  </w:num>
  <w:num w:numId="26">
    <w:abstractNumId w:val="17"/>
  </w:num>
  <w:num w:numId="27">
    <w:abstractNumId w:val="15"/>
  </w:num>
  <w:num w:numId="28">
    <w:abstractNumId w:val="12"/>
  </w:num>
  <w:num w:numId="29">
    <w:abstractNumId w:val="10"/>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7F5E"/>
    <w:rsid w:val="000048EF"/>
    <w:rsid w:val="0002216F"/>
    <w:rsid w:val="00026AF6"/>
    <w:rsid w:val="000344F7"/>
    <w:rsid w:val="00045BC3"/>
    <w:rsid w:val="00045F25"/>
    <w:rsid w:val="00046179"/>
    <w:rsid w:val="00052088"/>
    <w:rsid w:val="00053FF9"/>
    <w:rsid w:val="00071F9B"/>
    <w:rsid w:val="00075888"/>
    <w:rsid w:val="000760F0"/>
    <w:rsid w:val="000770D2"/>
    <w:rsid w:val="00081524"/>
    <w:rsid w:val="00083D30"/>
    <w:rsid w:val="0008573A"/>
    <w:rsid w:val="000B7732"/>
    <w:rsid w:val="000C220F"/>
    <w:rsid w:val="000D1D7B"/>
    <w:rsid w:val="000E11F6"/>
    <w:rsid w:val="000F044B"/>
    <w:rsid w:val="00114621"/>
    <w:rsid w:val="00117CFE"/>
    <w:rsid w:val="00124ED5"/>
    <w:rsid w:val="00136F49"/>
    <w:rsid w:val="0014308D"/>
    <w:rsid w:val="0015463E"/>
    <w:rsid w:val="00180BC8"/>
    <w:rsid w:val="0018176C"/>
    <w:rsid w:val="00181D52"/>
    <w:rsid w:val="001902A7"/>
    <w:rsid w:val="001925DE"/>
    <w:rsid w:val="00196E15"/>
    <w:rsid w:val="001A3472"/>
    <w:rsid w:val="001A593E"/>
    <w:rsid w:val="001C1D9C"/>
    <w:rsid w:val="001C373D"/>
    <w:rsid w:val="001D46DC"/>
    <w:rsid w:val="001E349F"/>
    <w:rsid w:val="001F652A"/>
    <w:rsid w:val="001F6CF2"/>
    <w:rsid w:val="002022ED"/>
    <w:rsid w:val="00207DEF"/>
    <w:rsid w:val="00216FA0"/>
    <w:rsid w:val="00231C44"/>
    <w:rsid w:val="00233B49"/>
    <w:rsid w:val="00236CB1"/>
    <w:rsid w:val="00245467"/>
    <w:rsid w:val="002619D0"/>
    <w:rsid w:val="002670BA"/>
    <w:rsid w:val="002824BC"/>
    <w:rsid w:val="00284510"/>
    <w:rsid w:val="002A4242"/>
    <w:rsid w:val="002A7757"/>
    <w:rsid w:val="002B4E53"/>
    <w:rsid w:val="002C5ED5"/>
    <w:rsid w:val="002C7D20"/>
    <w:rsid w:val="002D0060"/>
    <w:rsid w:val="003019D0"/>
    <w:rsid w:val="00302567"/>
    <w:rsid w:val="003106DF"/>
    <w:rsid w:val="003110F8"/>
    <w:rsid w:val="00325184"/>
    <w:rsid w:val="003263E7"/>
    <w:rsid w:val="00330A78"/>
    <w:rsid w:val="00330D60"/>
    <w:rsid w:val="00334B72"/>
    <w:rsid w:val="00335F50"/>
    <w:rsid w:val="0036411D"/>
    <w:rsid w:val="00366181"/>
    <w:rsid w:val="003700F1"/>
    <w:rsid w:val="00375F99"/>
    <w:rsid w:val="00376860"/>
    <w:rsid w:val="00381816"/>
    <w:rsid w:val="00382B5D"/>
    <w:rsid w:val="00391161"/>
    <w:rsid w:val="00391441"/>
    <w:rsid w:val="00394784"/>
    <w:rsid w:val="003B2C90"/>
    <w:rsid w:val="003B3397"/>
    <w:rsid w:val="003B5145"/>
    <w:rsid w:val="003B5A71"/>
    <w:rsid w:val="003C6504"/>
    <w:rsid w:val="003D64F9"/>
    <w:rsid w:val="003D7090"/>
    <w:rsid w:val="003E448B"/>
    <w:rsid w:val="003F0E87"/>
    <w:rsid w:val="003F68AA"/>
    <w:rsid w:val="00401F58"/>
    <w:rsid w:val="004022DE"/>
    <w:rsid w:val="00404184"/>
    <w:rsid w:val="00406A8F"/>
    <w:rsid w:val="0042649D"/>
    <w:rsid w:val="00434FB0"/>
    <w:rsid w:val="00436E70"/>
    <w:rsid w:val="00443727"/>
    <w:rsid w:val="00452209"/>
    <w:rsid w:val="00452A7C"/>
    <w:rsid w:val="00463ABA"/>
    <w:rsid w:val="004721C6"/>
    <w:rsid w:val="004817C2"/>
    <w:rsid w:val="00484DA1"/>
    <w:rsid w:val="0049266C"/>
    <w:rsid w:val="004B6F64"/>
    <w:rsid w:val="004C1C8E"/>
    <w:rsid w:val="004C33A6"/>
    <w:rsid w:val="004D07FB"/>
    <w:rsid w:val="004D4F83"/>
    <w:rsid w:val="004F4435"/>
    <w:rsid w:val="0050627A"/>
    <w:rsid w:val="00510A71"/>
    <w:rsid w:val="005152A2"/>
    <w:rsid w:val="00520BFC"/>
    <w:rsid w:val="00525E16"/>
    <w:rsid w:val="00527ACE"/>
    <w:rsid w:val="00530A46"/>
    <w:rsid w:val="00531DE4"/>
    <w:rsid w:val="0054732C"/>
    <w:rsid w:val="005508B9"/>
    <w:rsid w:val="0056743F"/>
    <w:rsid w:val="00592797"/>
    <w:rsid w:val="005961D4"/>
    <w:rsid w:val="005A09C3"/>
    <w:rsid w:val="005A5D9F"/>
    <w:rsid w:val="005C4002"/>
    <w:rsid w:val="005C7B2C"/>
    <w:rsid w:val="005D0EED"/>
    <w:rsid w:val="005D0FF0"/>
    <w:rsid w:val="005D2519"/>
    <w:rsid w:val="005E46FB"/>
    <w:rsid w:val="005F2AFB"/>
    <w:rsid w:val="00602908"/>
    <w:rsid w:val="00603B59"/>
    <w:rsid w:val="00613FFE"/>
    <w:rsid w:val="00625C1B"/>
    <w:rsid w:val="006274F7"/>
    <w:rsid w:val="0063156C"/>
    <w:rsid w:val="00632B8F"/>
    <w:rsid w:val="00646BA9"/>
    <w:rsid w:val="00646C28"/>
    <w:rsid w:val="006471C1"/>
    <w:rsid w:val="006642CE"/>
    <w:rsid w:val="00672D0E"/>
    <w:rsid w:val="00684D96"/>
    <w:rsid w:val="00685266"/>
    <w:rsid w:val="00686B91"/>
    <w:rsid w:val="0068727E"/>
    <w:rsid w:val="006935A7"/>
    <w:rsid w:val="006950B1"/>
    <w:rsid w:val="006B5BDA"/>
    <w:rsid w:val="006C2E5F"/>
    <w:rsid w:val="006D4E1F"/>
    <w:rsid w:val="006D7CA7"/>
    <w:rsid w:val="006E2D5B"/>
    <w:rsid w:val="006F25C5"/>
    <w:rsid w:val="006F32FD"/>
    <w:rsid w:val="006F3E8B"/>
    <w:rsid w:val="00703BAF"/>
    <w:rsid w:val="007058BF"/>
    <w:rsid w:val="00736534"/>
    <w:rsid w:val="007422B3"/>
    <w:rsid w:val="0074430B"/>
    <w:rsid w:val="007444D4"/>
    <w:rsid w:val="00757ABA"/>
    <w:rsid w:val="00761426"/>
    <w:rsid w:val="00762FA1"/>
    <w:rsid w:val="00763CE2"/>
    <w:rsid w:val="00774C69"/>
    <w:rsid w:val="0077585C"/>
    <w:rsid w:val="00790F76"/>
    <w:rsid w:val="007924A1"/>
    <w:rsid w:val="007C7A22"/>
    <w:rsid w:val="007D23FC"/>
    <w:rsid w:val="007D4EBA"/>
    <w:rsid w:val="007D629D"/>
    <w:rsid w:val="007E294E"/>
    <w:rsid w:val="007E6CBE"/>
    <w:rsid w:val="00804938"/>
    <w:rsid w:val="008071BD"/>
    <w:rsid w:val="00813ADA"/>
    <w:rsid w:val="008161F3"/>
    <w:rsid w:val="00817987"/>
    <w:rsid w:val="00821651"/>
    <w:rsid w:val="0082203C"/>
    <w:rsid w:val="00831371"/>
    <w:rsid w:val="00846619"/>
    <w:rsid w:val="00857154"/>
    <w:rsid w:val="008615A6"/>
    <w:rsid w:val="00866082"/>
    <w:rsid w:val="00870442"/>
    <w:rsid w:val="0087591A"/>
    <w:rsid w:val="008912A0"/>
    <w:rsid w:val="008922DF"/>
    <w:rsid w:val="00893F86"/>
    <w:rsid w:val="00894A3D"/>
    <w:rsid w:val="008A15A8"/>
    <w:rsid w:val="008A2808"/>
    <w:rsid w:val="008B0E8C"/>
    <w:rsid w:val="008B72D1"/>
    <w:rsid w:val="008C1CC3"/>
    <w:rsid w:val="008C5355"/>
    <w:rsid w:val="008D0C2D"/>
    <w:rsid w:val="008D7277"/>
    <w:rsid w:val="008E1825"/>
    <w:rsid w:val="008E4C12"/>
    <w:rsid w:val="008F2691"/>
    <w:rsid w:val="008F6277"/>
    <w:rsid w:val="009040CB"/>
    <w:rsid w:val="00904B3E"/>
    <w:rsid w:val="00927802"/>
    <w:rsid w:val="00937DC0"/>
    <w:rsid w:val="0094632C"/>
    <w:rsid w:val="00953240"/>
    <w:rsid w:val="00963398"/>
    <w:rsid w:val="009641E2"/>
    <w:rsid w:val="00966589"/>
    <w:rsid w:val="00986F25"/>
    <w:rsid w:val="00993550"/>
    <w:rsid w:val="009A0433"/>
    <w:rsid w:val="009C173F"/>
    <w:rsid w:val="009D7772"/>
    <w:rsid w:val="009E66CB"/>
    <w:rsid w:val="009F4C23"/>
    <w:rsid w:val="009F552E"/>
    <w:rsid w:val="009F7457"/>
    <w:rsid w:val="00A01C2E"/>
    <w:rsid w:val="00A06CD9"/>
    <w:rsid w:val="00A15ECE"/>
    <w:rsid w:val="00A20142"/>
    <w:rsid w:val="00A21077"/>
    <w:rsid w:val="00A354E6"/>
    <w:rsid w:val="00A42422"/>
    <w:rsid w:val="00A42F0C"/>
    <w:rsid w:val="00A4486A"/>
    <w:rsid w:val="00A45070"/>
    <w:rsid w:val="00A46CB8"/>
    <w:rsid w:val="00A54494"/>
    <w:rsid w:val="00A957F5"/>
    <w:rsid w:val="00AA34AB"/>
    <w:rsid w:val="00AA43D8"/>
    <w:rsid w:val="00AA4630"/>
    <w:rsid w:val="00AA5EED"/>
    <w:rsid w:val="00AA76C6"/>
    <w:rsid w:val="00AD0AF5"/>
    <w:rsid w:val="00AD3033"/>
    <w:rsid w:val="00AD7EFA"/>
    <w:rsid w:val="00AE26C5"/>
    <w:rsid w:val="00AF7D11"/>
    <w:rsid w:val="00B10AE0"/>
    <w:rsid w:val="00B15306"/>
    <w:rsid w:val="00B434DB"/>
    <w:rsid w:val="00B4685C"/>
    <w:rsid w:val="00B7570E"/>
    <w:rsid w:val="00B95558"/>
    <w:rsid w:val="00B96050"/>
    <w:rsid w:val="00B965E5"/>
    <w:rsid w:val="00B96983"/>
    <w:rsid w:val="00BB1644"/>
    <w:rsid w:val="00BB167C"/>
    <w:rsid w:val="00BB3A45"/>
    <w:rsid w:val="00BC3B43"/>
    <w:rsid w:val="00BC50CF"/>
    <w:rsid w:val="00BE4E51"/>
    <w:rsid w:val="00BF45BF"/>
    <w:rsid w:val="00C05CA9"/>
    <w:rsid w:val="00C17CB8"/>
    <w:rsid w:val="00C26913"/>
    <w:rsid w:val="00C37A05"/>
    <w:rsid w:val="00C434C8"/>
    <w:rsid w:val="00C620E1"/>
    <w:rsid w:val="00C7494A"/>
    <w:rsid w:val="00C91D31"/>
    <w:rsid w:val="00CA09DF"/>
    <w:rsid w:val="00CC5386"/>
    <w:rsid w:val="00CD165F"/>
    <w:rsid w:val="00CD7D78"/>
    <w:rsid w:val="00CE720E"/>
    <w:rsid w:val="00D1100C"/>
    <w:rsid w:val="00D12031"/>
    <w:rsid w:val="00D15B41"/>
    <w:rsid w:val="00D16483"/>
    <w:rsid w:val="00D23CC0"/>
    <w:rsid w:val="00D2657C"/>
    <w:rsid w:val="00D36D11"/>
    <w:rsid w:val="00D414EE"/>
    <w:rsid w:val="00D44A80"/>
    <w:rsid w:val="00D566FD"/>
    <w:rsid w:val="00D625B6"/>
    <w:rsid w:val="00D636D8"/>
    <w:rsid w:val="00D6764A"/>
    <w:rsid w:val="00D7488A"/>
    <w:rsid w:val="00D921DD"/>
    <w:rsid w:val="00DB1064"/>
    <w:rsid w:val="00DB1086"/>
    <w:rsid w:val="00DB4DE1"/>
    <w:rsid w:val="00DC7FA8"/>
    <w:rsid w:val="00DE0F5C"/>
    <w:rsid w:val="00DE15FC"/>
    <w:rsid w:val="00DE75E3"/>
    <w:rsid w:val="00DF5AA3"/>
    <w:rsid w:val="00DF6259"/>
    <w:rsid w:val="00E024B4"/>
    <w:rsid w:val="00E10333"/>
    <w:rsid w:val="00E155D7"/>
    <w:rsid w:val="00E26799"/>
    <w:rsid w:val="00E31770"/>
    <w:rsid w:val="00E43370"/>
    <w:rsid w:val="00E5056E"/>
    <w:rsid w:val="00E509B2"/>
    <w:rsid w:val="00E62246"/>
    <w:rsid w:val="00E62C81"/>
    <w:rsid w:val="00E665DB"/>
    <w:rsid w:val="00E72FF6"/>
    <w:rsid w:val="00E82A39"/>
    <w:rsid w:val="00E82B69"/>
    <w:rsid w:val="00EA292C"/>
    <w:rsid w:val="00EB42B3"/>
    <w:rsid w:val="00EB7DCB"/>
    <w:rsid w:val="00EC0E53"/>
    <w:rsid w:val="00EC3387"/>
    <w:rsid w:val="00EC444C"/>
    <w:rsid w:val="00EC7EC3"/>
    <w:rsid w:val="00ED047E"/>
    <w:rsid w:val="00ED12BD"/>
    <w:rsid w:val="00ED3803"/>
    <w:rsid w:val="00ED7CEB"/>
    <w:rsid w:val="00EE42E0"/>
    <w:rsid w:val="00EF0534"/>
    <w:rsid w:val="00EF18A5"/>
    <w:rsid w:val="00F03CD8"/>
    <w:rsid w:val="00F03FBF"/>
    <w:rsid w:val="00F07D7D"/>
    <w:rsid w:val="00F15975"/>
    <w:rsid w:val="00F23A71"/>
    <w:rsid w:val="00F36B41"/>
    <w:rsid w:val="00F40D13"/>
    <w:rsid w:val="00F5119E"/>
    <w:rsid w:val="00F627EC"/>
    <w:rsid w:val="00F67F5E"/>
    <w:rsid w:val="00F70336"/>
    <w:rsid w:val="00F713A9"/>
    <w:rsid w:val="00F77186"/>
    <w:rsid w:val="00F8781F"/>
    <w:rsid w:val="00F90030"/>
    <w:rsid w:val="00FA1AFC"/>
    <w:rsid w:val="00FB350F"/>
    <w:rsid w:val="00FB7789"/>
    <w:rsid w:val="00FC2138"/>
    <w:rsid w:val="00FC5B92"/>
    <w:rsid w:val="00FC7BE6"/>
    <w:rsid w:val="00FD2081"/>
    <w:rsid w:val="00FF1EB6"/>
    <w:rsid w:val="00FF2B83"/>
    <w:rsid w:val="00FF4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83647-E4E9-4A35-A05E-7F976DFD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CE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471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ED12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67F5E"/>
    <w:pPr>
      <w:keepNext/>
      <w:numPr>
        <w:numId w:val="1"/>
      </w:numPr>
      <w:outlineLvl w:val="2"/>
    </w:pPr>
    <w:rPr>
      <w:rFonts w:ascii="Comic Sans MS" w:hAnsi="Comic Sans MS"/>
      <w:b/>
      <w:bCs/>
      <w:sz w:val="18"/>
      <w:szCs w:val="20"/>
    </w:rPr>
  </w:style>
  <w:style w:type="paragraph" w:styleId="Nagwek4">
    <w:name w:val="heading 4"/>
    <w:basedOn w:val="Normalny"/>
    <w:next w:val="Normalny"/>
    <w:link w:val="Nagwek4Znak"/>
    <w:qFormat/>
    <w:rsid w:val="002A4242"/>
    <w:pPr>
      <w:keepNext/>
      <w:widowControl w:val="0"/>
      <w:tabs>
        <w:tab w:val="num" w:pos="0"/>
      </w:tabs>
      <w:ind w:left="864" w:hanging="864"/>
      <w:jc w:val="center"/>
      <w:outlineLvl w:val="3"/>
    </w:pPr>
    <w:rPr>
      <w:rFonts w:eastAsia="Arial Unicode MS"/>
      <w:b/>
      <w:kern w:val="1"/>
      <w:sz w:val="28"/>
      <w:lang w:eastAsia="pl-PL"/>
    </w:rPr>
  </w:style>
  <w:style w:type="paragraph" w:styleId="Nagwek5">
    <w:name w:val="heading 5"/>
    <w:basedOn w:val="Normalny"/>
    <w:next w:val="Normalny"/>
    <w:link w:val="Nagwek5Znak"/>
    <w:qFormat/>
    <w:rsid w:val="002A4242"/>
    <w:pPr>
      <w:keepNext/>
      <w:widowControl w:val="0"/>
      <w:shd w:val="clear" w:color="auto" w:fill="FFFFFF"/>
      <w:tabs>
        <w:tab w:val="num" w:pos="0"/>
      </w:tabs>
      <w:ind w:right="140"/>
      <w:outlineLvl w:val="4"/>
    </w:pPr>
    <w:rPr>
      <w:rFonts w:eastAsia="Andale Sans UI" w:cs="Arial"/>
      <w:b/>
      <w:bCs/>
      <w:kern w:val="1"/>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67F5E"/>
    <w:rPr>
      <w:rFonts w:ascii="Comic Sans MS" w:eastAsia="Times New Roman" w:hAnsi="Comic Sans MS" w:cs="Times New Roman"/>
      <w:b/>
      <w:bCs/>
      <w:sz w:val="18"/>
      <w:szCs w:val="20"/>
      <w:lang w:eastAsia="ar-SA"/>
    </w:rPr>
  </w:style>
  <w:style w:type="character" w:styleId="Uwydatnienie">
    <w:name w:val="Emphasis"/>
    <w:qFormat/>
    <w:rsid w:val="00F67F5E"/>
    <w:rPr>
      <w:b/>
      <w:bCs/>
      <w:i w:val="0"/>
      <w:iCs w:val="0"/>
    </w:rPr>
  </w:style>
  <w:style w:type="paragraph" w:styleId="HTML-wstpniesformatowany">
    <w:name w:val="HTML Preformatted"/>
    <w:basedOn w:val="Normalny"/>
    <w:link w:val="HTML-wstpniesformatowanyZnak"/>
    <w:unhideWhenUsed/>
    <w:rsid w:val="00F6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F67F5E"/>
    <w:rPr>
      <w:rFonts w:ascii="Courier New" w:eastAsia="Times New Roman" w:hAnsi="Courier New" w:cs="Times New Roman"/>
      <w:sz w:val="20"/>
      <w:szCs w:val="20"/>
      <w:lang w:eastAsia="ar-SA"/>
    </w:rPr>
  </w:style>
  <w:style w:type="paragraph" w:styleId="Tekstprzypisudolnego">
    <w:name w:val="footnote text"/>
    <w:basedOn w:val="Normalny"/>
    <w:link w:val="TekstprzypisudolnegoZnak"/>
    <w:unhideWhenUsed/>
    <w:rsid w:val="00F67F5E"/>
    <w:pPr>
      <w:suppressAutoHyphens w:val="0"/>
    </w:pPr>
    <w:rPr>
      <w:sz w:val="20"/>
      <w:szCs w:val="20"/>
      <w:lang w:val="en-GB" w:eastAsia="pl-PL"/>
    </w:rPr>
  </w:style>
  <w:style w:type="character" w:customStyle="1" w:styleId="TekstprzypisudolnegoZnak">
    <w:name w:val="Tekst przypisu dolnego Znak"/>
    <w:basedOn w:val="Domylnaczcionkaakapitu"/>
    <w:link w:val="Tekstprzypisudolnego"/>
    <w:rsid w:val="00F67F5E"/>
    <w:rPr>
      <w:rFonts w:ascii="Times New Roman" w:eastAsia="Times New Roman" w:hAnsi="Times New Roman" w:cs="Times New Roman"/>
      <w:sz w:val="20"/>
      <w:szCs w:val="20"/>
      <w:lang w:val="en-GB" w:eastAsia="pl-PL"/>
    </w:rPr>
  </w:style>
  <w:style w:type="paragraph" w:styleId="Stopka">
    <w:name w:val="footer"/>
    <w:basedOn w:val="Normalny"/>
    <w:link w:val="StopkaZnak"/>
    <w:unhideWhenUsed/>
    <w:rsid w:val="00F67F5E"/>
    <w:pPr>
      <w:tabs>
        <w:tab w:val="center" w:pos="4536"/>
        <w:tab w:val="right" w:pos="9072"/>
      </w:tabs>
      <w:suppressAutoHyphens w:val="0"/>
    </w:pPr>
    <w:rPr>
      <w:sz w:val="20"/>
      <w:szCs w:val="20"/>
      <w:lang w:eastAsia="pl-PL"/>
    </w:rPr>
  </w:style>
  <w:style w:type="character" w:customStyle="1" w:styleId="StopkaZnak">
    <w:name w:val="Stopka Znak"/>
    <w:basedOn w:val="Domylnaczcionkaakapitu"/>
    <w:link w:val="Stopka"/>
    <w:rsid w:val="00F67F5E"/>
    <w:rPr>
      <w:rFonts w:ascii="Times New Roman" w:eastAsia="Times New Roman" w:hAnsi="Times New Roman" w:cs="Times New Roman"/>
      <w:sz w:val="20"/>
      <w:szCs w:val="20"/>
      <w:lang w:eastAsia="pl-PL"/>
    </w:rPr>
  </w:style>
  <w:style w:type="paragraph" w:customStyle="1" w:styleId="Standard">
    <w:name w:val="Standard"/>
    <w:rsid w:val="00F67F5E"/>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rsid w:val="00F67F5E"/>
    <w:pPr>
      <w:spacing w:after="120"/>
      <w:ind w:left="566"/>
    </w:pPr>
  </w:style>
  <w:style w:type="paragraph" w:styleId="Nagwek">
    <w:name w:val="header"/>
    <w:basedOn w:val="Normalny"/>
    <w:link w:val="NagwekZnak"/>
    <w:uiPriority w:val="99"/>
    <w:unhideWhenUsed/>
    <w:rsid w:val="00F67F5E"/>
    <w:pPr>
      <w:tabs>
        <w:tab w:val="center" w:pos="4536"/>
        <w:tab w:val="right" w:pos="9072"/>
      </w:tabs>
    </w:pPr>
  </w:style>
  <w:style w:type="character" w:customStyle="1" w:styleId="NagwekZnak">
    <w:name w:val="Nagłówek Znak"/>
    <w:basedOn w:val="Domylnaczcionkaakapitu"/>
    <w:link w:val="Nagwek"/>
    <w:uiPriority w:val="99"/>
    <w:rsid w:val="00F67F5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F67F5E"/>
    <w:rPr>
      <w:rFonts w:ascii="Tahoma" w:hAnsi="Tahoma"/>
      <w:sz w:val="16"/>
      <w:szCs w:val="16"/>
    </w:rPr>
  </w:style>
  <w:style w:type="character" w:customStyle="1" w:styleId="TekstdymkaZnak">
    <w:name w:val="Tekst dymka Znak"/>
    <w:basedOn w:val="Domylnaczcionkaakapitu"/>
    <w:link w:val="Tekstdymka"/>
    <w:uiPriority w:val="99"/>
    <w:semiHidden/>
    <w:rsid w:val="00F67F5E"/>
    <w:rPr>
      <w:rFonts w:ascii="Tahoma" w:eastAsia="Times New Roman" w:hAnsi="Tahoma" w:cs="Times New Roman"/>
      <w:sz w:val="16"/>
      <w:szCs w:val="16"/>
      <w:lang w:eastAsia="ar-SA"/>
    </w:rPr>
  </w:style>
  <w:style w:type="paragraph" w:styleId="Akapitzlist">
    <w:name w:val="List Paragraph"/>
    <w:aliases w:val="Numerowanie,List Paragraph,Akapit z listą BS,Kolorowa lista — akcent 11,Normal,sw tekst,Akapit z listą3,Akapit z listą31,Wypunktowanie,Normal2,L1,ISCG Numerowanie,lp1,2 heading,A_wyliczenie,K-P_odwolanie,Akapit z listą5,maz_wyliczenie"/>
    <w:basedOn w:val="Normalny"/>
    <w:link w:val="AkapitzlistZnak"/>
    <w:qFormat/>
    <w:rsid w:val="00F67F5E"/>
    <w:pPr>
      <w:ind w:left="720"/>
      <w:contextualSpacing/>
    </w:pPr>
  </w:style>
  <w:style w:type="character" w:customStyle="1" w:styleId="AkapitzlistZnak">
    <w:name w:val="Akapit z listą Znak"/>
    <w:aliases w:val="Numerowanie Znak,List Paragraph Znak,Akapit z listą BS Znak,Kolorowa lista — akcent 11 Znak,Normal Znak,sw tekst Znak,Akapit z listą3 Znak,Akapit z listą31 Znak,Wypunktowanie Znak,Normal2 Znak,L1 Znak,ISCG Numerowanie Znak,lp1 Znak"/>
    <w:link w:val="Akapitzlist"/>
    <w:qFormat/>
    <w:locked/>
    <w:rsid w:val="00F67F5E"/>
    <w:rPr>
      <w:rFonts w:ascii="Times New Roman" w:eastAsia="Times New Roman" w:hAnsi="Times New Roman" w:cs="Times New Roman"/>
      <w:sz w:val="24"/>
      <w:szCs w:val="24"/>
      <w:lang w:eastAsia="ar-SA"/>
    </w:rPr>
  </w:style>
  <w:style w:type="paragraph" w:customStyle="1" w:styleId="WW-Domylnie">
    <w:name w:val="WW-Domyślnie"/>
    <w:rsid w:val="00F67F5E"/>
    <w:pPr>
      <w:widowControl w:val="0"/>
      <w:suppressAutoHyphens/>
      <w:spacing w:after="0" w:line="100" w:lineRule="atLeast"/>
    </w:pPr>
    <w:rPr>
      <w:rFonts w:ascii="Times New Roman" w:eastAsia="Arial" w:hAnsi="Times New Roman" w:cs="Times New Roman"/>
      <w:kern w:val="2"/>
      <w:sz w:val="24"/>
      <w:szCs w:val="24"/>
      <w:lang w:eastAsia="ar-SA"/>
    </w:rPr>
  </w:style>
  <w:style w:type="paragraph" w:customStyle="1" w:styleId="Zawartotabeli">
    <w:name w:val="Zawartość tabeli"/>
    <w:basedOn w:val="Normalny"/>
    <w:rsid w:val="00F67F5E"/>
    <w:pPr>
      <w:suppressLineNumbers/>
    </w:pPr>
  </w:style>
  <w:style w:type="paragraph" w:styleId="Tekstpodstawowy">
    <w:name w:val="Body Text"/>
    <w:basedOn w:val="Normalny"/>
    <w:link w:val="TekstpodstawowyZnak"/>
    <w:rsid w:val="00F67F5E"/>
    <w:pPr>
      <w:overflowPunct w:val="0"/>
      <w:autoSpaceDE w:val="0"/>
      <w:spacing w:line="288" w:lineRule="auto"/>
    </w:pPr>
    <w:rPr>
      <w:rFonts w:ascii="Century Gothic" w:hAnsi="Century Gothic"/>
      <w:sz w:val="20"/>
    </w:rPr>
  </w:style>
  <w:style w:type="character" w:customStyle="1" w:styleId="TekstpodstawowyZnak">
    <w:name w:val="Tekst podstawowy Znak"/>
    <w:basedOn w:val="Domylnaczcionkaakapitu"/>
    <w:link w:val="Tekstpodstawowy"/>
    <w:rsid w:val="00F67F5E"/>
    <w:rPr>
      <w:rFonts w:ascii="Century Gothic" w:eastAsia="Times New Roman" w:hAnsi="Century Gothic" w:cs="Times New Roman"/>
      <w:sz w:val="20"/>
      <w:szCs w:val="24"/>
      <w:lang w:eastAsia="ar-SA"/>
    </w:rPr>
  </w:style>
  <w:style w:type="character" w:styleId="Pogrubienie">
    <w:name w:val="Strong"/>
    <w:basedOn w:val="Domylnaczcionkaakapitu"/>
    <w:uiPriority w:val="22"/>
    <w:qFormat/>
    <w:rsid w:val="00A354E6"/>
    <w:rPr>
      <w:b/>
      <w:bCs/>
    </w:rPr>
  </w:style>
  <w:style w:type="character" w:styleId="Numerwiersza">
    <w:name w:val="line number"/>
    <w:basedOn w:val="Domylnaczcionkaakapitu"/>
    <w:uiPriority w:val="99"/>
    <w:semiHidden/>
    <w:unhideWhenUsed/>
    <w:rsid w:val="00376860"/>
  </w:style>
  <w:style w:type="character" w:styleId="Odwoaniedokomentarza">
    <w:name w:val="annotation reference"/>
    <w:basedOn w:val="Domylnaczcionkaakapitu"/>
    <w:uiPriority w:val="99"/>
    <w:semiHidden/>
    <w:unhideWhenUsed/>
    <w:rsid w:val="00685266"/>
    <w:rPr>
      <w:sz w:val="16"/>
      <w:szCs w:val="16"/>
    </w:rPr>
  </w:style>
  <w:style w:type="paragraph" w:styleId="Tekstkomentarza">
    <w:name w:val="annotation text"/>
    <w:basedOn w:val="Normalny"/>
    <w:link w:val="TekstkomentarzaZnak"/>
    <w:uiPriority w:val="99"/>
    <w:semiHidden/>
    <w:unhideWhenUsed/>
    <w:rsid w:val="00685266"/>
    <w:rPr>
      <w:sz w:val="20"/>
      <w:szCs w:val="20"/>
    </w:rPr>
  </w:style>
  <w:style w:type="character" w:customStyle="1" w:styleId="TekstkomentarzaZnak">
    <w:name w:val="Tekst komentarza Znak"/>
    <w:basedOn w:val="Domylnaczcionkaakapitu"/>
    <w:link w:val="Tekstkomentarza"/>
    <w:uiPriority w:val="99"/>
    <w:semiHidden/>
    <w:rsid w:val="0068526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85266"/>
    <w:rPr>
      <w:b/>
      <w:bCs/>
    </w:rPr>
  </w:style>
  <w:style w:type="character" w:customStyle="1" w:styleId="TematkomentarzaZnak">
    <w:name w:val="Temat komentarza Znak"/>
    <w:basedOn w:val="TekstkomentarzaZnak"/>
    <w:link w:val="Tematkomentarza"/>
    <w:uiPriority w:val="99"/>
    <w:semiHidden/>
    <w:rsid w:val="00685266"/>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
    <w:rsid w:val="006471C1"/>
    <w:rPr>
      <w:rFonts w:asciiTheme="majorHAnsi" w:eastAsiaTheme="majorEastAsia" w:hAnsiTheme="majorHAnsi" w:cstheme="majorBidi"/>
      <w:color w:val="365F91" w:themeColor="accent1" w:themeShade="BF"/>
      <w:sz w:val="32"/>
      <w:szCs w:val="32"/>
      <w:lang w:eastAsia="ar-SA"/>
    </w:rPr>
  </w:style>
  <w:style w:type="character" w:customStyle="1" w:styleId="Nagwek2Znak">
    <w:name w:val="Nagłówek 2 Znak"/>
    <w:basedOn w:val="Domylnaczcionkaakapitu"/>
    <w:link w:val="Nagwek2"/>
    <w:rsid w:val="00ED12BD"/>
    <w:rPr>
      <w:rFonts w:asciiTheme="majorHAnsi" w:eastAsiaTheme="majorEastAsia" w:hAnsiTheme="majorHAnsi" w:cstheme="majorBidi"/>
      <w:b/>
      <w:bCs/>
      <w:color w:val="4F81BD" w:themeColor="accent1"/>
      <w:sz w:val="26"/>
      <w:szCs w:val="26"/>
      <w:lang w:eastAsia="ar-SA"/>
    </w:rPr>
  </w:style>
  <w:style w:type="table" w:styleId="Tabela-Siatka">
    <w:name w:val="Table Grid"/>
    <w:basedOn w:val="Standardowy"/>
    <w:uiPriority w:val="59"/>
    <w:rsid w:val="0059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2A4242"/>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2A4242"/>
    <w:rPr>
      <w:rFonts w:ascii="Times New Roman" w:eastAsia="Andale Sans UI" w:hAnsi="Times New Roman" w:cs="Arial"/>
      <w:b/>
      <w:bCs/>
      <w:kern w:val="1"/>
      <w:sz w:val="20"/>
      <w:szCs w:val="24"/>
      <w:shd w:val="clear" w:color="auto" w:fill="FFFFFF"/>
      <w:lang w:eastAsia="pl-PL"/>
    </w:rPr>
  </w:style>
  <w:style w:type="paragraph" w:customStyle="1" w:styleId="AbsatzTableFormat">
    <w:name w:val="AbsatzTableFormat"/>
    <w:basedOn w:val="Normalny"/>
    <w:rsid w:val="002A4242"/>
    <w:pPr>
      <w:spacing w:line="360" w:lineRule="auto"/>
    </w:pPr>
    <w:rPr>
      <w:rFonts w:eastAsia="MS Mincho"/>
      <w:bCs/>
      <w:sz w:val="20"/>
      <w:szCs w:val="16"/>
    </w:rPr>
  </w:style>
  <w:style w:type="paragraph" w:styleId="Bezodstpw">
    <w:name w:val="No Spacing"/>
    <w:uiPriority w:val="1"/>
    <w:qFormat/>
    <w:rsid w:val="002A4242"/>
    <w:pPr>
      <w:spacing w:after="0" w:line="240" w:lineRule="auto"/>
    </w:pPr>
    <w:rPr>
      <w:rFonts w:ascii="Calibri" w:eastAsia="Times New Roman" w:hAnsi="Calibri" w:cs="Times New Roman"/>
      <w:lang w:val="en-US" w:bidi="en-US"/>
    </w:rPr>
  </w:style>
  <w:style w:type="character" w:customStyle="1" w:styleId="gwp6ad392b6font">
    <w:name w:val="gwp6ad392b6_font"/>
    <w:basedOn w:val="Domylnaczcionkaakapitu"/>
    <w:rsid w:val="002A4242"/>
  </w:style>
  <w:style w:type="paragraph" w:styleId="NormalnyWeb">
    <w:name w:val="Normal (Web)"/>
    <w:basedOn w:val="Normalny"/>
    <w:uiPriority w:val="99"/>
    <w:unhideWhenUsed/>
    <w:rsid w:val="002A4242"/>
    <w:pPr>
      <w:suppressAutoHyphens w:val="0"/>
      <w:spacing w:before="100" w:beforeAutospacing="1" w:after="100" w:afterAutospacing="1"/>
    </w:pPr>
    <w:rPr>
      <w:lang w:eastAsia="pl-PL"/>
    </w:rPr>
  </w:style>
  <w:style w:type="paragraph" w:customStyle="1" w:styleId="Default">
    <w:name w:val="Default"/>
    <w:rsid w:val="002A424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186">
      <w:bodyDiv w:val="1"/>
      <w:marLeft w:val="0"/>
      <w:marRight w:val="0"/>
      <w:marTop w:val="0"/>
      <w:marBottom w:val="0"/>
      <w:divBdr>
        <w:top w:val="none" w:sz="0" w:space="0" w:color="auto"/>
        <w:left w:val="none" w:sz="0" w:space="0" w:color="auto"/>
        <w:bottom w:val="none" w:sz="0" w:space="0" w:color="auto"/>
        <w:right w:val="none" w:sz="0" w:space="0" w:color="auto"/>
      </w:divBdr>
    </w:div>
    <w:div w:id="18124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C27D-1BC6-4B58-AEBC-D50CC06A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7239</Words>
  <Characters>43434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Kaczara</dc:creator>
  <cp:lastModifiedBy>Anna Matys</cp:lastModifiedBy>
  <cp:revision>135</cp:revision>
  <dcterms:created xsi:type="dcterms:W3CDTF">2022-07-18T05:51:00Z</dcterms:created>
  <dcterms:modified xsi:type="dcterms:W3CDTF">2022-10-07T09:20:00Z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2022-06-21T09:54:40Z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038b69a6-c741-4d89-9e3e-a78ef6c944b1</vt:lpwstr>
  </property>
  <property fmtid="{D5CDD505-2E9C-101B-9397-08002B2CF9AE}" pid="8" name="MSIP_Label_ff6dbec8-95a8-4638-9f5f-bd076536645c_ContentBits">
    <vt:lpwstr>0</vt:lpwstr>
  </property>
</Properties>
</file>