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sz w:val="28"/>
          <w:szCs w:val="28"/>
        </w:rPr>
      </w:pPr>
      <w:r>
        <w:rPr>
          <w:rFonts w:ascii="Times New Roman" w:hAnsi="Times New Roman"/>
          <w:sz w:val="28"/>
          <w:szCs w:val="28"/>
        </w:rPr>
        <w:tab/>
      </w:r>
      <w:r>
        <w:rPr>
          <w:rFonts w:ascii="Calibri" w:hAnsi="Calibri" w:eastAsia="Calibri"/>
          <w:i/>
        </w:rPr>
        <w:drawing>
          <wp:inline distT="0" distB="0" distL="0" distR="0">
            <wp:extent cx="5654040" cy="792480"/>
            <wp:effectExtent l="0" t="0" r="3810" b="7620"/>
            <wp:docPr id="2" name="Obraz 2" descr="C:\Users\ANNA~1.BIL\AppData\Local\Temp\7zOC4BDAA9D\FE_POPC_poziom_pl-1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C:\Users\ANNA~1.BIL\AppData\Local\Temp\7zOC4BDAA9D\FE_POPC_poziom_pl-1_rg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654040" cy="792480"/>
                    </a:xfrm>
                    <a:prstGeom prst="rect">
                      <a:avLst/>
                    </a:prstGeom>
                    <a:noFill/>
                    <a:ln>
                      <a:noFill/>
                    </a:ln>
                  </pic:spPr>
                </pic:pic>
              </a:graphicData>
            </a:graphic>
          </wp:inline>
        </w:drawing>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pPr>
        <w:ind w:left="4956" w:firstLine="708"/>
        <w:jc w:val="center"/>
        <w:rPr>
          <w:rFonts w:ascii="Times New Roman" w:hAnsi="Times New Roman"/>
          <w:sz w:val="28"/>
          <w:szCs w:val="28"/>
        </w:rPr>
      </w:pPr>
      <w:r>
        <w:rPr>
          <w:rFonts w:ascii="Times New Roman" w:hAnsi="Times New Roman"/>
          <w:sz w:val="28"/>
          <w:szCs w:val="28"/>
        </w:rPr>
        <w:t xml:space="preserve">Załącznik do oferty </w:t>
      </w:r>
    </w:p>
    <w:p>
      <w:pPr>
        <w:ind w:left="5664" w:firstLine="708"/>
        <w:rPr>
          <w:rFonts w:hint="default" w:ascii="Times New Roman" w:hAnsi="Times New Roman"/>
          <w:sz w:val="28"/>
          <w:szCs w:val="28"/>
          <w:lang w:val="pl-PL"/>
        </w:rPr>
      </w:pPr>
      <w:r>
        <w:rPr>
          <w:rFonts w:ascii="Times New Roman" w:hAnsi="Times New Roman"/>
          <w:sz w:val="28"/>
          <w:szCs w:val="28"/>
        </w:rPr>
        <w:t xml:space="preserve"> Załącznik nr 1</w:t>
      </w:r>
      <w:r>
        <w:rPr>
          <w:rFonts w:hint="default" w:ascii="Times New Roman" w:hAnsi="Times New Roman"/>
          <w:sz w:val="28"/>
          <w:szCs w:val="28"/>
          <w:lang w:val="pl-PL"/>
        </w:rPr>
        <w:t>C</w:t>
      </w:r>
    </w:p>
    <w:p>
      <w:pPr>
        <w:ind w:left="4956" w:firstLine="708"/>
        <w:jc w:val="center"/>
        <w:rPr>
          <w:rFonts w:ascii="Times New Roman" w:hAnsi="Times New Roman"/>
          <w:sz w:val="28"/>
          <w:szCs w:val="28"/>
        </w:rPr>
      </w:pPr>
    </w:p>
    <w:p>
      <w:pPr>
        <w:pStyle w:val="14"/>
        <w:spacing w:after="160" w:line="259" w:lineRule="auto"/>
        <w:ind w:left="567"/>
        <w:contextualSpacing/>
        <w:jc w:val="center"/>
        <w:rPr>
          <w:rFonts w:ascii="Times New Roman" w:hAnsi="Times New Roman"/>
          <w:sz w:val="28"/>
          <w:szCs w:val="28"/>
        </w:rPr>
      </w:pPr>
      <w:r>
        <w:rPr>
          <w:rFonts w:ascii="Times New Roman" w:hAnsi="Times New Roman"/>
          <w:sz w:val="28"/>
          <w:szCs w:val="28"/>
        </w:rPr>
        <w:t xml:space="preserve">Minimalne parametry techniczne i funkcjonalne </w:t>
      </w:r>
    </w:p>
    <w:p>
      <w:pPr>
        <w:pStyle w:val="14"/>
        <w:spacing w:after="160" w:line="259" w:lineRule="auto"/>
        <w:ind w:left="567"/>
        <w:contextualSpacing/>
        <w:jc w:val="center"/>
        <w:rPr>
          <w:rFonts w:hint="default" w:ascii="Times New Roman" w:hAnsi="Times New Roman"/>
          <w:sz w:val="28"/>
          <w:szCs w:val="28"/>
          <w:lang w:val="pl-PL"/>
        </w:rPr>
      </w:pPr>
      <w:r>
        <w:rPr>
          <w:rFonts w:hint="default" w:ascii="Times New Roman" w:hAnsi="Times New Roman"/>
          <w:sz w:val="28"/>
          <w:szCs w:val="28"/>
          <w:lang w:val="pl-PL"/>
        </w:rPr>
        <w:t>Serwer backup-u</w:t>
      </w:r>
    </w:p>
    <w:p>
      <w:pPr>
        <w:jc w:val="cente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p>
    <w:tbl>
      <w:tblPr>
        <w:tblStyle w:val="3"/>
        <w:tblW w:w="5475" w:type="pct"/>
        <w:tblInd w:w="-4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1" w:type="dxa"/>
          <w:bottom w:w="0" w:type="dxa"/>
          <w:right w:w="71" w:type="dxa"/>
        </w:tblCellMar>
      </w:tblPr>
      <w:tblGrid>
        <w:gridCol w:w="409"/>
        <w:gridCol w:w="1436"/>
        <w:gridCol w:w="6493"/>
        <w:gridCol w:w="2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84" w:hRule="atLeast"/>
        </w:trPr>
        <w:tc>
          <w:tcPr>
            <w:tcW w:w="3950" w:type="pct"/>
            <w:gridSpan w:val="3"/>
            <w:shd w:val="clear" w:color="auto" w:fill="auto"/>
            <w:vAlign w:val="center"/>
          </w:tcPr>
          <w:p>
            <w:pPr>
              <w:rPr>
                <w:rFonts w:ascii="Verdana" w:hAnsi="Verdana" w:cs="Arial"/>
                <w:b/>
                <w:sz w:val="20"/>
              </w:rPr>
            </w:pPr>
            <w:r>
              <w:rPr>
                <w:rFonts w:ascii="Verdana" w:hAnsi="Verdana" w:cs="Arial"/>
                <w:b/>
                <w:sz w:val="20"/>
              </w:rPr>
              <w:t>Szczegółowy opis</w:t>
            </w:r>
          </w:p>
        </w:tc>
        <w:tc>
          <w:tcPr>
            <w:tcW w:w="1049" w:type="pct"/>
            <w:vAlign w:val="center"/>
          </w:tcPr>
          <w:p>
            <w:pPr>
              <w:ind w:left="-71"/>
              <w:jc w:val="both"/>
              <w:rPr>
                <w:rFonts w:ascii="Verdana" w:hAnsi="Verdana" w:cs="Arial"/>
                <w:b/>
                <w:sz w:val="20"/>
              </w:rPr>
            </w:pPr>
            <w:r>
              <w:rPr>
                <w:rFonts w:ascii="Verdana" w:hAnsi="Verdana" w:cs="Arial"/>
                <w:b/>
                <w:sz w:val="20"/>
              </w:rPr>
              <w:t>Parametry oferowane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84" w:hRule="atLeast"/>
        </w:trPr>
        <w:tc>
          <w:tcPr>
            <w:tcW w:w="3950" w:type="pct"/>
            <w:gridSpan w:val="3"/>
            <w:shd w:val="clear" w:color="auto" w:fill="auto"/>
            <w:vAlign w:val="center"/>
          </w:tcPr>
          <w:p>
            <w:pPr>
              <w:rPr>
                <w:rFonts w:ascii="Verdana" w:hAnsi="Verdana" w:cs="Arial"/>
                <w:sz w:val="20"/>
              </w:rPr>
            </w:pPr>
            <w:r>
              <w:rPr>
                <w:rFonts w:ascii="Verdana" w:hAnsi="Verdana" w:cs="Arial"/>
                <w:sz w:val="20"/>
              </w:rPr>
              <w:t>Serwer</w:t>
            </w:r>
          </w:p>
          <w:p>
            <w:pPr>
              <w:jc w:val="both"/>
              <w:rPr>
                <w:rFonts w:ascii="Verdana" w:hAnsi="Verdana" w:cs="Arial"/>
                <w:sz w:val="20"/>
              </w:rPr>
            </w:pPr>
          </w:p>
          <w:p>
            <w:pPr>
              <w:jc w:val="both"/>
              <w:rPr>
                <w:rFonts w:ascii="Verdana" w:hAnsi="Verdana" w:cs="Arial"/>
                <w:sz w:val="20"/>
              </w:rPr>
            </w:pPr>
            <w:r>
              <w:rPr>
                <w:rFonts w:ascii="Verdana" w:hAnsi="Verdana" w:cs="Arial"/>
                <w:sz w:val="20"/>
              </w:rPr>
              <w:t>W ofercie należy podać nazwę producenta, typ, model oraz numer katalogowy (numer konfiguracji lub part numer) oferowanego sprzętu umożliwiający jednoznaczną identyfikację oferowanej konfiguracji.  Jeśli na stronie internetowej producenta nie jest dostępna pełna oferta modeli sprzętu wraz z jego konfiguracją, do oferty należy dołączyć katalog producenta zaoferowanego produktu umożliwiający weryfikację oferty pod kątem zgodności z wymaganiami Zamawiającego.</w:t>
            </w:r>
          </w:p>
          <w:p>
            <w:pPr>
              <w:jc w:val="both"/>
              <w:rPr>
                <w:rFonts w:ascii="Verdana" w:hAnsi="Verdana" w:cs="Arial"/>
                <w:sz w:val="20"/>
              </w:rPr>
            </w:pPr>
            <w:r>
              <w:rPr>
                <w:rFonts w:ascii="Verdana" w:hAnsi="Verdana" w:cs="Arial"/>
                <w:bCs/>
                <w:sz w:val="20"/>
              </w:rPr>
              <w:t>Nie dopuszcza się zaoferowania komputera refurbished.</w:t>
            </w:r>
          </w:p>
        </w:tc>
        <w:tc>
          <w:tcPr>
            <w:tcW w:w="1049" w:type="pct"/>
          </w:tcPr>
          <w:p>
            <w:pPr>
              <w:spacing w:line="360" w:lineRule="auto"/>
              <w:rPr>
                <w:rFonts w:ascii="Verdana" w:hAnsi="Verdana" w:cs="Arial"/>
                <w:sz w:val="20"/>
              </w:rPr>
            </w:pPr>
            <w:r>
              <w:rPr>
                <w:rFonts w:ascii="Verdana" w:hAnsi="Verdana" w:cs="Arial"/>
                <w:sz w:val="20"/>
              </w:rPr>
              <w:t>Producent:</w:t>
            </w:r>
          </w:p>
          <w:p>
            <w:pPr>
              <w:spacing w:line="360" w:lineRule="auto"/>
              <w:rPr>
                <w:rFonts w:ascii="Verdana" w:hAnsi="Verdana" w:cs="Arial"/>
                <w:sz w:val="20"/>
              </w:rPr>
            </w:pPr>
            <w:r>
              <w:rPr>
                <w:rFonts w:ascii="Verdana" w:hAnsi="Verdana" w:cs="Arial"/>
                <w:sz w:val="20"/>
              </w:rPr>
              <w:t>……………………….</w:t>
            </w:r>
          </w:p>
          <w:p>
            <w:pPr>
              <w:spacing w:line="360" w:lineRule="auto"/>
              <w:rPr>
                <w:rFonts w:hint="default" w:ascii="Verdana" w:hAnsi="Verdana" w:cs="Arial"/>
                <w:sz w:val="20"/>
                <w:lang w:val="pl-PL"/>
              </w:rPr>
            </w:pPr>
            <w:r>
              <w:rPr>
                <w:rFonts w:hint="default" w:ascii="Verdana" w:hAnsi="Verdana" w:cs="Arial"/>
                <w:sz w:val="20"/>
                <w:lang w:val="pl-PL"/>
              </w:rPr>
              <w:t>Typ</w:t>
            </w:r>
          </w:p>
          <w:p>
            <w:pPr>
              <w:spacing w:line="360" w:lineRule="auto"/>
              <w:rPr>
                <w:rFonts w:hint="default" w:ascii="Verdana" w:hAnsi="Verdana" w:cs="Arial"/>
                <w:sz w:val="20"/>
                <w:lang w:val="pl-PL"/>
              </w:rPr>
            </w:pPr>
            <w:r>
              <w:rPr>
                <w:rFonts w:hint="default" w:ascii="Verdana" w:hAnsi="Verdana" w:cs="Arial"/>
                <w:sz w:val="20"/>
                <w:lang w:val="pl-PL"/>
              </w:rPr>
              <w:t>.........................</w:t>
            </w:r>
          </w:p>
          <w:p>
            <w:pPr>
              <w:spacing w:line="360" w:lineRule="auto"/>
              <w:rPr>
                <w:rFonts w:ascii="Verdana" w:hAnsi="Verdana" w:cs="Arial"/>
                <w:sz w:val="20"/>
              </w:rPr>
            </w:pPr>
            <w:r>
              <w:rPr>
                <w:rFonts w:ascii="Verdana" w:hAnsi="Verdana" w:cs="Arial"/>
                <w:sz w:val="20"/>
              </w:rPr>
              <w:t>Model:</w:t>
            </w:r>
          </w:p>
          <w:p>
            <w:pPr>
              <w:spacing w:line="360" w:lineRule="auto"/>
              <w:rPr>
                <w:rFonts w:ascii="Verdana" w:hAnsi="Verdana" w:cs="Arial"/>
                <w:sz w:val="20"/>
              </w:rPr>
            </w:pPr>
            <w:r>
              <w:rPr>
                <w:rFonts w:ascii="Verdana" w:hAnsi="Verdana" w:cs="Arial"/>
                <w:sz w:val="20"/>
              </w:rPr>
              <w:t>……………………….</w:t>
            </w:r>
          </w:p>
          <w:p>
            <w:pPr>
              <w:spacing w:line="360" w:lineRule="auto"/>
              <w:rPr>
                <w:rFonts w:ascii="Verdana" w:hAnsi="Verdana" w:cs="Arial"/>
                <w:sz w:val="20"/>
              </w:rPr>
            </w:pPr>
            <w:r>
              <w:rPr>
                <w:rFonts w:ascii="Verdana" w:hAnsi="Verdana" w:cs="Arial"/>
                <w:sz w:val="20"/>
              </w:rPr>
              <w:t>Numer katalogowy (numer konfiguracji lub part numer):</w:t>
            </w:r>
          </w:p>
          <w:p>
            <w:pPr>
              <w:spacing w:line="360" w:lineRule="auto"/>
              <w:rPr>
                <w:rFonts w:ascii="Verdana" w:hAnsi="Verdana" w:cs="Arial"/>
                <w:sz w:val="20"/>
              </w:rPr>
            </w:pPr>
            <w:r>
              <w:rPr>
                <w:rFonts w:ascii="Verdana" w:hAnsi="Verdana" w:cs="Arial"/>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84" w:hRule="atLeast"/>
        </w:trPr>
        <w:tc>
          <w:tcPr>
            <w:tcW w:w="3950" w:type="pct"/>
            <w:gridSpan w:val="3"/>
            <w:shd w:val="clear" w:color="auto" w:fill="auto"/>
            <w:vAlign w:val="center"/>
          </w:tcPr>
          <w:p>
            <w:pPr>
              <w:rPr>
                <w:rFonts w:ascii="Verdana" w:hAnsi="Verdana" w:cs="Arial"/>
                <w:sz w:val="20"/>
              </w:rPr>
            </w:pPr>
            <w:r>
              <w:rPr>
                <w:rFonts w:ascii="Verdana" w:hAnsi="Verdana" w:cs="Arial"/>
                <w:sz w:val="20"/>
              </w:rPr>
              <w:t>Nie dopuszcza się modyfikacji na drodze Producent-Zamawiający.</w:t>
            </w:r>
          </w:p>
        </w:tc>
        <w:tc>
          <w:tcPr>
            <w:tcW w:w="1049" w:type="pct"/>
          </w:tcPr>
          <w:p>
            <w:pPr>
              <w:spacing w:line="360" w:lineRule="auto"/>
              <w:rPr>
                <w:rFonts w:ascii="Verdana" w:hAnsi="Verdana"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84" w:hRule="atLeast"/>
        </w:trPr>
        <w:tc>
          <w:tcPr>
            <w:tcW w:w="193" w:type="pct"/>
            <w:vAlign w:val="center"/>
          </w:tcPr>
          <w:p>
            <w:pPr>
              <w:rPr>
                <w:rFonts w:ascii="Times New Roman" w:hAnsi="Times New Roman"/>
                <w:bCs/>
                <w:szCs w:val="22"/>
              </w:rPr>
            </w:pPr>
            <w:r>
              <w:rPr>
                <w:rFonts w:ascii="Times New Roman" w:hAnsi="Times New Roman"/>
                <w:b/>
                <w:szCs w:val="22"/>
                <w:lang w:eastAsia="en-US"/>
              </w:rPr>
              <w:t>Lp.</w:t>
            </w:r>
          </w:p>
        </w:tc>
        <w:tc>
          <w:tcPr>
            <w:tcW w:w="680" w:type="pct"/>
            <w:vAlign w:val="center"/>
          </w:tcPr>
          <w:p>
            <w:pPr>
              <w:rPr>
                <w:rFonts w:ascii="Times New Roman" w:hAnsi="Times New Roman"/>
                <w:bCs/>
                <w:szCs w:val="22"/>
              </w:rPr>
            </w:pPr>
            <w:r>
              <w:rPr>
                <w:rFonts w:ascii="Times New Roman" w:hAnsi="Times New Roman"/>
                <w:b/>
                <w:szCs w:val="22"/>
              </w:rPr>
              <w:t>Nazwa komponentu</w:t>
            </w:r>
          </w:p>
        </w:tc>
        <w:tc>
          <w:tcPr>
            <w:tcW w:w="3076" w:type="pct"/>
            <w:vAlign w:val="center"/>
          </w:tcPr>
          <w:p>
            <w:pPr>
              <w:rPr>
                <w:rFonts w:ascii="Times New Roman" w:hAnsi="Times New Roman"/>
                <w:szCs w:val="22"/>
              </w:rPr>
            </w:pPr>
            <w:r>
              <w:rPr>
                <w:rFonts w:ascii="Times New Roman" w:hAnsi="Times New Roman"/>
                <w:b/>
                <w:szCs w:val="22"/>
              </w:rPr>
              <w:t>Wymagane minimalne</w:t>
            </w:r>
          </w:p>
        </w:tc>
        <w:tc>
          <w:tcPr>
            <w:tcW w:w="1049" w:type="pct"/>
          </w:tcPr>
          <w:p>
            <w:pPr>
              <w:rPr>
                <w:rFonts w:ascii="Times New Roman" w:hAnsi="Times New Roman"/>
                <w:b/>
                <w:szCs w:val="22"/>
              </w:rPr>
            </w:pPr>
            <w:r>
              <w:rPr>
                <w:rFonts w:ascii="Times New Roman" w:hAnsi="Times New Roman"/>
                <w:b/>
                <w:szCs w:val="22"/>
              </w:rPr>
              <w:t>Parametry i Spełnienie wymagań.</w:t>
            </w:r>
          </w:p>
          <w:p>
            <w:pPr>
              <w:rPr>
                <w:rFonts w:ascii="Times New Roman" w:hAnsi="Times New Roman"/>
                <w:b/>
                <w:szCs w:val="22"/>
              </w:rPr>
            </w:pPr>
          </w:p>
          <w:p>
            <w:pPr>
              <w:contextualSpacing/>
              <w:rPr>
                <w:rFonts w:cs="Calibri"/>
                <w:b/>
                <w:bCs/>
              </w:rPr>
            </w:pPr>
            <w:r>
              <w:rPr>
                <w:rFonts w:cs="Calibri"/>
                <w:b/>
                <w:bCs/>
              </w:rPr>
              <w:t>Spełnia /nie spełnia</w:t>
            </w:r>
          </w:p>
          <w:p>
            <w:pPr>
              <w:rPr>
                <w:rFonts w:ascii="Times New Roman" w:hAnsi="Times New Roman"/>
                <w:szCs w:val="22"/>
              </w:rPr>
            </w:pPr>
            <w:r>
              <w:rPr>
                <w:rFonts w:cs="Calibri"/>
                <w:b/>
                <w:bCs/>
                <w:color w:val="FF0000"/>
                <w:sz w:val="16"/>
                <w:szCs w:val="16"/>
              </w:rPr>
              <w:t>(wypełnia Wykonawca)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388" w:hRule="atLeast"/>
        </w:trPr>
        <w:tc>
          <w:tcPr>
            <w:tcW w:w="193" w:type="pct"/>
          </w:tcPr>
          <w:p>
            <w:pPr>
              <w:numPr>
                <w:ilvl w:val="0"/>
                <w:numId w:val="1"/>
              </w:numPr>
              <w:rPr>
                <w:rFonts w:ascii="Verdana" w:hAnsi="Verdana" w:cs="Arial"/>
                <w:bCs/>
                <w:sz w:val="20"/>
              </w:rPr>
            </w:pPr>
          </w:p>
        </w:tc>
        <w:tc>
          <w:tcPr>
            <w:tcW w:w="680" w:type="pct"/>
          </w:tcPr>
          <w:p>
            <w:pPr>
              <w:rPr>
                <w:rFonts w:ascii="Verdana" w:hAnsi="Verdana" w:cs="Arial"/>
                <w:bCs/>
                <w:sz w:val="20"/>
              </w:rPr>
            </w:pPr>
            <w:r>
              <w:rPr>
                <w:rFonts w:ascii="Verdana" w:hAnsi="Verdana" w:cs="Arial"/>
                <w:bCs/>
                <w:sz w:val="20"/>
              </w:rPr>
              <w:t>ilość</w:t>
            </w:r>
          </w:p>
        </w:tc>
        <w:tc>
          <w:tcPr>
            <w:tcW w:w="3076" w:type="pct"/>
          </w:tcPr>
          <w:p>
            <w:pPr>
              <w:jc w:val="both"/>
              <w:outlineLvl w:val="0"/>
              <w:rPr>
                <w:rFonts w:ascii="Verdana" w:hAnsi="Verdana" w:cs="Arial"/>
                <w:szCs w:val="22"/>
              </w:rPr>
            </w:pPr>
            <w:r>
              <w:rPr>
                <w:rFonts w:ascii="Verdana" w:hAnsi="Verdana" w:cs="Arial"/>
              </w:rPr>
              <w:t>1</w:t>
            </w:r>
          </w:p>
        </w:tc>
        <w:tc>
          <w:tcPr>
            <w:tcW w:w="1049" w:type="pct"/>
          </w:tcPr>
          <w:p>
            <w:pPr>
              <w:spacing w:line="360" w:lineRule="auto"/>
              <w:outlineLvl w:val="0"/>
              <w:rPr>
                <w:rFonts w:ascii="Verdana" w:hAnsi="Verdana"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436" w:hRule="atLeast"/>
        </w:trPr>
        <w:tc>
          <w:tcPr>
            <w:tcW w:w="193" w:type="pct"/>
          </w:tcPr>
          <w:p>
            <w:pPr>
              <w:numPr>
                <w:ilvl w:val="0"/>
                <w:numId w:val="1"/>
              </w:numPr>
              <w:rPr>
                <w:rFonts w:ascii="Verdana" w:hAnsi="Verdana" w:cs="Arial"/>
                <w:bCs/>
                <w:sz w:val="20"/>
              </w:rPr>
            </w:pPr>
          </w:p>
        </w:tc>
        <w:tc>
          <w:tcPr>
            <w:tcW w:w="680" w:type="pct"/>
          </w:tcPr>
          <w:p>
            <w:pPr>
              <w:rPr>
                <w:rFonts w:ascii="Verdana" w:hAnsi="Verdana" w:cs="Arial"/>
                <w:bCs/>
                <w:sz w:val="20"/>
              </w:rPr>
            </w:pPr>
            <w:r>
              <w:rPr>
                <w:rFonts w:ascii="Verdana" w:hAnsi="Verdana" w:cs="Arial"/>
                <w:bCs/>
                <w:sz w:val="20"/>
              </w:rPr>
              <w:t>Obudowa</w:t>
            </w:r>
          </w:p>
        </w:tc>
        <w:tc>
          <w:tcPr>
            <w:tcW w:w="3076" w:type="pct"/>
          </w:tcPr>
          <w:p>
            <w:pPr>
              <w:jc w:val="both"/>
              <w:outlineLvl w:val="0"/>
              <w:rPr>
                <w:rFonts w:ascii="Verdana" w:hAnsi="Verdana"/>
                <w:color w:val="000000"/>
                <w:sz w:val="20"/>
              </w:rPr>
            </w:pPr>
            <w:r>
              <w:rPr>
                <w:rFonts w:ascii="Verdana" w:hAnsi="Verdana"/>
                <w:color w:val="000000"/>
                <w:sz w:val="20"/>
              </w:rPr>
              <w:t>Obudowa: Maksymalna wysokość 2U. Minimalna ilość zatok hot-plug 3.5": 12.</w:t>
            </w:r>
          </w:p>
          <w:p>
            <w:pPr>
              <w:jc w:val="both"/>
              <w:outlineLvl w:val="0"/>
              <w:rPr>
                <w:rFonts w:ascii="Verdana" w:hAnsi="Verdana" w:cs="Arial"/>
                <w:sz w:val="20"/>
              </w:rPr>
            </w:pPr>
          </w:p>
        </w:tc>
        <w:tc>
          <w:tcPr>
            <w:tcW w:w="1049" w:type="pct"/>
          </w:tcPr>
          <w:p>
            <w:pPr>
              <w:autoSpaceDE w:val="0"/>
              <w:autoSpaceDN w:val="0"/>
              <w:adjustRightInd w:val="0"/>
              <w:jc w:val="center"/>
              <w:rPr>
                <w:rFonts w:ascii="Times New Roman" w:hAnsi="Times New Roman"/>
                <w:szCs w:val="22"/>
              </w:rPr>
            </w:pPr>
          </w:p>
          <w:p>
            <w:pPr>
              <w:autoSpaceDE w:val="0"/>
              <w:autoSpaceDN w:val="0"/>
              <w:adjustRightInd w:val="0"/>
              <w:jc w:val="center"/>
              <w:rPr>
                <w:rFonts w:ascii="Verdana" w:hAnsi="Verdana"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84" w:hRule="atLeast"/>
        </w:trPr>
        <w:tc>
          <w:tcPr>
            <w:tcW w:w="193" w:type="pct"/>
          </w:tcPr>
          <w:p>
            <w:pPr>
              <w:numPr>
                <w:ilvl w:val="0"/>
                <w:numId w:val="1"/>
              </w:numPr>
              <w:rPr>
                <w:rFonts w:ascii="Verdana" w:hAnsi="Verdana" w:cs="Arial"/>
                <w:bCs/>
                <w:sz w:val="20"/>
              </w:rPr>
            </w:pPr>
          </w:p>
        </w:tc>
        <w:tc>
          <w:tcPr>
            <w:tcW w:w="680" w:type="pct"/>
          </w:tcPr>
          <w:p>
            <w:pPr>
              <w:rPr>
                <w:rFonts w:ascii="Verdana" w:hAnsi="Verdana" w:cs="Arial"/>
                <w:bCs/>
                <w:sz w:val="20"/>
              </w:rPr>
            </w:pPr>
            <w:r>
              <w:rPr>
                <w:rFonts w:ascii="Verdana" w:hAnsi="Verdana" w:cs="Arial"/>
                <w:bCs/>
                <w:sz w:val="20"/>
              </w:rPr>
              <w:t>Płyta główna</w:t>
            </w:r>
          </w:p>
        </w:tc>
        <w:tc>
          <w:tcPr>
            <w:tcW w:w="3076" w:type="pct"/>
            <w:tcBorders>
              <w:top w:val="nil"/>
              <w:left w:val="nil"/>
              <w:bottom w:val="single" w:color="auto" w:sz="8" w:space="0"/>
              <w:right w:val="single" w:color="auto" w:sz="8" w:space="0"/>
            </w:tcBorders>
            <w:shd w:val="clear" w:color="auto" w:fill="auto"/>
          </w:tcPr>
          <w:p>
            <w:pPr>
              <w:autoSpaceDE w:val="0"/>
              <w:autoSpaceDN w:val="0"/>
              <w:adjustRightInd w:val="0"/>
              <w:jc w:val="both"/>
              <w:rPr>
                <w:rFonts w:ascii="Verdana" w:hAnsi="Verdana"/>
                <w:color w:val="000000" w:themeColor="text1"/>
                <w:sz w:val="20"/>
                <w14:textFill>
                  <w14:solidFill>
                    <w14:schemeClr w14:val="tx1"/>
                  </w14:solidFill>
                </w14:textFill>
              </w:rPr>
            </w:pPr>
            <w:r>
              <w:rPr>
                <w:rFonts w:ascii="Verdana" w:hAnsi="Verdana"/>
                <w:color w:val="000000" w:themeColor="text1"/>
                <w:sz w:val="20"/>
                <w14:textFill>
                  <w14:solidFill>
                    <w14:schemeClr w14:val="tx1"/>
                  </w14:solidFill>
                </w14:textFill>
              </w:rPr>
              <w:t>Klasy serwerowej, z naniesionym fabrycznie logo producenta serwera.</w:t>
            </w:r>
          </w:p>
          <w:p>
            <w:pPr>
              <w:autoSpaceDE w:val="0"/>
              <w:autoSpaceDN w:val="0"/>
              <w:adjustRightInd w:val="0"/>
              <w:jc w:val="both"/>
              <w:rPr>
                <w:rFonts w:ascii="Verdana" w:hAnsi="Verdana" w:cs="Arial"/>
                <w:sz w:val="20"/>
              </w:rPr>
            </w:pPr>
          </w:p>
        </w:tc>
        <w:tc>
          <w:tcPr>
            <w:tcW w:w="1049" w:type="pct"/>
          </w:tcPr>
          <w:p>
            <w:pPr>
              <w:autoSpaceDE w:val="0"/>
              <w:autoSpaceDN w:val="0"/>
              <w:adjustRightInd w:val="0"/>
              <w:jc w:val="center"/>
              <w:rPr>
                <w:rFonts w:ascii="Verdana" w:hAnsi="Verdana"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547" w:hRule="atLeast"/>
        </w:trPr>
        <w:tc>
          <w:tcPr>
            <w:tcW w:w="193" w:type="pct"/>
          </w:tcPr>
          <w:p>
            <w:pPr>
              <w:numPr>
                <w:ilvl w:val="0"/>
                <w:numId w:val="1"/>
              </w:numPr>
              <w:rPr>
                <w:rFonts w:ascii="Verdana" w:hAnsi="Verdana" w:cs="Arial"/>
                <w:bCs/>
                <w:sz w:val="20"/>
              </w:rPr>
            </w:pPr>
          </w:p>
        </w:tc>
        <w:tc>
          <w:tcPr>
            <w:tcW w:w="680" w:type="pct"/>
          </w:tcPr>
          <w:p>
            <w:pPr>
              <w:rPr>
                <w:rFonts w:ascii="Verdana" w:hAnsi="Verdana" w:cs="Arial"/>
                <w:bCs/>
                <w:sz w:val="20"/>
              </w:rPr>
            </w:pPr>
            <w:r>
              <w:rPr>
                <w:rFonts w:ascii="Verdana" w:hAnsi="Verdana" w:cs="Arial"/>
                <w:bCs/>
                <w:sz w:val="20"/>
              </w:rPr>
              <w:t>Procesor (CPU)</w:t>
            </w:r>
          </w:p>
        </w:tc>
        <w:tc>
          <w:tcPr>
            <w:tcW w:w="3076" w:type="pct"/>
          </w:tcPr>
          <w:tbl>
            <w:tblPr>
              <w:tblStyle w:val="3"/>
              <w:tblW w:w="10468" w:type="dxa"/>
              <w:tblInd w:w="0" w:type="dxa"/>
              <w:tblLayout w:type="fixed"/>
              <w:tblCellMar>
                <w:top w:w="0" w:type="dxa"/>
                <w:left w:w="70" w:type="dxa"/>
                <w:bottom w:w="0" w:type="dxa"/>
                <w:right w:w="70" w:type="dxa"/>
              </w:tblCellMar>
            </w:tblPr>
            <w:tblGrid>
              <w:gridCol w:w="10468"/>
            </w:tblGrid>
            <w:tr>
              <w:trPr>
                <w:trHeight w:val="80" w:hRule="atLeast"/>
              </w:trPr>
              <w:tc>
                <w:tcPr>
                  <w:tcW w:w="10468" w:type="dxa"/>
                  <w:tcBorders>
                    <w:top w:val="nil"/>
                    <w:left w:val="nil"/>
                    <w:bottom w:val="nil"/>
                    <w:right w:val="single" w:color="auto" w:sz="8" w:space="0"/>
                  </w:tcBorders>
                  <w:shd w:val="clear" w:color="auto" w:fill="auto"/>
                </w:tcPr>
                <w:p>
                  <w:pPr>
                    <w:jc w:val="both"/>
                    <w:rPr>
                      <w:rFonts w:ascii="Verdana" w:hAnsi="Verdana"/>
                      <w:color w:val="000000" w:themeColor="text1"/>
                      <w:sz w:val="20"/>
                      <w14:textFill>
                        <w14:solidFill>
                          <w14:schemeClr w14:val="tx1"/>
                        </w14:solidFill>
                      </w14:textFill>
                    </w:rPr>
                  </w:pPr>
                </w:p>
              </w:tc>
            </w:tr>
          </w:tbl>
          <w:p>
            <w:pPr>
              <w:autoSpaceDE w:val="0"/>
              <w:autoSpaceDN w:val="0"/>
              <w:adjustRightInd w:val="0"/>
              <w:spacing w:line="360" w:lineRule="auto"/>
              <w:jc w:val="both"/>
              <w:rPr>
                <w:rFonts w:ascii="Verdana" w:hAnsi="Verdana"/>
                <w:color w:val="000000" w:themeColor="text1"/>
                <w:sz w:val="20"/>
                <w14:textFill>
                  <w14:solidFill>
                    <w14:schemeClr w14:val="tx1"/>
                  </w14:solidFill>
                </w14:textFill>
              </w:rPr>
            </w:pPr>
            <w:r>
              <w:rPr>
                <w:rFonts w:ascii="Verdana" w:hAnsi="Verdana"/>
                <w:color w:val="000000" w:themeColor="text1"/>
                <w:sz w:val="20"/>
                <w14:textFill>
                  <w14:solidFill>
                    <w14:schemeClr w14:val="tx1"/>
                  </w14:solidFill>
                </w14:textFill>
              </w:rPr>
              <w:t>Serwer wyposażony w 1 procesor typu x86; min. 12 rdzeni, min. 2.10 GHz bazowej częstotliwości, ze wsparciem do 6 TB pamięci.</w:t>
            </w:r>
          </w:p>
          <w:p>
            <w:pPr>
              <w:autoSpaceDE w:val="0"/>
              <w:autoSpaceDN w:val="0"/>
              <w:adjustRightInd w:val="0"/>
              <w:spacing w:line="360" w:lineRule="auto"/>
              <w:jc w:val="both"/>
              <w:rPr>
                <w:rFonts w:ascii="Verdana" w:hAnsi="Verdana"/>
                <w:color w:val="000000" w:themeColor="text1"/>
                <w:sz w:val="20"/>
                <w14:textFill>
                  <w14:solidFill>
                    <w14:schemeClr w14:val="tx1"/>
                  </w14:solidFill>
                </w14:textFill>
              </w:rPr>
            </w:pPr>
            <w:r>
              <w:rPr>
                <w:rFonts w:ascii="Verdana" w:hAnsi="Verdana"/>
                <w:color w:val="000000" w:themeColor="text1"/>
                <w:sz w:val="20"/>
                <w14:textFill>
                  <w14:solidFill>
                    <w14:schemeClr w14:val="tx1"/>
                  </w14:solidFill>
                </w14:textFill>
              </w:rPr>
              <w:t>Procesor ze wsparciem dla 8 kanałów pamięci typu DDR4-</w:t>
            </w:r>
            <w:r>
              <w:rPr>
                <w:rFonts w:ascii="Verdana" w:hAnsi="Verdana"/>
                <w:color w:val="262626"/>
                <w:sz w:val="20"/>
                <w:shd w:val="clear" w:color="auto" w:fill="FFFFFF"/>
              </w:rPr>
              <w:t>2667MHz</w:t>
            </w:r>
          </w:p>
          <w:p>
            <w:pPr>
              <w:autoSpaceDE w:val="0"/>
              <w:autoSpaceDN w:val="0"/>
              <w:adjustRightInd w:val="0"/>
              <w:spacing w:line="360" w:lineRule="auto"/>
              <w:jc w:val="both"/>
              <w:rPr>
                <w:rFonts w:ascii="Verdana" w:hAnsi="Verdana"/>
                <w:color w:val="000000" w:themeColor="text1"/>
                <w:sz w:val="20"/>
                <w14:textFill>
                  <w14:solidFill>
                    <w14:schemeClr w14:val="tx1"/>
                  </w14:solidFill>
                </w14:textFill>
              </w:rPr>
            </w:pPr>
            <w:r>
              <w:rPr>
                <w:rFonts w:ascii="Verdana" w:hAnsi="Verdana"/>
                <w:color w:val="000000" w:themeColor="text1"/>
                <w:sz w:val="20"/>
                <w14:textFill>
                  <w14:solidFill>
                    <w14:schemeClr w14:val="tx1"/>
                  </w14:solidFill>
                </w14:textFill>
              </w:rPr>
              <w:t>Wsparcie dla technologii PCIExpress 4.0</w:t>
            </w:r>
          </w:p>
          <w:p>
            <w:pPr>
              <w:keepNext w:val="0"/>
              <w:keepLines w:val="0"/>
              <w:pageBreakBefore w:val="0"/>
              <w:widowControl/>
              <w:kinsoku/>
              <w:wordWrap/>
              <w:overflowPunct/>
              <w:topLinePunct w:val="0"/>
              <w:autoSpaceDE w:val="0"/>
              <w:autoSpaceDN w:val="0"/>
              <w:bidi w:val="0"/>
              <w:adjustRightInd w:val="0"/>
              <w:snapToGrid/>
              <w:spacing w:line="240" w:lineRule="auto"/>
              <w:jc w:val="both"/>
              <w:textAlignment w:val="auto"/>
              <w:rPr>
                <w:rFonts w:ascii="Verdana" w:hAnsi="Verdana"/>
                <w:color w:val="000000" w:themeColor="text1"/>
                <w:sz w:val="20"/>
                <w14:textFill>
                  <w14:solidFill>
                    <w14:schemeClr w14:val="tx1"/>
                  </w14:solidFill>
                </w14:textFill>
              </w:rPr>
            </w:pPr>
            <w:r>
              <w:rPr>
                <w:rFonts w:ascii="Verdana" w:hAnsi="Verdana"/>
                <w:color w:val="000000" w:themeColor="text1"/>
                <w:sz w:val="20"/>
                <w14:textFill>
                  <w14:solidFill>
                    <w14:schemeClr w14:val="tx1"/>
                  </w14:solidFill>
                </w14:textFill>
              </w:rPr>
              <w:t>Osiągający w oferowanym modelu serwera dla konfiguracji 2-procesorowej wynik (potwierdzony publikacją na stronie spec.org w terminie nie późniejszym niż dzień składania oferty) w testach: min. 170 punktów w teście SPECrate®2017_int_base organizacji Standard Performance Evaluation Corporation (</w:t>
            </w:r>
            <w:r>
              <w:fldChar w:fldCharType="begin"/>
            </w:r>
            <w:r>
              <w:instrText xml:space="preserve"> HYPERLINK "http://www.spec.org" </w:instrText>
            </w:r>
            <w:r>
              <w:fldChar w:fldCharType="separate"/>
            </w:r>
            <w:r>
              <w:rPr>
                <w:rStyle w:val="11"/>
                <w:rFonts w:ascii="Verdana" w:hAnsi="Verdana"/>
                <w:color w:val="000000" w:themeColor="text1"/>
                <w:sz w:val="20"/>
                <w14:textFill>
                  <w14:solidFill>
                    <w14:schemeClr w14:val="tx1"/>
                  </w14:solidFill>
                </w14:textFill>
              </w:rPr>
              <w:t>www.spec.org</w:t>
            </w:r>
            <w:r>
              <w:rPr>
                <w:rStyle w:val="11"/>
                <w:rFonts w:ascii="Verdana" w:hAnsi="Verdana"/>
                <w:color w:val="000000" w:themeColor="text1"/>
                <w:sz w:val="20"/>
                <w14:textFill>
                  <w14:solidFill>
                    <w14:schemeClr w14:val="tx1"/>
                  </w14:solidFill>
                </w14:textFill>
              </w:rPr>
              <w:fldChar w:fldCharType="end"/>
            </w:r>
            <w:r>
              <w:rPr>
                <w:rFonts w:ascii="Verdana" w:hAnsi="Verdana"/>
                <w:color w:val="000000" w:themeColor="text1"/>
                <w:sz w:val="20"/>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spacing w:line="240" w:lineRule="auto"/>
              <w:jc w:val="both"/>
              <w:textAlignment w:val="auto"/>
              <w:rPr>
                <w:rFonts w:ascii="Verdana" w:hAnsi="Verdana"/>
                <w:color w:val="auto"/>
                <w:sz w:val="20"/>
              </w:rPr>
            </w:pPr>
            <w:r>
              <w:rPr>
                <w:rFonts w:ascii="Verdana" w:hAnsi="Verdana"/>
                <w:color w:val="auto"/>
                <w:sz w:val="20"/>
              </w:rPr>
              <w:t>Zamawiający żąda przedłożenia dokumentu potwierdzającego spełnienie dla procesora dedykowanego do pracy z zaoferowanym serwerem żądanej przez Zamawiającego wydajności w ramach przedmiotowych środków dowodowych (należy załączyć do oferty).</w:t>
            </w:r>
          </w:p>
          <w:p>
            <w:pPr>
              <w:autoSpaceDE w:val="0"/>
              <w:autoSpaceDN w:val="0"/>
              <w:adjustRightInd w:val="0"/>
              <w:spacing w:line="360" w:lineRule="auto"/>
              <w:jc w:val="both"/>
              <w:rPr>
                <w:rFonts w:ascii="Verdana" w:hAnsi="Verdana" w:cs="Arial"/>
                <w:sz w:val="20"/>
                <w:highlight w:val="yellow"/>
              </w:rPr>
            </w:pPr>
          </w:p>
        </w:tc>
        <w:tc>
          <w:tcPr>
            <w:tcW w:w="1049" w:type="pct"/>
          </w:tcPr>
          <w:p>
            <w:pPr>
              <w:autoSpaceDE w:val="0"/>
              <w:autoSpaceDN w:val="0"/>
              <w:adjustRightInd w:val="0"/>
              <w:rPr>
                <w:rFonts w:ascii="Verdana" w:hAnsi="Verdana"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84" w:hRule="atLeast"/>
        </w:trPr>
        <w:tc>
          <w:tcPr>
            <w:tcW w:w="193" w:type="pct"/>
          </w:tcPr>
          <w:p>
            <w:pPr>
              <w:numPr>
                <w:ilvl w:val="0"/>
                <w:numId w:val="1"/>
              </w:numPr>
              <w:rPr>
                <w:rFonts w:ascii="Verdana" w:hAnsi="Verdana" w:cs="Arial"/>
                <w:bCs/>
                <w:sz w:val="20"/>
              </w:rPr>
            </w:pPr>
          </w:p>
        </w:tc>
        <w:tc>
          <w:tcPr>
            <w:tcW w:w="680" w:type="pct"/>
          </w:tcPr>
          <w:p>
            <w:pPr>
              <w:rPr>
                <w:rFonts w:ascii="Verdana" w:hAnsi="Verdana" w:cs="Arial"/>
                <w:bCs/>
                <w:sz w:val="20"/>
              </w:rPr>
            </w:pPr>
            <w:r>
              <w:rPr>
                <w:rFonts w:ascii="Verdana" w:hAnsi="Verdana" w:cs="Arial"/>
                <w:bCs/>
                <w:sz w:val="20"/>
              </w:rPr>
              <w:t>Pamięć RAM</w:t>
            </w:r>
          </w:p>
        </w:tc>
        <w:tc>
          <w:tcPr>
            <w:tcW w:w="3076" w:type="pct"/>
          </w:tcPr>
          <w:p>
            <w:pPr>
              <w:autoSpaceDE w:val="0"/>
              <w:autoSpaceDN w:val="0"/>
              <w:adjustRightInd w:val="0"/>
              <w:spacing w:line="360" w:lineRule="auto"/>
              <w:jc w:val="both"/>
              <w:rPr>
                <w:rFonts w:ascii="Verdana" w:hAnsi="Verdana"/>
                <w:color w:val="000000"/>
                <w:sz w:val="20"/>
              </w:rPr>
            </w:pPr>
            <w:r>
              <w:rPr>
                <w:rFonts w:ascii="Verdana" w:hAnsi="Verdana"/>
                <w:color w:val="000000"/>
                <w:sz w:val="20"/>
              </w:rPr>
              <w:t>Minimum 32 sloty na pamięć RAM na płycie głównej. Minimum 32 GB zainstalowanej pamięci RAM z użyciem kości pamięci o maksymalnej pojemności 16GB.</w:t>
            </w:r>
          </w:p>
          <w:p>
            <w:pPr>
              <w:autoSpaceDE w:val="0"/>
              <w:autoSpaceDN w:val="0"/>
              <w:adjustRightInd w:val="0"/>
              <w:spacing w:line="360" w:lineRule="auto"/>
              <w:jc w:val="both"/>
              <w:rPr>
                <w:rFonts w:ascii="Verdana" w:hAnsi="Verdana"/>
                <w:color w:val="000000"/>
                <w:sz w:val="20"/>
                <w:lang w:val="en-US"/>
              </w:rPr>
            </w:pPr>
            <w:r>
              <w:rPr>
                <w:rFonts w:ascii="Verdana" w:hAnsi="Verdana"/>
                <w:color w:val="000000"/>
                <w:sz w:val="20"/>
                <w:lang w:val="en-US"/>
              </w:rPr>
              <w:t>Wspierane technologie korekcji i protekcji pamięci: ECC, Memory Demand and Patrol Scrubbing; Failed DIMM Isolation.</w:t>
            </w:r>
          </w:p>
          <w:p>
            <w:pPr>
              <w:autoSpaceDE w:val="0"/>
              <w:autoSpaceDN w:val="0"/>
              <w:adjustRightInd w:val="0"/>
              <w:jc w:val="both"/>
              <w:rPr>
                <w:rFonts w:ascii="Verdana" w:hAnsi="Verdana" w:cs="Arial"/>
                <w:sz w:val="20"/>
              </w:rPr>
            </w:pPr>
          </w:p>
        </w:tc>
        <w:tc>
          <w:tcPr>
            <w:tcW w:w="1049" w:type="pct"/>
          </w:tcPr>
          <w:p>
            <w:pPr>
              <w:autoSpaceDE w:val="0"/>
              <w:autoSpaceDN w:val="0"/>
              <w:adjustRightInd w:val="0"/>
              <w:jc w:val="center"/>
              <w:rPr>
                <w:rFonts w:ascii="Verdana" w:hAnsi="Verdana"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84" w:hRule="atLeast"/>
        </w:trPr>
        <w:tc>
          <w:tcPr>
            <w:tcW w:w="193" w:type="pct"/>
          </w:tcPr>
          <w:p>
            <w:pPr>
              <w:numPr>
                <w:ilvl w:val="0"/>
                <w:numId w:val="1"/>
              </w:numPr>
              <w:rPr>
                <w:rFonts w:ascii="Verdana" w:hAnsi="Verdana" w:cs="Arial"/>
                <w:bCs/>
                <w:sz w:val="20"/>
              </w:rPr>
            </w:pPr>
          </w:p>
        </w:tc>
        <w:tc>
          <w:tcPr>
            <w:tcW w:w="680" w:type="pct"/>
          </w:tcPr>
          <w:p>
            <w:pPr>
              <w:rPr>
                <w:rFonts w:ascii="Verdana" w:hAnsi="Verdana" w:cs="Arial"/>
                <w:bCs/>
                <w:sz w:val="20"/>
              </w:rPr>
            </w:pPr>
            <w:r>
              <w:rPr>
                <w:rFonts w:ascii="Verdana" w:hAnsi="Verdana"/>
                <w:color w:val="000000"/>
                <w:sz w:val="20"/>
              </w:rPr>
              <w:t>Sloty</w:t>
            </w:r>
            <w:r>
              <w:rPr>
                <w:rFonts w:ascii="Times New Roman" w:hAnsi="Times New Roman"/>
                <w:color w:val="000000"/>
                <w:sz w:val="20"/>
              </w:rPr>
              <w:t xml:space="preserve"> PCIE</w:t>
            </w:r>
          </w:p>
        </w:tc>
        <w:tc>
          <w:tcPr>
            <w:tcW w:w="3076" w:type="pct"/>
          </w:tcPr>
          <w:p>
            <w:pPr>
              <w:autoSpaceDE w:val="0"/>
              <w:autoSpaceDN w:val="0"/>
              <w:adjustRightInd w:val="0"/>
              <w:spacing w:line="360" w:lineRule="auto"/>
              <w:rPr>
                <w:rFonts w:ascii="Verdana" w:hAnsi="Verdana"/>
                <w:color w:val="000000"/>
                <w:sz w:val="20"/>
              </w:rPr>
            </w:pPr>
            <w:r>
              <w:rPr>
                <w:rFonts w:ascii="Verdana" w:hAnsi="Verdana"/>
                <w:color w:val="000000"/>
                <w:sz w:val="20"/>
              </w:rPr>
              <w:t>Co najmniej 8 aktywnych slotów PCIE generacji 4-tej, z czego min. cztery o przepustowości x16 (ilości określone dla konfiguracji 2-procesorowej)</w:t>
            </w:r>
          </w:p>
          <w:p>
            <w:pPr>
              <w:autoSpaceDE w:val="0"/>
              <w:autoSpaceDN w:val="0"/>
              <w:adjustRightInd w:val="0"/>
              <w:rPr>
                <w:rFonts w:ascii="Verdana" w:hAnsi="Verdana" w:cs="Arial"/>
                <w:sz w:val="20"/>
              </w:rPr>
            </w:pPr>
          </w:p>
        </w:tc>
        <w:tc>
          <w:tcPr>
            <w:tcW w:w="1049" w:type="pct"/>
          </w:tcPr>
          <w:p>
            <w:pPr>
              <w:autoSpaceDE w:val="0"/>
              <w:autoSpaceDN w:val="0"/>
              <w:adjustRightInd w:val="0"/>
              <w:jc w:val="center"/>
              <w:rPr>
                <w:rFonts w:ascii="Verdana" w:hAnsi="Verdana"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84" w:hRule="atLeast"/>
        </w:trPr>
        <w:tc>
          <w:tcPr>
            <w:tcW w:w="193" w:type="pct"/>
          </w:tcPr>
          <w:p>
            <w:pPr>
              <w:numPr>
                <w:ilvl w:val="0"/>
                <w:numId w:val="1"/>
              </w:numPr>
              <w:rPr>
                <w:rFonts w:ascii="Verdana" w:hAnsi="Verdana" w:cs="Arial"/>
                <w:bCs/>
                <w:sz w:val="20"/>
              </w:rPr>
            </w:pPr>
          </w:p>
        </w:tc>
        <w:tc>
          <w:tcPr>
            <w:tcW w:w="680" w:type="pct"/>
          </w:tcPr>
          <w:p>
            <w:pPr>
              <w:rPr>
                <w:rFonts w:ascii="Verdana" w:hAnsi="Verdana" w:cs="Arial"/>
                <w:sz w:val="20"/>
              </w:rPr>
            </w:pPr>
            <w:r>
              <w:rPr>
                <w:rFonts w:ascii="Verdana" w:hAnsi="Verdana" w:cs="Arial"/>
                <w:sz w:val="20"/>
              </w:rPr>
              <w:t>Przestrzeń dyskowa</w:t>
            </w:r>
          </w:p>
        </w:tc>
        <w:tc>
          <w:tcPr>
            <w:tcW w:w="3076" w:type="pct"/>
          </w:tcPr>
          <w:p>
            <w:pPr>
              <w:spacing w:line="360" w:lineRule="auto"/>
              <w:jc w:val="both"/>
              <w:rPr>
                <w:rFonts w:ascii="Verdana" w:hAnsi="Verdana"/>
                <w:color w:val="000000"/>
                <w:sz w:val="20"/>
              </w:rPr>
            </w:pPr>
            <w:r>
              <w:rPr>
                <w:rFonts w:ascii="Verdana" w:hAnsi="Verdana"/>
                <w:color w:val="000000"/>
                <w:sz w:val="20"/>
              </w:rPr>
              <w:t>Zainstalowane 2 dyski SATA SSD w formacie/rozmiarze M.2 lub 2.5 cala, klasy enterprise/serwerowej, o pojemności minimum 240GB każdy, skonfigurowane w RAID1 za pomocą sprzętowego kontrolera w celu bezpiecznego bootowania systemu operacyjnego.</w:t>
            </w:r>
          </w:p>
          <w:p>
            <w:pPr>
              <w:spacing w:line="360" w:lineRule="auto"/>
              <w:jc w:val="both"/>
              <w:rPr>
                <w:rFonts w:ascii="Verdana" w:hAnsi="Verdana"/>
                <w:color w:val="000000"/>
                <w:sz w:val="20"/>
              </w:rPr>
            </w:pPr>
            <w:r>
              <w:rPr>
                <w:rFonts w:ascii="Verdana" w:hAnsi="Verdana"/>
                <w:color w:val="000000"/>
                <w:sz w:val="20"/>
              </w:rPr>
              <w:t>Zainstalowane 8 dysków SATA HDD w formacie/rozmiarze 3.5 cala, klasy enterprise/serwerowej, o pojemności minimum 8000GB każdy, skonfigurowane w RAID6 za pomocą sprzętowego kontrolera z min 2GB cache i podtrzymaniem tejże pamięci.</w:t>
            </w:r>
          </w:p>
          <w:p>
            <w:pPr>
              <w:spacing w:line="360" w:lineRule="auto"/>
              <w:jc w:val="both"/>
              <w:rPr>
                <w:rFonts w:ascii="Verdana" w:hAnsi="Verdana"/>
                <w:color w:val="000000"/>
                <w:sz w:val="20"/>
              </w:rPr>
            </w:pPr>
            <w:r>
              <w:rPr>
                <w:rFonts w:ascii="Verdana" w:hAnsi="Verdana"/>
                <w:color w:val="000000"/>
                <w:sz w:val="20"/>
              </w:rPr>
              <w:t>Możliwość rozbudowy o dodatkowe minimum 2 dyski 3.5” SATA/SAS bez konieczności dokładania innych elementów serwera niż same dyski twarde.</w:t>
            </w:r>
          </w:p>
          <w:p>
            <w:pPr>
              <w:spacing w:line="360" w:lineRule="auto"/>
              <w:jc w:val="both"/>
              <w:rPr>
                <w:rFonts w:ascii="Verdana" w:hAnsi="Verdana"/>
                <w:color w:val="000000"/>
                <w:sz w:val="20"/>
              </w:rPr>
            </w:pPr>
            <w:r>
              <w:rPr>
                <w:rFonts w:ascii="Verdana" w:hAnsi="Verdana"/>
                <w:color w:val="000000"/>
                <w:sz w:val="20"/>
              </w:rPr>
              <w:t>Łącznie dla wszystkich dysków jeden kontroler sprzętowy RAID wspierający poziomy RAID minimum 0/1/5/6, posiadający minimum 2GB nieulotnej pamięci cache z podtrzymaniem na wypadek zaniku zasilania.</w:t>
            </w:r>
          </w:p>
          <w:p>
            <w:pPr>
              <w:jc w:val="both"/>
              <w:rPr>
                <w:rFonts w:ascii="Verdana" w:hAnsi="Verdana" w:cs="Arial"/>
                <w:sz w:val="20"/>
              </w:rPr>
            </w:pPr>
          </w:p>
        </w:tc>
        <w:tc>
          <w:tcPr>
            <w:tcW w:w="1049" w:type="pct"/>
          </w:tcPr>
          <w:p>
            <w:pPr>
              <w:jc w:val="center"/>
              <w:rPr>
                <w:rFonts w:ascii="Verdana" w:hAnsi="Verdana"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84" w:hRule="atLeast"/>
        </w:trPr>
        <w:tc>
          <w:tcPr>
            <w:tcW w:w="193" w:type="pct"/>
          </w:tcPr>
          <w:p>
            <w:pPr>
              <w:numPr>
                <w:ilvl w:val="0"/>
                <w:numId w:val="1"/>
              </w:numPr>
              <w:rPr>
                <w:rFonts w:ascii="Verdana" w:hAnsi="Verdana" w:cs="Arial"/>
                <w:bCs/>
                <w:sz w:val="20"/>
              </w:rPr>
            </w:pPr>
          </w:p>
        </w:tc>
        <w:tc>
          <w:tcPr>
            <w:tcW w:w="680" w:type="pct"/>
          </w:tcPr>
          <w:p>
            <w:pPr>
              <w:rPr>
                <w:rFonts w:ascii="Verdana" w:hAnsi="Verdana" w:cs="Arial"/>
                <w:sz w:val="20"/>
              </w:rPr>
            </w:pPr>
            <w:r>
              <w:rPr>
                <w:rFonts w:ascii="Verdana" w:hAnsi="Verdana" w:cs="Arial"/>
                <w:sz w:val="20"/>
              </w:rPr>
              <w:t>Karty sieciowe LAN</w:t>
            </w:r>
          </w:p>
        </w:tc>
        <w:tc>
          <w:tcPr>
            <w:tcW w:w="3076" w:type="pct"/>
          </w:tcPr>
          <w:p>
            <w:pPr>
              <w:spacing w:line="360" w:lineRule="auto"/>
              <w:jc w:val="both"/>
              <w:rPr>
                <w:rFonts w:ascii="Verdana" w:hAnsi="Verdana"/>
                <w:color w:val="000000"/>
                <w:sz w:val="20"/>
              </w:rPr>
            </w:pPr>
            <w:r>
              <w:rPr>
                <w:rFonts w:ascii="Verdana" w:hAnsi="Verdana"/>
                <w:color w:val="000000"/>
                <w:sz w:val="20"/>
              </w:rPr>
              <w:t>Minimum 1 karta sieciowa, udostępniająca minimum 4 porty 1GbEthernet Base-T.</w:t>
            </w:r>
          </w:p>
          <w:p>
            <w:pPr>
              <w:spacing w:line="360" w:lineRule="auto"/>
              <w:jc w:val="both"/>
              <w:rPr>
                <w:rFonts w:ascii="Verdana" w:hAnsi="Verdana"/>
                <w:color w:val="000000"/>
                <w:sz w:val="20"/>
              </w:rPr>
            </w:pPr>
            <w:r>
              <w:rPr>
                <w:rFonts w:ascii="Verdana" w:hAnsi="Verdana"/>
                <w:color w:val="000000"/>
                <w:sz w:val="20"/>
              </w:rPr>
              <w:t>Minimum 1 zintegrowana (wbudowana w płytę, typu LOM; lub w dedykowanym slocie OCP 3.0) karta sieciowa niezajmująca żadnego z ww. 8 slotów PCIE, udostępniająca minimum 2 porty 10GbEthernet LC SFP+.</w:t>
            </w:r>
          </w:p>
          <w:p>
            <w:pPr>
              <w:jc w:val="both"/>
              <w:rPr>
                <w:rFonts w:ascii="Verdana" w:hAnsi="Verdana" w:cs="Arial"/>
                <w:sz w:val="20"/>
              </w:rPr>
            </w:pPr>
          </w:p>
        </w:tc>
        <w:tc>
          <w:tcPr>
            <w:tcW w:w="1049" w:type="pct"/>
          </w:tcPr>
          <w:p>
            <w:pPr>
              <w:jc w:val="center"/>
              <w:rPr>
                <w:rFonts w:ascii="Verdana" w:hAnsi="Verdana"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84" w:hRule="atLeast"/>
        </w:trPr>
        <w:tc>
          <w:tcPr>
            <w:tcW w:w="193" w:type="pct"/>
          </w:tcPr>
          <w:p>
            <w:pPr>
              <w:numPr>
                <w:ilvl w:val="0"/>
                <w:numId w:val="1"/>
              </w:numPr>
              <w:rPr>
                <w:rFonts w:ascii="Verdana" w:hAnsi="Verdana" w:cs="Arial"/>
                <w:bCs/>
                <w:sz w:val="20"/>
              </w:rPr>
            </w:pPr>
          </w:p>
        </w:tc>
        <w:tc>
          <w:tcPr>
            <w:tcW w:w="680" w:type="pct"/>
          </w:tcPr>
          <w:p>
            <w:pPr>
              <w:rPr>
                <w:rFonts w:ascii="Verdana" w:hAnsi="Verdana" w:cs="Arial"/>
                <w:sz w:val="20"/>
              </w:rPr>
            </w:pPr>
            <w:r>
              <w:rPr>
                <w:rFonts w:ascii="Verdana" w:hAnsi="Verdana" w:cs="Arial"/>
                <w:sz w:val="20"/>
              </w:rPr>
              <w:t>Port obudowy</w:t>
            </w:r>
          </w:p>
        </w:tc>
        <w:tc>
          <w:tcPr>
            <w:tcW w:w="3076" w:type="pct"/>
          </w:tcPr>
          <w:p>
            <w:pPr>
              <w:spacing w:line="360" w:lineRule="auto"/>
              <w:jc w:val="both"/>
              <w:rPr>
                <w:rFonts w:ascii="Verdana" w:hAnsi="Verdana"/>
                <w:color w:val="000000"/>
                <w:sz w:val="20"/>
              </w:rPr>
            </w:pPr>
            <w:r>
              <w:rPr>
                <w:rFonts w:ascii="Verdana" w:hAnsi="Verdana"/>
                <w:color w:val="000000"/>
                <w:sz w:val="20"/>
              </w:rPr>
              <w:t>Co najmniej 2 porty USB (z których min. 1 to USB 3.0) dostępne na przodzie obudowy serwera.</w:t>
            </w:r>
          </w:p>
          <w:p>
            <w:pPr>
              <w:spacing w:line="360" w:lineRule="auto"/>
              <w:jc w:val="both"/>
              <w:rPr>
                <w:rFonts w:ascii="Verdana" w:hAnsi="Verdana"/>
                <w:color w:val="000000"/>
                <w:sz w:val="20"/>
              </w:rPr>
            </w:pPr>
            <w:r>
              <w:rPr>
                <w:rFonts w:ascii="Verdana" w:hAnsi="Verdana"/>
                <w:color w:val="000000"/>
                <w:sz w:val="20"/>
              </w:rPr>
              <w:t>Co najmniej 2 porty USB 3.0 dostępne na tyle obudowy serwera.</w:t>
            </w:r>
          </w:p>
          <w:p>
            <w:pPr>
              <w:spacing w:line="360" w:lineRule="auto"/>
              <w:jc w:val="both"/>
              <w:rPr>
                <w:rFonts w:ascii="Verdana" w:hAnsi="Verdana"/>
                <w:color w:val="000000"/>
                <w:sz w:val="20"/>
              </w:rPr>
            </w:pPr>
            <w:r>
              <w:rPr>
                <w:rFonts w:ascii="Verdana" w:hAnsi="Verdana"/>
                <w:color w:val="000000"/>
                <w:sz w:val="20"/>
              </w:rPr>
              <w:t>2 porty (jeden na tyle, drugi na przodzie obudowy serwera) VGA.</w:t>
            </w:r>
          </w:p>
          <w:p>
            <w:pPr>
              <w:spacing w:line="360" w:lineRule="auto"/>
              <w:jc w:val="both"/>
              <w:rPr>
                <w:rFonts w:ascii="Verdana" w:hAnsi="Verdana"/>
                <w:color w:val="000000"/>
                <w:sz w:val="20"/>
              </w:rPr>
            </w:pPr>
            <w:r>
              <w:rPr>
                <w:rFonts w:ascii="Verdana" w:hAnsi="Verdana"/>
                <w:color w:val="000000"/>
                <w:sz w:val="20"/>
              </w:rPr>
              <w:t>Wymienione porty nie mogą zostać osiągnięte poprzez stosowanie dodatkowych przedłużaczy, rozgałęziaczy, adapterów, czy hub-ów</w:t>
            </w:r>
          </w:p>
          <w:p>
            <w:pPr>
              <w:jc w:val="both"/>
              <w:rPr>
                <w:rFonts w:ascii="Verdana" w:hAnsi="Verdana"/>
                <w:color w:val="000000"/>
                <w:sz w:val="20"/>
              </w:rPr>
            </w:pPr>
          </w:p>
        </w:tc>
        <w:tc>
          <w:tcPr>
            <w:tcW w:w="1049" w:type="pct"/>
          </w:tcPr>
          <w:p>
            <w:pPr>
              <w:jc w:val="center"/>
              <w:rPr>
                <w:rFonts w:ascii="Verdana" w:hAnsi="Verdana"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684" w:hRule="atLeast"/>
        </w:trPr>
        <w:tc>
          <w:tcPr>
            <w:tcW w:w="193" w:type="pct"/>
          </w:tcPr>
          <w:p>
            <w:pPr>
              <w:numPr>
                <w:ilvl w:val="0"/>
                <w:numId w:val="1"/>
              </w:numPr>
              <w:rPr>
                <w:rFonts w:ascii="Verdana" w:hAnsi="Verdana" w:cs="Arial"/>
                <w:bCs/>
                <w:sz w:val="20"/>
              </w:rPr>
            </w:pPr>
          </w:p>
        </w:tc>
        <w:tc>
          <w:tcPr>
            <w:tcW w:w="680" w:type="pct"/>
          </w:tcPr>
          <w:p>
            <w:pPr>
              <w:rPr>
                <w:rFonts w:ascii="Verdana" w:hAnsi="Verdana" w:cs="Arial"/>
                <w:sz w:val="20"/>
              </w:rPr>
            </w:pPr>
            <w:r>
              <w:rPr>
                <w:rFonts w:ascii="Verdana" w:hAnsi="Verdana" w:cs="Arial"/>
                <w:sz w:val="20"/>
              </w:rPr>
              <w:t>Zarządzanie</w:t>
            </w:r>
          </w:p>
        </w:tc>
        <w:tc>
          <w:tcPr>
            <w:tcW w:w="3076" w:type="pct"/>
          </w:tcPr>
          <w:tbl>
            <w:tblPr>
              <w:tblStyle w:val="3"/>
              <w:tblW w:w="10468" w:type="dxa"/>
              <w:tblInd w:w="0" w:type="dxa"/>
              <w:tblLayout w:type="fixed"/>
              <w:tblCellMar>
                <w:top w:w="0" w:type="dxa"/>
                <w:left w:w="70" w:type="dxa"/>
                <w:bottom w:w="0" w:type="dxa"/>
                <w:right w:w="70" w:type="dxa"/>
              </w:tblCellMar>
            </w:tblPr>
            <w:tblGrid>
              <w:gridCol w:w="10468"/>
            </w:tblGrid>
            <w:tr>
              <w:tblPrEx>
                <w:tblCellMar>
                  <w:top w:w="0" w:type="dxa"/>
                  <w:left w:w="70" w:type="dxa"/>
                  <w:bottom w:w="0" w:type="dxa"/>
                  <w:right w:w="70" w:type="dxa"/>
                </w:tblCellMar>
              </w:tblPrEx>
              <w:trPr>
                <w:trHeight w:val="320" w:hRule="atLeast"/>
              </w:trPr>
              <w:tc>
                <w:tcPr>
                  <w:tcW w:w="8739" w:type="dxa"/>
                  <w:tcBorders>
                    <w:top w:val="nil"/>
                    <w:left w:val="nil"/>
                    <w:bottom w:val="nil"/>
                    <w:right w:val="single" w:color="auto" w:sz="8" w:space="0"/>
                  </w:tcBorders>
                  <w:shd w:val="clear" w:color="auto" w:fill="auto"/>
                </w:tcPr>
                <w:p>
                  <w:pPr>
                    <w:rPr>
                      <w:rFonts w:ascii="Verdana" w:hAnsi="Verdana"/>
                      <w:color w:val="000000"/>
                      <w:sz w:val="20"/>
                    </w:rPr>
                  </w:pPr>
                  <w:r>
                    <w:rPr>
                      <w:rFonts w:ascii="Verdana" w:hAnsi="Verdana"/>
                      <w:color w:val="000000"/>
                      <w:sz w:val="20"/>
                    </w:rPr>
                    <w:t>Dedykowany port zarządzający 1000 Mbps RJ45 dostępny na tyle obudowy serwera.</w:t>
                  </w:r>
                </w:p>
              </w:tc>
            </w:tr>
            <w:tr>
              <w:tblPrEx>
                <w:tblCellMar>
                  <w:top w:w="0" w:type="dxa"/>
                  <w:left w:w="70" w:type="dxa"/>
                  <w:bottom w:w="0" w:type="dxa"/>
                  <w:right w:w="70" w:type="dxa"/>
                </w:tblCellMar>
              </w:tblPrEx>
              <w:trPr>
                <w:trHeight w:val="560" w:hRule="atLeast"/>
              </w:trPr>
              <w:tc>
                <w:tcPr>
                  <w:tcW w:w="8739" w:type="dxa"/>
                  <w:tcBorders>
                    <w:top w:val="nil"/>
                    <w:left w:val="nil"/>
                    <w:bottom w:val="nil"/>
                    <w:right w:val="single" w:color="auto" w:sz="8" w:space="0"/>
                  </w:tcBorders>
                  <w:shd w:val="clear" w:color="auto" w:fill="auto"/>
                </w:tcPr>
                <w:p>
                  <w:pPr>
                    <w:rPr>
                      <w:rFonts w:ascii="Verdana" w:hAnsi="Verdana"/>
                      <w:color w:val="000000"/>
                      <w:sz w:val="20"/>
                    </w:rPr>
                  </w:pPr>
                  <w:r>
                    <w:rPr>
                      <w:rFonts w:ascii="Verdana" w:hAnsi="Verdana"/>
                      <w:color w:val="000000"/>
                      <w:sz w:val="20"/>
                    </w:rPr>
                    <w:t>Zintegrowana z płytą główną serwera, niezależna od systemu operacyjnego karta BMC służąca do zdalnego zarządzania serwerem, pozwalająca na:</w:t>
                  </w:r>
                </w:p>
              </w:tc>
            </w:tr>
            <w:tr>
              <w:tblPrEx>
                <w:tblCellMar>
                  <w:top w:w="0" w:type="dxa"/>
                  <w:left w:w="70" w:type="dxa"/>
                  <w:bottom w:w="0" w:type="dxa"/>
                  <w:right w:w="70" w:type="dxa"/>
                </w:tblCellMar>
              </w:tblPrEx>
              <w:trPr>
                <w:trHeight w:val="320" w:hRule="atLeast"/>
              </w:trPr>
              <w:tc>
                <w:tcPr>
                  <w:tcW w:w="8739" w:type="dxa"/>
                  <w:tcBorders>
                    <w:top w:val="nil"/>
                    <w:left w:val="nil"/>
                    <w:bottom w:val="nil"/>
                    <w:right w:val="single" w:color="auto" w:sz="8" w:space="0"/>
                  </w:tcBorders>
                  <w:shd w:val="clear" w:color="auto" w:fill="auto"/>
                </w:tcPr>
                <w:p>
                  <w:pPr>
                    <w:rPr>
                      <w:rFonts w:ascii="Verdana" w:hAnsi="Verdana"/>
                      <w:color w:val="000000"/>
                      <w:sz w:val="20"/>
                    </w:rPr>
                  </w:pPr>
                  <w:r>
                    <w:rPr>
                      <w:rFonts w:ascii="Verdana" w:hAnsi="Verdana"/>
                      <w:color w:val="000000"/>
                      <w:sz w:val="20"/>
                    </w:rPr>
                    <w:t>- zdalną konsolę KVM opartą na HTML5/Java</w:t>
                  </w:r>
                </w:p>
              </w:tc>
            </w:tr>
            <w:tr>
              <w:tblPrEx>
                <w:tblCellMar>
                  <w:top w:w="0" w:type="dxa"/>
                  <w:left w:w="70" w:type="dxa"/>
                  <w:bottom w:w="0" w:type="dxa"/>
                  <w:right w:w="70" w:type="dxa"/>
                </w:tblCellMar>
              </w:tblPrEx>
              <w:trPr>
                <w:trHeight w:val="320" w:hRule="atLeast"/>
              </w:trPr>
              <w:tc>
                <w:tcPr>
                  <w:tcW w:w="8739" w:type="dxa"/>
                  <w:tcBorders>
                    <w:top w:val="nil"/>
                    <w:left w:val="nil"/>
                    <w:bottom w:val="nil"/>
                    <w:right w:val="single" w:color="auto" w:sz="8" w:space="0"/>
                  </w:tcBorders>
                  <w:shd w:val="clear" w:color="auto" w:fill="auto"/>
                </w:tcPr>
                <w:p>
                  <w:pPr>
                    <w:rPr>
                      <w:rFonts w:ascii="Verdana" w:hAnsi="Verdana"/>
                      <w:color w:val="000000"/>
                      <w:sz w:val="20"/>
                    </w:rPr>
                  </w:pPr>
                  <w:r>
                    <w:rPr>
                      <w:rFonts w:ascii="Verdana" w:hAnsi="Verdana"/>
                      <w:color w:val="000000"/>
                      <w:sz w:val="20"/>
                    </w:rPr>
                    <w:t>- Web GUI</w:t>
                  </w:r>
                </w:p>
              </w:tc>
            </w:tr>
            <w:tr>
              <w:tblPrEx>
                <w:tblCellMar>
                  <w:top w:w="0" w:type="dxa"/>
                  <w:left w:w="70" w:type="dxa"/>
                  <w:bottom w:w="0" w:type="dxa"/>
                  <w:right w:w="70" w:type="dxa"/>
                </w:tblCellMar>
              </w:tblPrEx>
              <w:trPr>
                <w:trHeight w:val="320" w:hRule="atLeast"/>
              </w:trPr>
              <w:tc>
                <w:tcPr>
                  <w:tcW w:w="8739" w:type="dxa"/>
                  <w:tcBorders>
                    <w:top w:val="nil"/>
                    <w:left w:val="nil"/>
                    <w:bottom w:val="nil"/>
                    <w:right w:val="single" w:color="auto" w:sz="8" w:space="0"/>
                  </w:tcBorders>
                  <w:shd w:val="clear" w:color="auto" w:fill="auto"/>
                </w:tcPr>
                <w:p>
                  <w:pPr>
                    <w:rPr>
                      <w:rFonts w:ascii="Verdana" w:hAnsi="Verdana"/>
                      <w:color w:val="000000"/>
                      <w:sz w:val="20"/>
                    </w:rPr>
                  </w:pPr>
                  <w:r>
                    <w:rPr>
                      <w:rFonts w:ascii="Verdana" w:hAnsi="Verdana"/>
                      <w:color w:val="000000"/>
                      <w:sz w:val="20"/>
                    </w:rPr>
                    <w:t>- monitoring statusu i stanu zdrowia systemu</w:t>
                  </w:r>
                </w:p>
              </w:tc>
            </w:tr>
            <w:tr>
              <w:tblPrEx>
                <w:tblCellMar>
                  <w:top w:w="0" w:type="dxa"/>
                  <w:left w:w="70" w:type="dxa"/>
                  <w:bottom w:w="0" w:type="dxa"/>
                  <w:right w:w="70" w:type="dxa"/>
                </w:tblCellMar>
              </w:tblPrEx>
              <w:trPr>
                <w:trHeight w:val="320" w:hRule="atLeast"/>
              </w:trPr>
              <w:tc>
                <w:tcPr>
                  <w:tcW w:w="8739" w:type="dxa"/>
                  <w:tcBorders>
                    <w:top w:val="nil"/>
                    <w:left w:val="nil"/>
                    <w:bottom w:val="nil"/>
                    <w:right w:val="single" w:color="auto" w:sz="8" w:space="0"/>
                  </w:tcBorders>
                  <w:shd w:val="clear" w:color="auto" w:fill="auto"/>
                </w:tcPr>
                <w:p>
                  <w:pPr>
                    <w:rPr>
                      <w:rFonts w:ascii="Verdana" w:hAnsi="Verdana"/>
                      <w:color w:val="000000"/>
                      <w:sz w:val="20"/>
                    </w:rPr>
                  </w:pPr>
                  <w:r>
                    <w:rPr>
                      <w:rFonts w:ascii="Verdana" w:hAnsi="Verdana"/>
                      <w:color w:val="000000"/>
                      <w:sz w:val="20"/>
                    </w:rPr>
                    <w:t>- logowanie zdarzeń</w:t>
                  </w:r>
                </w:p>
              </w:tc>
            </w:tr>
            <w:tr>
              <w:tblPrEx>
                <w:tblCellMar>
                  <w:top w:w="0" w:type="dxa"/>
                  <w:left w:w="70" w:type="dxa"/>
                  <w:bottom w:w="0" w:type="dxa"/>
                  <w:right w:w="70" w:type="dxa"/>
                </w:tblCellMar>
              </w:tblPrEx>
              <w:trPr>
                <w:trHeight w:val="320" w:hRule="atLeast"/>
              </w:trPr>
              <w:tc>
                <w:tcPr>
                  <w:tcW w:w="8739" w:type="dxa"/>
                  <w:tcBorders>
                    <w:top w:val="nil"/>
                    <w:left w:val="nil"/>
                    <w:bottom w:val="nil"/>
                    <w:right w:val="single" w:color="auto" w:sz="8" w:space="0"/>
                  </w:tcBorders>
                  <w:shd w:val="clear" w:color="auto" w:fill="auto"/>
                </w:tcPr>
                <w:p>
                  <w:pPr>
                    <w:rPr>
                      <w:rFonts w:ascii="Verdana" w:hAnsi="Verdana"/>
                      <w:color w:val="000000"/>
                      <w:sz w:val="20"/>
                    </w:rPr>
                  </w:pPr>
                  <w:r>
                    <w:rPr>
                      <w:rFonts w:ascii="Verdana" w:hAnsi="Verdana"/>
                      <w:color w:val="000000"/>
                      <w:sz w:val="20"/>
                    </w:rPr>
                    <w:t>- update systemowego firmware-u</w:t>
                  </w:r>
                </w:p>
              </w:tc>
            </w:tr>
            <w:tr>
              <w:tblPrEx>
                <w:tblCellMar>
                  <w:top w:w="0" w:type="dxa"/>
                  <w:left w:w="70" w:type="dxa"/>
                  <w:bottom w:w="0" w:type="dxa"/>
                  <w:right w:w="70" w:type="dxa"/>
                </w:tblCellMar>
              </w:tblPrEx>
              <w:trPr>
                <w:trHeight w:val="320" w:hRule="atLeast"/>
              </w:trPr>
              <w:tc>
                <w:tcPr>
                  <w:tcW w:w="8739" w:type="dxa"/>
                  <w:tcBorders>
                    <w:top w:val="nil"/>
                    <w:left w:val="nil"/>
                    <w:bottom w:val="nil"/>
                    <w:right w:val="single" w:color="auto" w:sz="8" w:space="0"/>
                  </w:tcBorders>
                  <w:shd w:val="clear" w:color="auto" w:fill="auto"/>
                </w:tcPr>
                <w:p>
                  <w:pPr>
                    <w:rPr>
                      <w:rFonts w:ascii="Verdana" w:hAnsi="Verdana"/>
                      <w:color w:val="000000"/>
                      <w:sz w:val="20"/>
                    </w:rPr>
                  </w:pPr>
                  <w:r>
                    <w:rPr>
                      <w:rFonts w:ascii="Verdana" w:hAnsi="Verdana"/>
                      <w:color w:val="000000"/>
                      <w:sz w:val="20"/>
                    </w:rPr>
                    <w:t>- zdalną konfigurację serwera</w:t>
                  </w:r>
                </w:p>
              </w:tc>
            </w:tr>
            <w:tr>
              <w:tblPrEx>
                <w:tblCellMar>
                  <w:top w:w="0" w:type="dxa"/>
                  <w:left w:w="70" w:type="dxa"/>
                  <w:bottom w:w="0" w:type="dxa"/>
                  <w:right w:w="70" w:type="dxa"/>
                </w:tblCellMar>
              </w:tblPrEx>
              <w:trPr>
                <w:trHeight w:val="320" w:hRule="atLeast"/>
              </w:trPr>
              <w:tc>
                <w:tcPr>
                  <w:tcW w:w="8739" w:type="dxa"/>
                  <w:tcBorders>
                    <w:top w:val="nil"/>
                    <w:left w:val="nil"/>
                    <w:bottom w:val="nil"/>
                    <w:right w:val="single" w:color="auto" w:sz="8" w:space="0"/>
                  </w:tcBorders>
                  <w:shd w:val="clear" w:color="auto" w:fill="auto"/>
                </w:tcPr>
                <w:p>
                  <w:pPr>
                    <w:rPr>
                      <w:rFonts w:ascii="Verdana" w:hAnsi="Verdana"/>
                      <w:color w:val="000000"/>
                      <w:sz w:val="20"/>
                    </w:rPr>
                  </w:pPr>
                  <w:r>
                    <w:rPr>
                      <w:rFonts w:ascii="Verdana" w:hAnsi="Verdana"/>
                      <w:color w:val="000000"/>
                      <w:sz w:val="20"/>
                    </w:rPr>
                    <w:t>- monitoring poboru prądu</w:t>
                  </w:r>
                </w:p>
              </w:tc>
            </w:tr>
            <w:tr>
              <w:tblPrEx>
                <w:tblCellMar>
                  <w:top w:w="0" w:type="dxa"/>
                  <w:left w:w="70" w:type="dxa"/>
                  <w:bottom w:w="0" w:type="dxa"/>
                  <w:right w:w="70" w:type="dxa"/>
                </w:tblCellMar>
              </w:tblPrEx>
              <w:trPr>
                <w:trHeight w:val="320" w:hRule="atLeast"/>
              </w:trPr>
              <w:tc>
                <w:tcPr>
                  <w:tcW w:w="8739" w:type="dxa"/>
                  <w:tcBorders>
                    <w:top w:val="nil"/>
                    <w:left w:val="nil"/>
                    <w:bottom w:val="nil"/>
                    <w:right w:val="single" w:color="auto" w:sz="8" w:space="0"/>
                  </w:tcBorders>
                  <w:shd w:val="clear" w:color="auto" w:fill="auto"/>
                </w:tcPr>
                <w:p>
                  <w:pPr>
                    <w:rPr>
                      <w:rFonts w:ascii="Verdana" w:hAnsi="Verdana"/>
                      <w:color w:val="000000"/>
                      <w:sz w:val="20"/>
                    </w:rPr>
                  </w:pPr>
                  <w:r>
                    <w:rPr>
                      <w:rFonts w:ascii="Verdana" w:hAnsi="Verdana"/>
                      <w:color w:val="000000"/>
                      <w:sz w:val="20"/>
                    </w:rPr>
                    <w:t>- zdalne włączanie, wyłączanie, restart</w:t>
                  </w:r>
                </w:p>
              </w:tc>
            </w:tr>
            <w:tr>
              <w:tblPrEx>
                <w:tblCellMar>
                  <w:top w:w="0" w:type="dxa"/>
                  <w:left w:w="70" w:type="dxa"/>
                  <w:bottom w:w="0" w:type="dxa"/>
                  <w:right w:w="70" w:type="dxa"/>
                </w:tblCellMar>
              </w:tblPrEx>
              <w:trPr>
                <w:trHeight w:val="320" w:hRule="atLeast"/>
              </w:trPr>
              <w:tc>
                <w:tcPr>
                  <w:tcW w:w="8739" w:type="dxa"/>
                  <w:tcBorders>
                    <w:top w:val="nil"/>
                    <w:left w:val="nil"/>
                    <w:bottom w:val="nil"/>
                    <w:right w:val="single" w:color="auto" w:sz="8" w:space="0"/>
                  </w:tcBorders>
                  <w:shd w:val="clear" w:color="auto" w:fill="auto"/>
                </w:tcPr>
                <w:p>
                  <w:pPr>
                    <w:spacing w:line="360" w:lineRule="auto"/>
                    <w:rPr>
                      <w:rFonts w:ascii="Verdana" w:hAnsi="Verdana"/>
                      <w:color w:val="000000"/>
                      <w:sz w:val="20"/>
                    </w:rPr>
                  </w:pPr>
                  <w:r>
                    <w:rPr>
                      <w:rFonts w:ascii="Verdana" w:hAnsi="Verdana"/>
                      <w:color w:val="000000"/>
                      <w:sz w:val="20"/>
                    </w:rPr>
                    <w:t>- przejęcie zdalnego ekranu</w:t>
                  </w:r>
                </w:p>
                <w:p>
                  <w:pPr>
                    <w:spacing w:line="360" w:lineRule="auto"/>
                    <w:rPr>
                      <w:rFonts w:ascii="Verdana" w:hAnsi="Verdana"/>
                      <w:color w:val="000000"/>
                      <w:sz w:val="20"/>
                    </w:rPr>
                  </w:pPr>
                  <w:r>
                    <w:rPr>
                      <w:rFonts w:ascii="Verdana" w:hAnsi="Verdana"/>
                      <w:color w:val="000000"/>
                      <w:sz w:val="20"/>
                    </w:rPr>
                    <w:t>- zdalną instalację systemu operacyjnego</w:t>
                  </w:r>
                </w:p>
                <w:p>
                  <w:pPr>
                    <w:rPr>
                      <w:rFonts w:ascii="Verdana" w:hAnsi="Verdana"/>
                      <w:color w:val="000000"/>
                      <w:sz w:val="20"/>
                    </w:rPr>
                  </w:pPr>
                </w:p>
              </w:tc>
            </w:tr>
          </w:tbl>
          <w:p>
            <w:pPr>
              <w:jc w:val="both"/>
              <w:rPr>
                <w:rFonts w:ascii="Verdana" w:hAnsi="Verdana" w:cs="Arial"/>
                <w:sz w:val="20"/>
              </w:rPr>
            </w:pPr>
          </w:p>
        </w:tc>
        <w:tc>
          <w:tcPr>
            <w:tcW w:w="1049" w:type="pct"/>
          </w:tcPr>
          <w:p>
            <w:pPr>
              <w:jc w:val="center"/>
              <w:rPr>
                <w:rFonts w:ascii="Verdana" w:hAnsi="Verdana"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84" w:hRule="atLeast"/>
        </w:trPr>
        <w:tc>
          <w:tcPr>
            <w:tcW w:w="193" w:type="pct"/>
          </w:tcPr>
          <w:p>
            <w:pPr>
              <w:numPr>
                <w:ilvl w:val="0"/>
                <w:numId w:val="1"/>
              </w:numPr>
              <w:rPr>
                <w:rFonts w:ascii="Verdana" w:hAnsi="Verdana" w:cs="Arial"/>
                <w:bCs/>
                <w:sz w:val="20"/>
              </w:rPr>
            </w:pPr>
          </w:p>
        </w:tc>
        <w:tc>
          <w:tcPr>
            <w:tcW w:w="680" w:type="pct"/>
          </w:tcPr>
          <w:p>
            <w:pPr>
              <w:rPr>
                <w:rFonts w:ascii="Verdana" w:hAnsi="Verdana" w:cs="Arial"/>
                <w:sz w:val="20"/>
              </w:rPr>
            </w:pPr>
            <w:r>
              <w:rPr>
                <w:rFonts w:ascii="Verdana" w:hAnsi="Verdana"/>
                <w:color w:val="000000"/>
                <w:sz w:val="20"/>
              </w:rPr>
              <w:t>Wspierane protokoły/interfejsy</w:t>
            </w:r>
          </w:p>
        </w:tc>
        <w:tc>
          <w:tcPr>
            <w:tcW w:w="3076" w:type="pct"/>
          </w:tcPr>
          <w:p>
            <w:pPr>
              <w:jc w:val="both"/>
              <w:rPr>
                <w:rFonts w:ascii="Verdana" w:hAnsi="Verdana"/>
                <w:color w:val="000000"/>
                <w:sz w:val="20"/>
                <w:lang w:val="en-US"/>
              </w:rPr>
            </w:pPr>
            <w:r>
              <w:rPr>
                <w:rFonts w:ascii="Verdana" w:hAnsi="Verdana"/>
                <w:color w:val="000000"/>
                <w:sz w:val="20"/>
                <w:lang w:val="en-US"/>
              </w:rPr>
              <w:t>Minimum IPMI 2.0, SNMP v3, REST API, RESTful, Redfish 1.8</w:t>
            </w:r>
          </w:p>
          <w:p>
            <w:pPr>
              <w:jc w:val="both"/>
              <w:rPr>
                <w:rFonts w:ascii="Verdana" w:hAnsi="Verdana" w:cs="Arial"/>
                <w:sz w:val="20"/>
              </w:rPr>
            </w:pPr>
          </w:p>
        </w:tc>
        <w:tc>
          <w:tcPr>
            <w:tcW w:w="1049" w:type="pct"/>
          </w:tcPr>
          <w:p>
            <w:pPr>
              <w:jc w:val="center"/>
              <w:rPr>
                <w:rFonts w:ascii="Verdana" w:hAnsi="Verdana"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84" w:hRule="atLeast"/>
        </w:trPr>
        <w:tc>
          <w:tcPr>
            <w:tcW w:w="193" w:type="pct"/>
          </w:tcPr>
          <w:p>
            <w:pPr>
              <w:numPr>
                <w:ilvl w:val="0"/>
                <w:numId w:val="1"/>
              </w:numPr>
              <w:rPr>
                <w:rFonts w:ascii="Verdana" w:hAnsi="Verdana" w:cs="Arial"/>
                <w:bCs/>
                <w:sz w:val="20"/>
              </w:rPr>
            </w:pPr>
          </w:p>
        </w:tc>
        <w:tc>
          <w:tcPr>
            <w:tcW w:w="680" w:type="pct"/>
          </w:tcPr>
          <w:p>
            <w:pPr>
              <w:rPr>
                <w:rFonts w:ascii="Verdana" w:hAnsi="Verdana"/>
                <w:color w:val="000000"/>
                <w:sz w:val="20"/>
              </w:rPr>
            </w:pPr>
            <w:r>
              <w:rPr>
                <w:rFonts w:ascii="Verdana" w:hAnsi="Verdana"/>
                <w:color w:val="FF0000"/>
                <w:sz w:val="20"/>
              </w:rPr>
              <w:t>Certyfikacje kompatybilności</w:t>
            </w:r>
          </w:p>
        </w:tc>
        <w:tc>
          <w:tcPr>
            <w:tcW w:w="3076" w:type="pct"/>
          </w:tcPr>
          <w:p>
            <w:pPr>
              <w:jc w:val="both"/>
              <w:rPr>
                <w:rFonts w:ascii="Verdana" w:hAnsi="Verdana"/>
                <w:color w:val="FF0000"/>
                <w:sz w:val="20"/>
              </w:rPr>
            </w:pPr>
            <w:r>
              <w:rPr>
                <w:rFonts w:ascii="Verdana" w:hAnsi="Verdana"/>
                <w:color w:val="FF0000"/>
                <w:sz w:val="20"/>
              </w:rPr>
              <w:t>Oferowany model serwera musi znajdować się na stronie </w:t>
            </w:r>
            <w:r>
              <w:fldChar w:fldCharType="begin"/>
            </w:r>
            <w:r>
              <w:instrText xml:space="preserve"> HYPERLINK "https://www.windowsservercatalog.com/" </w:instrText>
            </w:r>
            <w:r>
              <w:fldChar w:fldCharType="separate"/>
            </w:r>
            <w:r>
              <w:rPr>
                <w:rFonts w:ascii="Verdana" w:hAnsi="Verdana"/>
                <w:color w:val="FF0000"/>
                <w:sz w:val="20"/>
                <w:u w:val="single"/>
              </w:rPr>
              <w:t>https://www.windowsservercatalog.com/</w:t>
            </w:r>
            <w:r>
              <w:rPr>
                <w:rFonts w:ascii="Verdana" w:hAnsi="Verdana"/>
                <w:color w:val="FF0000"/>
                <w:sz w:val="20"/>
                <w:u w:val="single"/>
              </w:rPr>
              <w:fldChar w:fldCharType="end"/>
            </w:r>
            <w:r>
              <w:rPr>
                <w:rFonts w:ascii="Verdana" w:hAnsi="Verdana"/>
                <w:color w:val="FF0000"/>
                <w:sz w:val="20"/>
              </w:rPr>
              <w:t> (potwierdzającej kompatybilność z Windows Server) ze statusem Certified dla wersji Windows Server 2016, 2019 i 2022.</w:t>
            </w:r>
          </w:p>
          <w:p>
            <w:pPr>
              <w:jc w:val="both"/>
              <w:rPr>
                <w:rFonts w:ascii="Verdana" w:hAnsi="Verdana"/>
                <w:color w:val="FF0000"/>
                <w:sz w:val="20"/>
              </w:rPr>
            </w:pPr>
            <w:r>
              <w:rPr>
                <w:rFonts w:ascii="Verdana" w:hAnsi="Verdana"/>
                <w:color w:val="FF0000"/>
                <w:sz w:val="20"/>
              </w:rPr>
              <w:t>Oferowany model serwera musi znajdować się na stronie </w:t>
            </w:r>
            <w:r>
              <w:fldChar w:fldCharType="begin"/>
            </w:r>
            <w:r>
              <w:instrText xml:space="preserve"> HYPERLINK "https://www.vmware.com/resources/compatibility/search.php" </w:instrText>
            </w:r>
            <w:r>
              <w:fldChar w:fldCharType="separate"/>
            </w:r>
            <w:r>
              <w:rPr>
                <w:rFonts w:ascii="Verdana" w:hAnsi="Verdana"/>
                <w:color w:val="FF0000"/>
                <w:sz w:val="20"/>
                <w:u w:val="single"/>
              </w:rPr>
              <w:t>https://www.vmware.com/resources/compatibility/search.php</w:t>
            </w:r>
            <w:r>
              <w:rPr>
                <w:rFonts w:ascii="Verdana" w:hAnsi="Verdana"/>
                <w:color w:val="FF0000"/>
                <w:sz w:val="20"/>
                <w:u w:val="single"/>
              </w:rPr>
              <w:fldChar w:fldCharType="end"/>
            </w:r>
            <w:r>
              <w:rPr>
                <w:rFonts w:ascii="Verdana" w:hAnsi="Verdana"/>
                <w:color w:val="FF0000"/>
                <w:sz w:val="20"/>
              </w:rPr>
              <w:t> (potwierdzającej kompatybilność z ESXi) ze statusem Supported Releases 6.7 U3, 7.0 U3, oraz 8.0.</w:t>
            </w:r>
          </w:p>
          <w:p>
            <w:pPr>
              <w:jc w:val="both"/>
              <w:rPr>
                <w:rFonts w:ascii="Verdana" w:hAnsi="Verdana"/>
                <w:color w:val="000000"/>
                <w:sz w:val="20"/>
                <w:lang w:val="en-US"/>
              </w:rPr>
            </w:pPr>
          </w:p>
        </w:tc>
        <w:tc>
          <w:tcPr>
            <w:tcW w:w="1049" w:type="pct"/>
          </w:tcPr>
          <w:p>
            <w:pPr>
              <w:jc w:val="center"/>
              <w:rPr>
                <w:rFonts w:ascii="Verdana" w:hAnsi="Verdana"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84" w:hRule="atLeast"/>
        </w:trPr>
        <w:tc>
          <w:tcPr>
            <w:tcW w:w="193" w:type="pct"/>
          </w:tcPr>
          <w:p>
            <w:pPr>
              <w:numPr>
                <w:ilvl w:val="0"/>
                <w:numId w:val="1"/>
              </w:numPr>
              <w:rPr>
                <w:rFonts w:ascii="Verdana" w:hAnsi="Verdana" w:cs="Arial"/>
                <w:bCs/>
                <w:sz w:val="20"/>
              </w:rPr>
            </w:pPr>
          </w:p>
        </w:tc>
        <w:tc>
          <w:tcPr>
            <w:tcW w:w="680" w:type="pct"/>
          </w:tcPr>
          <w:p>
            <w:pPr>
              <w:rPr>
                <w:rFonts w:ascii="Verdana" w:hAnsi="Verdana"/>
                <w:color w:val="000000" w:themeColor="text1"/>
                <w:sz w:val="20"/>
                <w14:textFill>
                  <w14:solidFill>
                    <w14:schemeClr w14:val="tx1"/>
                  </w14:solidFill>
                </w14:textFill>
              </w:rPr>
            </w:pPr>
            <w:r>
              <w:rPr>
                <w:rFonts w:ascii="Verdana" w:hAnsi="Verdana"/>
                <w:color w:val="000000" w:themeColor="text1"/>
                <w:sz w:val="20"/>
                <w14:textFill>
                  <w14:solidFill>
                    <w14:schemeClr w14:val="tx1"/>
                  </w14:solidFill>
                </w14:textFill>
              </w:rPr>
              <w:t>Zasilanie</w:t>
            </w:r>
          </w:p>
        </w:tc>
        <w:tc>
          <w:tcPr>
            <w:tcW w:w="3076" w:type="pct"/>
          </w:tcPr>
          <w:p>
            <w:pPr>
              <w:jc w:val="both"/>
              <w:rPr>
                <w:rFonts w:ascii="Verdana" w:hAnsi="Verdana"/>
                <w:color w:val="000000"/>
                <w:sz w:val="20"/>
              </w:rPr>
            </w:pPr>
            <w:r>
              <w:rPr>
                <w:rFonts w:ascii="Verdana" w:hAnsi="Verdana"/>
                <w:color w:val="000000"/>
                <w:sz w:val="20"/>
              </w:rPr>
              <w:t>2 sztuki redundatnych zasilaczy PSU o mocy co najmniej 1300W każdy, klasy co najmniej 80+ Titanium.</w:t>
            </w:r>
          </w:p>
          <w:p>
            <w:pPr>
              <w:jc w:val="both"/>
              <w:rPr>
                <w:rFonts w:ascii="Verdana" w:hAnsi="Verdana"/>
                <w:color w:val="FF0000"/>
                <w:sz w:val="20"/>
              </w:rPr>
            </w:pPr>
          </w:p>
        </w:tc>
        <w:tc>
          <w:tcPr>
            <w:tcW w:w="1049" w:type="pct"/>
          </w:tcPr>
          <w:p>
            <w:pPr>
              <w:jc w:val="center"/>
              <w:rPr>
                <w:rFonts w:ascii="Verdana" w:hAnsi="Verdana"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84" w:hRule="atLeast"/>
        </w:trPr>
        <w:tc>
          <w:tcPr>
            <w:tcW w:w="193" w:type="pct"/>
          </w:tcPr>
          <w:p>
            <w:pPr>
              <w:numPr>
                <w:ilvl w:val="0"/>
                <w:numId w:val="1"/>
              </w:numPr>
              <w:rPr>
                <w:rFonts w:ascii="Verdana" w:hAnsi="Verdana" w:cs="Arial"/>
                <w:bCs/>
                <w:sz w:val="20"/>
              </w:rPr>
            </w:pPr>
          </w:p>
        </w:tc>
        <w:tc>
          <w:tcPr>
            <w:tcW w:w="680" w:type="pct"/>
          </w:tcPr>
          <w:p>
            <w:pPr>
              <w:rPr>
                <w:rFonts w:ascii="Verdana" w:hAnsi="Verdana"/>
                <w:color w:val="000000" w:themeColor="text1"/>
                <w:sz w:val="20"/>
                <w14:textFill>
                  <w14:solidFill>
                    <w14:schemeClr w14:val="tx1"/>
                  </w14:solidFill>
                </w14:textFill>
              </w:rPr>
            </w:pPr>
            <w:r>
              <w:rPr>
                <w:rFonts w:ascii="Verdana" w:hAnsi="Verdana"/>
                <w:color w:val="000000" w:themeColor="text1"/>
                <w:sz w:val="20"/>
                <w14:textFill>
                  <w14:solidFill>
                    <w14:schemeClr w14:val="tx1"/>
                  </w14:solidFill>
                </w14:textFill>
              </w:rPr>
              <w:t>Wentylatory</w:t>
            </w:r>
          </w:p>
        </w:tc>
        <w:tc>
          <w:tcPr>
            <w:tcW w:w="3076" w:type="pct"/>
          </w:tcPr>
          <w:p>
            <w:pPr>
              <w:jc w:val="both"/>
              <w:rPr>
                <w:rFonts w:ascii="Verdana" w:hAnsi="Verdana"/>
                <w:color w:val="000000"/>
                <w:sz w:val="20"/>
              </w:rPr>
            </w:pPr>
            <w:r>
              <w:rPr>
                <w:rFonts w:ascii="Verdana" w:hAnsi="Verdana"/>
                <w:color w:val="000000"/>
                <w:sz w:val="20"/>
              </w:rPr>
              <w:t>Hot-plug, redundantne</w:t>
            </w:r>
          </w:p>
          <w:p>
            <w:pPr>
              <w:jc w:val="both"/>
              <w:rPr>
                <w:rFonts w:ascii="Verdana" w:hAnsi="Verdana"/>
                <w:color w:val="FF0000"/>
                <w:sz w:val="20"/>
              </w:rPr>
            </w:pPr>
          </w:p>
        </w:tc>
        <w:tc>
          <w:tcPr>
            <w:tcW w:w="1049" w:type="pct"/>
          </w:tcPr>
          <w:p>
            <w:pPr>
              <w:jc w:val="center"/>
              <w:rPr>
                <w:rFonts w:ascii="Verdana" w:hAnsi="Verdana"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84" w:hRule="atLeast"/>
        </w:trPr>
        <w:tc>
          <w:tcPr>
            <w:tcW w:w="193" w:type="pct"/>
          </w:tcPr>
          <w:p>
            <w:pPr>
              <w:numPr>
                <w:ilvl w:val="0"/>
                <w:numId w:val="1"/>
              </w:numPr>
              <w:rPr>
                <w:rFonts w:ascii="Verdana" w:hAnsi="Verdana" w:cs="Arial"/>
                <w:bCs/>
                <w:sz w:val="20"/>
              </w:rPr>
            </w:pPr>
          </w:p>
        </w:tc>
        <w:tc>
          <w:tcPr>
            <w:tcW w:w="680" w:type="pct"/>
          </w:tcPr>
          <w:p>
            <w:pPr>
              <w:rPr>
                <w:rFonts w:ascii="Verdana" w:hAnsi="Verdana"/>
                <w:color w:val="000000" w:themeColor="text1"/>
                <w:sz w:val="20"/>
                <w14:textFill>
                  <w14:solidFill>
                    <w14:schemeClr w14:val="tx1"/>
                  </w14:solidFill>
                </w14:textFill>
              </w:rPr>
            </w:pPr>
            <w:r>
              <w:rPr>
                <w:rFonts w:ascii="Verdana" w:hAnsi="Verdana"/>
                <w:color w:val="000000" w:themeColor="text1"/>
                <w:sz w:val="20"/>
                <w14:textFill>
                  <w14:solidFill>
                    <w14:schemeClr w14:val="tx1"/>
                  </w14:solidFill>
                </w14:textFill>
              </w:rPr>
              <w:t>System operacyjny</w:t>
            </w:r>
          </w:p>
        </w:tc>
        <w:tc>
          <w:tcPr>
            <w:tcW w:w="3076" w:type="pct"/>
          </w:tcPr>
          <w:p>
            <w:pPr>
              <w:spacing w:after="120" w:line="276" w:lineRule="auto"/>
              <w:ind w:right="72"/>
              <w:jc w:val="both"/>
              <w:rPr>
                <w:rFonts w:ascii="Verdana" w:hAnsi="Verdana"/>
                <w:color w:val="000000" w:themeColor="text1"/>
                <w:sz w:val="20"/>
                <w14:textFill>
                  <w14:solidFill>
                    <w14:schemeClr w14:val="tx1"/>
                  </w14:solidFill>
                </w14:textFill>
              </w:rPr>
            </w:pPr>
            <w:r>
              <w:rPr>
                <w:rFonts w:ascii="Verdana" w:hAnsi="Verdana"/>
                <w:color w:val="000000" w:themeColor="text1"/>
                <w:sz w:val="20"/>
                <w14:textFill>
                  <w14:solidFill>
                    <w14:schemeClr w14:val="tx1"/>
                  </w14:solidFill>
                </w14:textFill>
              </w:rPr>
              <w:t>Wykonawca jest zobowiązany do dostawy wraz z serwerem systemu operacyjnego umożliwiającego zarządzenie serwerem klasy Microsoft Windows Serwer Standard 2022 lub równoważnego zgodnie z poniżej określonymi warunkami równoważności.</w:t>
            </w:r>
          </w:p>
          <w:p>
            <w:pPr>
              <w:spacing w:before="240" w:after="120" w:line="276" w:lineRule="auto"/>
              <w:ind w:right="72"/>
              <w:jc w:val="both"/>
              <w:rPr>
                <w:rFonts w:ascii="Verdana" w:hAnsi="Verdana"/>
                <w:color w:val="000000" w:themeColor="text1"/>
                <w:sz w:val="20"/>
                <w14:textFill>
                  <w14:solidFill>
                    <w14:schemeClr w14:val="tx1"/>
                  </w14:solidFill>
                </w14:textFill>
              </w:rPr>
            </w:pPr>
            <w:r>
              <w:rPr>
                <w:rFonts w:ascii="Verdana" w:hAnsi="Verdana"/>
                <w:color w:val="000000" w:themeColor="text1"/>
                <w:sz w:val="20"/>
                <w14:textFill>
                  <w14:solidFill>
                    <w14:schemeClr w14:val="tx1"/>
                  </w14:solidFill>
                </w14:textFill>
              </w:rPr>
              <w:t>Warunki równoważności dla dostawy oprogramowania klasy Microsoft Windows Serwer Standard 2022:</w:t>
            </w:r>
          </w:p>
          <w:p>
            <w:pPr>
              <w:pStyle w:val="14"/>
              <w:numPr>
                <w:ilvl w:val="1"/>
                <w:numId w:val="2"/>
              </w:numPr>
              <w:suppressAutoHyphens/>
              <w:spacing w:before="240" w:after="120" w:line="276" w:lineRule="auto"/>
              <w:ind w:right="72"/>
              <w:contextualSpacing/>
              <w:jc w:val="both"/>
              <w:rPr>
                <w:rFonts w:ascii="Verdana" w:hAnsi="Verdana"/>
                <w:color w:val="000000" w:themeColor="text1"/>
                <w:sz w:val="20"/>
                <w:szCs w:val="20"/>
                <w14:textFill>
                  <w14:solidFill>
                    <w14:schemeClr w14:val="tx1"/>
                  </w14:solidFill>
                </w14:textFill>
              </w:rPr>
            </w:pPr>
            <w:r>
              <w:rPr>
                <w:rFonts w:ascii="Verdana" w:hAnsi="Verdana"/>
                <w:color w:val="000000" w:themeColor="text1"/>
                <w:sz w:val="20"/>
                <w:szCs w:val="20"/>
                <w14:textFill>
                  <w14:solidFill>
                    <w14:schemeClr w14:val="tx1"/>
                  </w14:solidFill>
                </w14:textFill>
              </w:rPr>
              <w:t>Licencja musi uprawniać do uruchamiania serwerowego systemu operacyjnego w środowisku fizycznym i dwóch wirtualnych środowiskach serwerowego systemu operacyjnego za pomocą wbudowanych mechanizmów wirtualizacji.</w:t>
            </w:r>
          </w:p>
          <w:p>
            <w:pPr>
              <w:pStyle w:val="14"/>
              <w:numPr>
                <w:ilvl w:val="1"/>
                <w:numId w:val="2"/>
              </w:numPr>
              <w:suppressAutoHyphens/>
              <w:spacing w:before="240" w:after="120" w:line="276" w:lineRule="auto"/>
              <w:ind w:right="72"/>
              <w:contextualSpacing/>
              <w:jc w:val="both"/>
              <w:rPr>
                <w:rFonts w:ascii="Verdana" w:hAnsi="Verdana"/>
                <w:color w:val="000000" w:themeColor="text1"/>
                <w:sz w:val="20"/>
                <w:szCs w:val="20"/>
                <w14:textFill>
                  <w14:solidFill>
                    <w14:schemeClr w14:val="tx1"/>
                  </w14:solidFill>
                </w14:textFill>
              </w:rPr>
            </w:pPr>
            <w:r>
              <w:rPr>
                <w:rFonts w:ascii="Verdana" w:hAnsi="Verdana"/>
                <w:color w:val="000000" w:themeColor="text1"/>
                <w:sz w:val="20"/>
                <w:szCs w:val="20"/>
                <w14:textFill>
                  <w14:solidFill>
                    <w14:schemeClr w14:val="tx1"/>
                  </w14:solidFill>
                </w14:textFill>
              </w:rPr>
              <w:t>Możliwość wykorzystania, co najmniej 120 logicznych procesorów oraz co najmniej 2 TB pamięci RAM w środowisku fizycznym.</w:t>
            </w:r>
          </w:p>
          <w:p>
            <w:pPr>
              <w:pStyle w:val="14"/>
              <w:numPr>
                <w:ilvl w:val="1"/>
                <w:numId w:val="2"/>
              </w:numPr>
              <w:suppressAutoHyphens/>
              <w:spacing w:before="240" w:after="120" w:line="276" w:lineRule="auto"/>
              <w:ind w:right="72"/>
              <w:contextualSpacing/>
              <w:jc w:val="both"/>
              <w:rPr>
                <w:rFonts w:ascii="Verdana" w:hAnsi="Verdana"/>
                <w:color w:val="000000" w:themeColor="text1"/>
                <w:sz w:val="20"/>
                <w:szCs w:val="20"/>
                <w14:textFill>
                  <w14:solidFill>
                    <w14:schemeClr w14:val="tx1"/>
                  </w14:solidFill>
                </w14:textFill>
              </w:rPr>
            </w:pPr>
            <w:r>
              <w:rPr>
                <w:rFonts w:ascii="Verdana" w:hAnsi="Verdana"/>
                <w:color w:val="000000" w:themeColor="text1"/>
                <w:sz w:val="20"/>
                <w:szCs w:val="20"/>
                <w14:textFill>
                  <w14:solidFill>
                    <w14:schemeClr w14:val="tx1"/>
                  </w14:solidFill>
                </w14:textFill>
              </w:rPr>
              <w:t>Możliwość wykorzystywania 64 procesorów wirtualnych oraz 1TB pamięci RAM i dysku o pojemności min. 64TB przez każdy wirtualny serwerowy system operacyjny.</w:t>
            </w:r>
          </w:p>
          <w:p>
            <w:pPr>
              <w:pStyle w:val="14"/>
              <w:numPr>
                <w:ilvl w:val="1"/>
                <w:numId w:val="2"/>
              </w:numPr>
              <w:suppressAutoHyphens/>
              <w:spacing w:before="240" w:after="120" w:line="276" w:lineRule="auto"/>
              <w:ind w:right="72"/>
              <w:contextualSpacing/>
              <w:jc w:val="both"/>
              <w:rPr>
                <w:rFonts w:ascii="Verdana" w:hAnsi="Verdana"/>
                <w:color w:val="000000" w:themeColor="text1"/>
                <w:sz w:val="20"/>
                <w:szCs w:val="20"/>
                <w14:textFill>
                  <w14:solidFill>
                    <w14:schemeClr w14:val="tx1"/>
                  </w14:solidFill>
                </w14:textFill>
              </w:rPr>
            </w:pPr>
            <w:r>
              <w:rPr>
                <w:rFonts w:ascii="Verdana" w:hAnsi="Verdana"/>
                <w:color w:val="000000" w:themeColor="text1"/>
                <w:sz w:val="20"/>
                <w:szCs w:val="20"/>
                <w14:textFill>
                  <w14:solidFill>
                    <w14:schemeClr w14:val="tx1"/>
                  </w14:solidFill>
                </w14:textFill>
              </w:rPr>
              <w:t>Możliwość migracji maszyn wirtualnych bez zatrzymywania ich pracy między fizycznymi serwerami z uruchomionym mechanizmem wirtualizacji (hypervisor) przez sieć Ethernet, bez konieczności stosowania dodatkowych mechanizmów współdzielenia pamięci.</w:t>
            </w:r>
          </w:p>
          <w:p>
            <w:pPr>
              <w:pStyle w:val="14"/>
              <w:numPr>
                <w:ilvl w:val="1"/>
                <w:numId w:val="2"/>
              </w:numPr>
              <w:suppressAutoHyphens/>
              <w:spacing w:before="240" w:after="120" w:line="276" w:lineRule="auto"/>
              <w:ind w:right="72"/>
              <w:contextualSpacing/>
              <w:jc w:val="both"/>
              <w:rPr>
                <w:rFonts w:ascii="Verdana" w:hAnsi="Verdana"/>
                <w:color w:val="000000" w:themeColor="text1"/>
                <w:sz w:val="20"/>
                <w:szCs w:val="20"/>
                <w14:textFill>
                  <w14:solidFill>
                    <w14:schemeClr w14:val="tx1"/>
                  </w14:solidFill>
                </w14:textFill>
              </w:rPr>
            </w:pPr>
            <w:r>
              <w:rPr>
                <w:rFonts w:ascii="Verdana" w:hAnsi="Verdana"/>
                <w:color w:val="000000" w:themeColor="text1"/>
                <w:sz w:val="20"/>
                <w:szCs w:val="20"/>
                <w14:textFill>
                  <w14:solidFill>
                    <w14:schemeClr w14:val="tx1"/>
                  </w14:solidFill>
                </w14:textFill>
              </w:rPr>
              <w:t>Wsparcie (na umożliwiającym to sprzęcie) dodawania i wymiany pamięci RAM bez przerywania pracy.</w:t>
            </w:r>
          </w:p>
          <w:p>
            <w:pPr>
              <w:pStyle w:val="14"/>
              <w:numPr>
                <w:ilvl w:val="1"/>
                <w:numId w:val="2"/>
              </w:numPr>
              <w:suppressAutoHyphens/>
              <w:spacing w:before="240" w:after="120" w:line="276" w:lineRule="auto"/>
              <w:ind w:right="72"/>
              <w:contextualSpacing/>
              <w:jc w:val="both"/>
              <w:rPr>
                <w:rFonts w:ascii="Verdana" w:hAnsi="Verdana"/>
                <w:color w:val="000000" w:themeColor="text1"/>
                <w:sz w:val="20"/>
                <w:szCs w:val="20"/>
                <w14:textFill>
                  <w14:solidFill>
                    <w14:schemeClr w14:val="tx1"/>
                  </w14:solidFill>
                </w14:textFill>
              </w:rPr>
            </w:pPr>
            <w:r>
              <w:rPr>
                <w:rFonts w:ascii="Verdana" w:hAnsi="Verdana"/>
                <w:color w:val="000000" w:themeColor="text1"/>
                <w:sz w:val="20"/>
                <w:szCs w:val="20"/>
                <w14:textFill>
                  <w14:solidFill>
                    <w14:schemeClr w14:val="tx1"/>
                  </w14:solidFill>
                </w14:textFill>
              </w:rPr>
              <w:t>Wsparcie (na umożliwiającym to sprzęcie) dodawania i wymiany procesorów bez przerywania pracy.</w:t>
            </w:r>
          </w:p>
          <w:p>
            <w:pPr>
              <w:pStyle w:val="14"/>
              <w:numPr>
                <w:ilvl w:val="1"/>
                <w:numId w:val="2"/>
              </w:numPr>
              <w:suppressAutoHyphens/>
              <w:spacing w:before="240" w:after="120" w:line="276" w:lineRule="auto"/>
              <w:ind w:right="72"/>
              <w:contextualSpacing/>
              <w:jc w:val="both"/>
              <w:rPr>
                <w:rFonts w:ascii="Verdana" w:hAnsi="Verdana"/>
                <w:color w:val="000000" w:themeColor="text1"/>
                <w:sz w:val="20"/>
                <w:szCs w:val="20"/>
                <w14:textFill>
                  <w14:solidFill>
                    <w14:schemeClr w14:val="tx1"/>
                  </w14:solidFill>
                </w14:textFill>
              </w:rPr>
            </w:pPr>
            <w:r>
              <w:rPr>
                <w:rFonts w:ascii="Verdana" w:hAnsi="Verdana"/>
                <w:color w:val="000000" w:themeColor="text1"/>
                <w:sz w:val="20"/>
                <w:szCs w:val="20"/>
                <w14:textFill>
                  <w14:solidFill>
                    <w14:schemeClr w14:val="tx1"/>
                  </w14:solidFill>
                </w14:textFill>
              </w:rPr>
              <w:t>Automatyczna weryfikacja cyfrowych sygnatur sterowników w celu sprawdzenia czy sterownik przeszedł testy jakości przeprowadzone przez producenta systemu operacyjnego.</w:t>
            </w:r>
          </w:p>
          <w:p>
            <w:pPr>
              <w:pStyle w:val="14"/>
              <w:numPr>
                <w:ilvl w:val="1"/>
                <w:numId w:val="2"/>
              </w:numPr>
              <w:suppressAutoHyphens/>
              <w:spacing w:before="240" w:after="120" w:line="276" w:lineRule="auto"/>
              <w:ind w:right="72"/>
              <w:contextualSpacing/>
              <w:jc w:val="both"/>
              <w:rPr>
                <w:rFonts w:ascii="Verdana" w:hAnsi="Verdana"/>
                <w:color w:val="000000" w:themeColor="text1"/>
                <w:sz w:val="20"/>
                <w:szCs w:val="20"/>
                <w14:textFill>
                  <w14:solidFill>
                    <w14:schemeClr w14:val="tx1"/>
                  </w14:solidFill>
                </w14:textFill>
              </w:rPr>
            </w:pPr>
            <w:r>
              <w:rPr>
                <w:rFonts w:ascii="Verdana" w:hAnsi="Verdana"/>
                <w:color w:val="000000" w:themeColor="text1"/>
                <w:sz w:val="20"/>
                <w:szCs w:val="20"/>
                <w14:textFill>
                  <w14:solidFill>
                    <w14:schemeClr w14:val="tx1"/>
                  </w14:solidFill>
                </w14:textFill>
              </w:rPr>
              <w:t>Możliwość dynamicznego obniżania poboru energii przez rdzenie procesorów niewykorzystywane w bieżącej pracy.</w:t>
            </w:r>
          </w:p>
          <w:p>
            <w:pPr>
              <w:pStyle w:val="14"/>
              <w:numPr>
                <w:ilvl w:val="1"/>
                <w:numId w:val="2"/>
              </w:numPr>
              <w:suppressAutoHyphens/>
              <w:spacing w:before="240" w:after="120" w:line="276" w:lineRule="auto"/>
              <w:ind w:right="72"/>
              <w:contextualSpacing/>
              <w:jc w:val="both"/>
              <w:rPr>
                <w:rFonts w:ascii="Verdana" w:hAnsi="Verdana"/>
                <w:color w:val="000000" w:themeColor="text1"/>
                <w:sz w:val="20"/>
                <w:szCs w:val="20"/>
                <w14:textFill>
                  <w14:solidFill>
                    <w14:schemeClr w14:val="tx1"/>
                  </w14:solidFill>
                </w14:textFill>
              </w:rPr>
            </w:pPr>
            <w:r>
              <w:rPr>
                <w:rFonts w:ascii="Verdana" w:hAnsi="Verdana"/>
                <w:color w:val="000000" w:themeColor="text1"/>
                <w:sz w:val="20"/>
                <w:szCs w:val="20"/>
                <w14:textFill>
                  <w14:solidFill>
                    <w14:schemeClr w14:val="tx1"/>
                  </w14:solidFill>
                </w14:textFill>
              </w:rPr>
              <w:t>Mechanizm ten musi uwzględniać specyfikę procesorów wyposażonych w mechanizmy Hyper-Threading;</w:t>
            </w:r>
          </w:p>
          <w:p>
            <w:pPr>
              <w:pStyle w:val="14"/>
              <w:numPr>
                <w:ilvl w:val="1"/>
                <w:numId w:val="2"/>
              </w:numPr>
              <w:suppressAutoHyphens/>
              <w:spacing w:before="240" w:after="120" w:line="276" w:lineRule="auto"/>
              <w:ind w:right="72"/>
              <w:contextualSpacing/>
              <w:jc w:val="both"/>
              <w:rPr>
                <w:rFonts w:ascii="Verdana" w:hAnsi="Verdana"/>
                <w:color w:val="000000" w:themeColor="text1"/>
                <w:sz w:val="20"/>
                <w:szCs w:val="20"/>
                <w14:textFill>
                  <w14:solidFill>
                    <w14:schemeClr w14:val="tx1"/>
                  </w14:solidFill>
                </w14:textFill>
              </w:rPr>
            </w:pPr>
            <w:r>
              <w:rPr>
                <w:rFonts w:ascii="Verdana" w:hAnsi="Verdana"/>
                <w:color w:val="000000" w:themeColor="text1"/>
                <w:sz w:val="20"/>
                <w:szCs w:val="20"/>
                <w14:textFill>
                  <w14:solidFill>
                    <w14:schemeClr w14:val="tx1"/>
                  </w14:solidFill>
                </w14:textFill>
              </w:rPr>
              <w:t>Wbudowany mechanizm klasyfikowania i indeksowania plików (dokumentów) w oparciu o ich zawartość.</w:t>
            </w:r>
          </w:p>
          <w:p>
            <w:pPr>
              <w:pStyle w:val="14"/>
              <w:numPr>
                <w:ilvl w:val="1"/>
                <w:numId w:val="2"/>
              </w:numPr>
              <w:suppressAutoHyphens/>
              <w:spacing w:before="240" w:after="120" w:line="276" w:lineRule="auto"/>
              <w:ind w:right="72"/>
              <w:contextualSpacing/>
              <w:jc w:val="both"/>
              <w:rPr>
                <w:rFonts w:ascii="Verdana" w:hAnsi="Verdana"/>
                <w:color w:val="000000" w:themeColor="text1"/>
                <w:sz w:val="20"/>
                <w:szCs w:val="20"/>
                <w14:textFill>
                  <w14:solidFill>
                    <w14:schemeClr w14:val="tx1"/>
                  </w14:solidFill>
                </w14:textFill>
              </w:rPr>
            </w:pPr>
            <w:r>
              <w:rPr>
                <w:rFonts w:ascii="Verdana" w:hAnsi="Verdana"/>
                <w:color w:val="000000" w:themeColor="text1"/>
                <w:sz w:val="20"/>
                <w:szCs w:val="20"/>
                <w14:textFill>
                  <w14:solidFill>
                    <w14:schemeClr w14:val="tx1"/>
                  </w14:solidFill>
                </w14:textFill>
              </w:rPr>
              <w:t>Wbudowane szyfrowanie dysków przy pomocy mechanizmów posiadających certyfikat FIPS 140-2 lub równoważny wydany przez NIST lub inną agendę rządową zajmującą się bezpieczeństwem informacji.</w:t>
            </w:r>
          </w:p>
          <w:p>
            <w:pPr>
              <w:pStyle w:val="14"/>
              <w:numPr>
                <w:ilvl w:val="1"/>
                <w:numId w:val="2"/>
              </w:numPr>
              <w:suppressAutoHyphens/>
              <w:spacing w:before="240" w:after="120" w:line="276" w:lineRule="auto"/>
              <w:ind w:right="72"/>
              <w:contextualSpacing/>
              <w:jc w:val="both"/>
              <w:rPr>
                <w:rFonts w:ascii="Verdana" w:hAnsi="Verdana"/>
                <w:color w:val="000000" w:themeColor="text1"/>
                <w:sz w:val="20"/>
                <w:szCs w:val="20"/>
                <w14:textFill>
                  <w14:solidFill>
                    <w14:schemeClr w14:val="tx1"/>
                  </w14:solidFill>
                </w14:textFill>
              </w:rPr>
            </w:pPr>
            <w:r>
              <w:rPr>
                <w:rFonts w:ascii="Verdana" w:hAnsi="Verdana"/>
                <w:color w:val="000000" w:themeColor="text1"/>
                <w:sz w:val="20"/>
                <w:szCs w:val="20"/>
                <w14:textFill>
                  <w14:solidFill>
                    <w14:schemeClr w14:val="tx1"/>
                  </w14:solidFill>
                </w14:textFill>
              </w:rPr>
              <w:t>Możliwość uruchamianie aplikacji internetowych wykorzystujących technologię ASP.NET.</w:t>
            </w:r>
          </w:p>
          <w:p>
            <w:pPr>
              <w:pStyle w:val="14"/>
              <w:numPr>
                <w:ilvl w:val="1"/>
                <w:numId w:val="2"/>
              </w:numPr>
              <w:suppressAutoHyphens/>
              <w:spacing w:before="240" w:after="120" w:line="276" w:lineRule="auto"/>
              <w:ind w:right="72"/>
              <w:contextualSpacing/>
              <w:jc w:val="both"/>
              <w:rPr>
                <w:rFonts w:ascii="Verdana" w:hAnsi="Verdana"/>
                <w:color w:val="000000" w:themeColor="text1"/>
                <w:sz w:val="20"/>
                <w:szCs w:val="20"/>
                <w14:textFill>
                  <w14:solidFill>
                    <w14:schemeClr w14:val="tx1"/>
                  </w14:solidFill>
                </w14:textFill>
              </w:rPr>
            </w:pPr>
            <w:r>
              <w:rPr>
                <w:rFonts w:ascii="Verdana" w:hAnsi="Verdana"/>
                <w:color w:val="000000" w:themeColor="text1"/>
                <w:sz w:val="20"/>
                <w:szCs w:val="20"/>
                <w14:textFill>
                  <w14:solidFill>
                    <w14:schemeClr w14:val="tx1"/>
                  </w14:solidFill>
                </w14:textFill>
              </w:rPr>
              <w:t>Możliwość dystrybucji ruchu sieciowego HTTP pomiędzy kilka serwerów.</w:t>
            </w:r>
          </w:p>
          <w:p>
            <w:pPr>
              <w:pStyle w:val="14"/>
              <w:numPr>
                <w:ilvl w:val="1"/>
                <w:numId w:val="2"/>
              </w:numPr>
              <w:suppressAutoHyphens/>
              <w:spacing w:before="240" w:after="120" w:line="276" w:lineRule="auto"/>
              <w:ind w:right="72"/>
              <w:contextualSpacing/>
              <w:jc w:val="both"/>
              <w:rPr>
                <w:rFonts w:ascii="Verdana" w:hAnsi="Verdana"/>
                <w:color w:val="000000" w:themeColor="text1"/>
                <w:sz w:val="20"/>
                <w:szCs w:val="20"/>
                <w14:textFill>
                  <w14:solidFill>
                    <w14:schemeClr w14:val="tx1"/>
                  </w14:solidFill>
                </w14:textFill>
              </w:rPr>
            </w:pPr>
            <w:r>
              <w:rPr>
                <w:rFonts w:ascii="Verdana" w:hAnsi="Verdana"/>
                <w:color w:val="000000" w:themeColor="text1"/>
                <w:sz w:val="20"/>
                <w:szCs w:val="20"/>
                <w14:textFill>
                  <w14:solidFill>
                    <w14:schemeClr w14:val="tx1"/>
                  </w14:solidFill>
                </w14:textFill>
              </w:rPr>
              <w:t>Wbudowana zapora internetowa (firewall) z obsługą definiowanych reguł dla ochrony połączeń internetowych i intranetowych.</w:t>
            </w:r>
          </w:p>
          <w:p>
            <w:pPr>
              <w:pStyle w:val="14"/>
              <w:numPr>
                <w:ilvl w:val="1"/>
                <w:numId w:val="2"/>
              </w:numPr>
              <w:suppressAutoHyphens/>
              <w:spacing w:before="240" w:after="120" w:line="276" w:lineRule="auto"/>
              <w:ind w:right="72"/>
              <w:contextualSpacing/>
              <w:jc w:val="both"/>
              <w:rPr>
                <w:rFonts w:ascii="Verdana" w:hAnsi="Verdana"/>
                <w:color w:val="000000" w:themeColor="text1"/>
                <w:sz w:val="20"/>
                <w:szCs w:val="20"/>
                <w14:textFill>
                  <w14:solidFill>
                    <w14:schemeClr w14:val="tx1"/>
                  </w14:solidFill>
                </w14:textFill>
              </w:rPr>
            </w:pPr>
            <w:r>
              <w:rPr>
                <w:rFonts w:ascii="Verdana" w:hAnsi="Verdana"/>
                <w:color w:val="000000" w:themeColor="text1"/>
                <w:sz w:val="20"/>
                <w:szCs w:val="20"/>
                <w14:textFill>
                  <w14:solidFill>
                    <w14:schemeClr w14:val="tx1"/>
                  </w14:solidFill>
                </w14:textFill>
              </w:rPr>
              <w:t>Zlokalizowane w języku polskim, co najmniej następujące elementy: menu, przeglądarka internetowa, pomoc, komunikaty systemowe.</w:t>
            </w:r>
          </w:p>
          <w:p>
            <w:pPr>
              <w:pStyle w:val="14"/>
              <w:numPr>
                <w:ilvl w:val="1"/>
                <w:numId w:val="2"/>
              </w:numPr>
              <w:suppressAutoHyphens/>
              <w:spacing w:before="240" w:after="120" w:line="276" w:lineRule="auto"/>
              <w:ind w:right="72"/>
              <w:contextualSpacing/>
              <w:jc w:val="both"/>
              <w:rPr>
                <w:rFonts w:ascii="Verdana" w:hAnsi="Verdana"/>
                <w:color w:val="000000" w:themeColor="text1"/>
                <w:sz w:val="20"/>
                <w:szCs w:val="20"/>
                <w14:textFill>
                  <w14:solidFill>
                    <w14:schemeClr w14:val="tx1"/>
                  </w14:solidFill>
                </w14:textFill>
              </w:rPr>
            </w:pPr>
            <w:r>
              <w:rPr>
                <w:rFonts w:ascii="Verdana" w:hAnsi="Verdana"/>
                <w:color w:val="000000" w:themeColor="text1"/>
                <w:sz w:val="20"/>
                <w:szCs w:val="20"/>
                <w14:textFill>
                  <w14:solidFill>
                    <w14:schemeClr w14:val="tx1"/>
                  </w14:solidFill>
                </w14:textFill>
              </w:rPr>
              <w:t>Możliwość zmiany języka interfejsu po zainstalowaniu systemu, dla co najmniej 2 języków poprzez wybór z listy dostępnych lokalizacji.</w:t>
            </w:r>
          </w:p>
          <w:p>
            <w:pPr>
              <w:pStyle w:val="14"/>
              <w:numPr>
                <w:ilvl w:val="1"/>
                <w:numId w:val="2"/>
              </w:numPr>
              <w:suppressAutoHyphens/>
              <w:spacing w:before="240" w:after="120" w:line="276" w:lineRule="auto"/>
              <w:ind w:right="72"/>
              <w:contextualSpacing/>
              <w:jc w:val="both"/>
              <w:rPr>
                <w:rFonts w:ascii="Verdana" w:hAnsi="Verdana"/>
                <w:color w:val="000000" w:themeColor="text1"/>
                <w:sz w:val="20"/>
                <w:szCs w:val="20"/>
                <w14:textFill>
                  <w14:solidFill>
                    <w14:schemeClr w14:val="tx1"/>
                  </w14:solidFill>
                </w14:textFill>
              </w:rPr>
            </w:pPr>
            <w:r>
              <w:rPr>
                <w:rFonts w:ascii="Verdana" w:hAnsi="Verdana"/>
                <w:color w:val="000000" w:themeColor="text1"/>
                <w:sz w:val="20"/>
                <w:szCs w:val="20"/>
                <w14:textFill>
                  <w14:solidFill>
                    <w14:schemeClr w14:val="tx1"/>
                  </w14:solidFill>
                </w14:textFill>
              </w:rPr>
              <w:t>Wsparcie dla większości powszechnie używanych urządzeń peryferyjnych (drukarek, urządzeń sieciowych, standardów USB, Plug&amp;Play).</w:t>
            </w:r>
          </w:p>
          <w:p>
            <w:pPr>
              <w:pStyle w:val="14"/>
              <w:numPr>
                <w:ilvl w:val="1"/>
                <w:numId w:val="2"/>
              </w:numPr>
              <w:suppressAutoHyphens/>
              <w:spacing w:before="240" w:after="120" w:line="276" w:lineRule="auto"/>
              <w:ind w:right="72"/>
              <w:contextualSpacing/>
              <w:jc w:val="both"/>
              <w:rPr>
                <w:rFonts w:ascii="Verdana" w:hAnsi="Verdana"/>
                <w:color w:val="000000" w:themeColor="text1"/>
                <w:sz w:val="20"/>
                <w:szCs w:val="20"/>
                <w14:textFill>
                  <w14:solidFill>
                    <w14:schemeClr w14:val="tx1"/>
                  </w14:solidFill>
                </w14:textFill>
              </w:rPr>
            </w:pPr>
            <w:r>
              <w:rPr>
                <w:rFonts w:ascii="Verdana" w:hAnsi="Verdana"/>
                <w:color w:val="000000" w:themeColor="text1"/>
                <w:sz w:val="20"/>
                <w:szCs w:val="20"/>
                <w14:textFill>
                  <w14:solidFill>
                    <w14:schemeClr w14:val="tx1"/>
                  </w14:solidFill>
                </w14:textFill>
              </w:rPr>
              <w:t>Możliwość zdalnej konfiguracji, administrowania oraz aktualizowania systemu.</w:t>
            </w:r>
          </w:p>
          <w:p>
            <w:pPr>
              <w:pStyle w:val="14"/>
              <w:numPr>
                <w:ilvl w:val="1"/>
                <w:numId w:val="2"/>
              </w:numPr>
              <w:suppressAutoHyphens/>
              <w:spacing w:before="240" w:after="120" w:line="276" w:lineRule="auto"/>
              <w:ind w:right="72"/>
              <w:contextualSpacing/>
              <w:jc w:val="both"/>
              <w:rPr>
                <w:rFonts w:ascii="Verdana" w:hAnsi="Verdana"/>
                <w:color w:val="000000" w:themeColor="text1"/>
                <w:sz w:val="20"/>
                <w:szCs w:val="20"/>
                <w14:textFill>
                  <w14:solidFill>
                    <w14:schemeClr w14:val="tx1"/>
                  </w14:solidFill>
                </w14:textFill>
              </w:rPr>
            </w:pPr>
            <w:r>
              <w:rPr>
                <w:rFonts w:ascii="Verdana" w:hAnsi="Verdana"/>
                <w:color w:val="000000" w:themeColor="text1"/>
                <w:sz w:val="20"/>
                <w:szCs w:val="20"/>
                <w14:textFill>
                  <w14:solidFill>
                    <w14:schemeClr w14:val="tx1"/>
                  </w14:solidFill>
                </w14:textFill>
              </w:rPr>
              <w:t>Wsparcie dostępu do zasobu dyskowego SSO poprzez wiele ścieżek (Multipath).</w:t>
            </w:r>
          </w:p>
          <w:p>
            <w:pPr>
              <w:pStyle w:val="14"/>
              <w:numPr>
                <w:ilvl w:val="1"/>
                <w:numId w:val="2"/>
              </w:numPr>
              <w:suppressAutoHyphens/>
              <w:spacing w:before="240" w:after="120" w:line="276" w:lineRule="auto"/>
              <w:ind w:right="72"/>
              <w:contextualSpacing/>
              <w:jc w:val="both"/>
              <w:rPr>
                <w:rFonts w:ascii="Verdana" w:hAnsi="Verdana"/>
                <w:color w:val="000000" w:themeColor="text1"/>
                <w:sz w:val="20"/>
                <w:szCs w:val="20"/>
                <w14:textFill>
                  <w14:solidFill>
                    <w14:schemeClr w14:val="tx1"/>
                  </w14:solidFill>
                </w14:textFill>
              </w:rPr>
            </w:pPr>
            <w:r>
              <w:rPr>
                <w:rFonts w:ascii="Verdana" w:hAnsi="Verdana"/>
                <w:color w:val="000000" w:themeColor="text1"/>
                <w:sz w:val="20"/>
                <w:szCs w:val="20"/>
                <w14:textFill>
                  <w14:solidFill>
                    <w14:schemeClr w14:val="tx1"/>
                  </w14:solidFill>
                </w14:textFill>
              </w:rPr>
              <w:t>Możliwość instalacji poprawek poprzez wgranie ich do obrazu instalacyjnego.</w:t>
            </w:r>
          </w:p>
          <w:p>
            <w:pPr>
              <w:pStyle w:val="14"/>
              <w:numPr>
                <w:ilvl w:val="1"/>
                <w:numId w:val="2"/>
              </w:numPr>
              <w:suppressAutoHyphens/>
              <w:spacing w:before="240" w:after="120" w:line="276" w:lineRule="auto"/>
              <w:ind w:right="72"/>
              <w:contextualSpacing/>
              <w:jc w:val="both"/>
              <w:rPr>
                <w:rFonts w:ascii="Verdana" w:hAnsi="Verdana"/>
                <w:color w:val="000000" w:themeColor="text1"/>
                <w:sz w:val="20"/>
                <w:szCs w:val="20"/>
                <w14:textFill>
                  <w14:solidFill>
                    <w14:schemeClr w14:val="tx1"/>
                  </w14:solidFill>
                </w14:textFill>
              </w:rPr>
            </w:pPr>
            <w:r>
              <w:rPr>
                <w:rFonts w:ascii="Verdana" w:hAnsi="Verdana"/>
                <w:color w:val="000000" w:themeColor="text1"/>
                <w:sz w:val="20"/>
                <w14:textFill>
                  <w14:solidFill>
                    <w14:schemeClr w14:val="tx1"/>
                  </w14:solidFill>
                </w14:textFill>
              </w:rPr>
              <w:t>Mechanizmy zdalnej administracji oraz mechanizmy (również działające zdalnie) administracji przez skrypty</w:t>
            </w:r>
          </w:p>
        </w:tc>
        <w:tc>
          <w:tcPr>
            <w:tcW w:w="1049" w:type="pct"/>
          </w:tcPr>
          <w:p>
            <w:pPr>
              <w:jc w:val="center"/>
              <w:rPr>
                <w:rFonts w:ascii="Verdana" w:hAnsi="Verdana"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84" w:hRule="atLeast"/>
        </w:trPr>
        <w:tc>
          <w:tcPr>
            <w:tcW w:w="193" w:type="pct"/>
          </w:tcPr>
          <w:p>
            <w:pPr>
              <w:numPr>
                <w:ilvl w:val="0"/>
                <w:numId w:val="1"/>
              </w:numPr>
              <w:rPr>
                <w:rFonts w:ascii="Verdana" w:hAnsi="Verdana" w:cs="Arial"/>
                <w:bCs/>
                <w:sz w:val="20"/>
              </w:rPr>
            </w:pPr>
          </w:p>
        </w:tc>
        <w:tc>
          <w:tcPr>
            <w:tcW w:w="680" w:type="pct"/>
          </w:tcPr>
          <w:p>
            <w:pPr>
              <w:rPr>
                <w:rFonts w:ascii="Verdana" w:hAnsi="Verdana" w:cs="Arial"/>
                <w:sz w:val="20"/>
              </w:rPr>
            </w:pPr>
            <w:r>
              <w:rPr>
                <w:rFonts w:ascii="Verdana" w:hAnsi="Verdana" w:cs="Arial"/>
                <w:sz w:val="20"/>
              </w:rPr>
              <w:t>Certyfikaty, dokumenty</w:t>
            </w:r>
          </w:p>
        </w:tc>
        <w:tc>
          <w:tcPr>
            <w:tcW w:w="3076" w:type="pct"/>
          </w:tcPr>
          <w:p>
            <w:pPr>
              <w:spacing w:line="360" w:lineRule="auto"/>
              <w:jc w:val="both"/>
              <w:rPr>
                <w:rFonts w:ascii="Verdana" w:hAnsi="Verdana" w:cs="Arial"/>
                <w:sz w:val="20"/>
              </w:rPr>
            </w:pPr>
            <w:r>
              <w:rPr>
                <w:rFonts w:ascii="Verdana" w:hAnsi="Verdana"/>
                <w:color w:val="000000" w:themeColor="text1"/>
                <w:sz w:val="20"/>
                <w14:textFill>
                  <w14:solidFill>
                    <w14:schemeClr w14:val="tx1"/>
                  </w14:solidFill>
                </w14:textFill>
              </w:rPr>
              <w:t>Jakość produktu i sposobu jego wykonania: Certyfikat ISO 9001 lub inny równoważny dokument poświadczający, że producent serwera opracował, wdrożył i certyfikował system zarządzania jakością; Certyfikat ISO 50001 lub inny równoważny dokument poświadczający, że producent serwera posiada system zarządzania energią, zmniejszający zużycie energii, wpływy na środowisko i zwiększający rentowność; Deklaracja zgodności CE lub inny równoważny dokument poświadczający, ze oferowany serwer spełnia wszystkie zasadnicze wymagania zawarte w poszczególnych dyrektywach nowego podejścia przewidujących oznakowanie CE; Potwierdzenie spełnienia kryteriów środowiskowych, w tym zgodności z dyrektywą RoHS Unii Europejskiej o eliminacji substancji niebezpiecznych w postaci oświadczenia producenta serwera lub innego dokumentu potwierdzającego spełnienie kryteriów środowiskowych w tym zgodności z dyrektywą RoHS Unii Europejskiej o eliminacji substancji niebezpiecznych. Zamawiający żąda przedłożenia dokumentów potwierdzających spełnienie przez oferowany serwer i jego/ich producenta/producentów w zakresie określonym powyżej, w ramach przedmiotowych środków dowodowych (należy załączyć do oferty).</w:t>
            </w:r>
          </w:p>
          <w:p>
            <w:pPr>
              <w:rPr>
                <w:rFonts w:ascii="Verdana" w:hAnsi="Verdana" w:cs="Arial"/>
                <w:sz w:val="20"/>
              </w:rPr>
            </w:pPr>
          </w:p>
        </w:tc>
        <w:tc>
          <w:tcPr>
            <w:tcW w:w="1049" w:type="pct"/>
          </w:tcPr>
          <w:p>
            <w:pPr>
              <w:jc w:val="center"/>
              <w:rPr>
                <w:rFonts w:ascii="Verdana" w:hAnsi="Verdana"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84" w:hRule="atLeast"/>
        </w:trPr>
        <w:tc>
          <w:tcPr>
            <w:tcW w:w="193" w:type="pct"/>
          </w:tcPr>
          <w:p>
            <w:pPr>
              <w:numPr>
                <w:ilvl w:val="0"/>
                <w:numId w:val="1"/>
              </w:numPr>
              <w:rPr>
                <w:rFonts w:ascii="Verdana" w:hAnsi="Verdana" w:cs="Arial"/>
                <w:bCs/>
                <w:sz w:val="20"/>
              </w:rPr>
            </w:pPr>
          </w:p>
        </w:tc>
        <w:tc>
          <w:tcPr>
            <w:tcW w:w="680" w:type="pct"/>
          </w:tcPr>
          <w:p>
            <w:pPr>
              <w:rPr>
                <w:rFonts w:ascii="Verdana" w:hAnsi="Verdana" w:cs="Arial"/>
                <w:sz w:val="20"/>
              </w:rPr>
            </w:pPr>
            <w:r>
              <w:rPr>
                <w:rFonts w:ascii="Verdana" w:hAnsi="Verdana" w:cs="Arial"/>
                <w:sz w:val="20"/>
              </w:rPr>
              <w:t>Gwarancja</w:t>
            </w:r>
          </w:p>
        </w:tc>
        <w:tc>
          <w:tcPr>
            <w:tcW w:w="3076" w:type="pct"/>
          </w:tcPr>
          <w:p>
            <w:pPr>
              <w:spacing w:line="360" w:lineRule="auto"/>
              <w:jc w:val="both"/>
              <w:outlineLvl w:val="0"/>
              <w:rPr>
                <w:rFonts w:ascii="Verdana" w:hAnsi="Verdana"/>
                <w:color w:val="000000"/>
                <w:sz w:val="20"/>
              </w:rPr>
            </w:pPr>
            <w:r>
              <w:rPr>
                <w:rFonts w:hint="default" w:ascii="Verdana" w:hAnsi="Verdana"/>
                <w:color w:val="000000"/>
                <w:sz w:val="20"/>
                <w:lang w:val="pl-PL"/>
              </w:rPr>
              <w:t>C</w:t>
            </w:r>
            <w:r>
              <w:rPr>
                <w:rFonts w:ascii="Verdana" w:hAnsi="Verdana"/>
                <w:color w:val="000000"/>
                <w:sz w:val="20"/>
              </w:rPr>
              <w:t>zas</w:t>
            </w:r>
            <w:bookmarkStart w:id="0" w:name="_GoBack"/>
            <w:bookmarkEnd w:id="0"/>
            <w:r>
              <w:rPr>
                <w:rFonts w:ascii="Verdana" w:hAnsi="Verdana"/>
                <w:color w:val="000000"/>
                <w:sz w:val="20"/>
              </w:rPr>
              <w:t xml:space="preserve"> podjęcia naprawy następnego dnia roboczego (NBD) w formule u Zamawiającego (on-site). Uszkodzone dyski pozostają u Zamawiającego.</w:t>
            </w:r>
          </w:p>
        </w:tc>
        <w:tc>
          <w:tcPr>
            <w:tcW w:w="1049" w:type="pct"/>
          </w:tcPr>
          <w:p>
            <w:pPr>
              <w:jc w:val="both"/>
              <w:rPr>
                <w:rFonts w:hint="default" w:ascii="Verdana" w:hAnsi="Verdana" w:cs="Arial"/>
                <w:sz w:val="20"/>
                <w:lang w:val="pl-PL"/>
              </w:rPr>
            </w:pPr>
          </w:p>
        </w:tc>
      </w:tr>
    </w:tbl>
    <w:p/>
    <w:p>
      <w:pPr>
        <w:rPr>
          <w:b/>
          <w:szCs w:val="22"/>
        </w:rPr>
      </w:pPr>
      <w:r>
        <w:rPr>
          <w:b/>
          <w:iCs/>
          <w:szCs w:val="22"/>
        </w:rPr>
        <w:t>Uwaga:</w:t>
      </w:r>
    </w:p>
    <w:p>
      <w:pPr>
        <w:tabs>
          <w:tab w:val="left" w:pos="1978"/>
          <w:tab w:val="left" w:pos="3828"/>
          <w:tab w:val="center" w:pos="4677"/>
        </w:tabs>
        <w:jc w:val="both"/>
        <w:textAlignment w:val="baseline"/>
        <w:rPr>
          <w:b/>
          <w:szCs w:val="22"/>
        </w:rPr>
      </w:pPr>
      <w:r>
        <w:rPr>
          <w:b/>
          <w:szCs w:val="22"/>
        </w:rPr>
        <w:t xml:space="preserve"> Wykonawca wypełnia kolumnę „Parametry i Spełnienie Wymagań”, w wymaganych pozycjach podając konkretny parametr oraz</w:t>
      </w:r>
      <w:r>
        <w:rPr>
          <w:rFonts w:hint="default"/>
          <w:b/>
          <w:szCs w:val="22"/>
          <w:lang w:val="pl-PL"/>
        </w:rPr>
        <w:t>/lub</w:t>
      </w:r>
      <w:r>
        <w:rPr>
          <w:b/>
          <w:szCs w:val="22"/>
        </w:rPr>
        <w:t xml:space="preserve"> informację czy proponowane urządzenie spełnia określone przez Zamawiającego minimalne parametry techniczne i funkcjonalne </w:t>
      </w:r>
    </w:p>
    <w:p>
      <w:pPr>
        <w:tabs>
          <w:tab w:val="left" w:pos="1978"/>
          <w:tab w:val="left" w:pos="3828"/>
          <w:tab w:val="center" w:pos="4677"/>
        </w:tabs>
        <w:jc w:val="both"/>
        <w:textAlignment w:val="baseline"/>
      </w:pPr>
      <w:r>
        <w:rPr>
          <w:b/>
          <w:szCs w:val="22"/>
        </w:rPr>
        <w:t>poprzez użycie wyrazu „spełnia” lub „nie spełnia”.</w:t>
      </w:r>
    </w:p>
    <w:p>
      <w:pPr>
        <w:tabs>
          <w:tab w:val="left" w:pos="1978"/>
          <w:tab w:val="left" w:pos="3828"/>
          <w:tab w:val="center" w:pos="4677"/>
        </w:tabs>
        <w:jc w:val="both"/>
        <w:textAlignment w:val="baseline"/>
      </w:pPr>
    </w:p>
    <w:p>
      <w:pPr>
        <w:tabs>
          <w:tab w:val="left" w:pos="1978"/>
          <w:tab w:val="left" w:pos="3828"/>
          <w:tab w:val="center" w:pos="4677"/>
        </w:tabs>
        <w:jc w:val="both"/>
        <w:textAlignment w:val="baseline"/>
      </w:pPr>
    </w:p>
    <w:p>
      <w:pPr>
        <w:tabs>
          <w:tab w:val="left" w:pos="1978"/>
          <w:tab w:val="left" w:pos="3828"/>
          <w:tab w:val="center" w:pos="4677"/>
        </w:tabs>
        <w:jc w:val="both"/>
        <w:textAlignment w:val="baseline"/>
      </w:pPr>
      <w:r>
        <w:rPr>
          <w:rFonts w:ascii="Times New Roman" w:hAnsi="Times New Roman" w:eastAsia="Arial"/>
          <w:color w:val="FF0000"/>
          <w:kern w:val="1"/>
          <w:sz w:val="20"/>
          <w:lang w:eastAsia="zh-CN" w:bidi="hi-IN"/>
        </w:rPr>
        <w:t xml:space="preserve">Dokument należy wypełnić i podpisać kwalifikowanym podpisem elektronicznym lub podpisem zaufanym lub podpisem osobistym. Zamawiający zaleca zapisanie dokumentu w formacie PDF. </w:t>
      </w:r>
    </w:p>
    <w:sectPr>
      <w:pgSz w:w="11906" w:h="16838"/>
      <w:pgMar w:top="568" w:right="993" w:bottom="1135"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EE"/>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Arial Narrow">
    <w:panose1 w:val="020B0606020202030204"/>
    <w:charset w:val="EE"/>
    <w:family w:val="swiss"/>
    <w:pitch w:val="default"/>
    <w:sig w:usb0="00000287" w:usb1="00000800" w:usb2="00000000" w:usb3="00000000" w:csb0="2000009F" w:csb1="DFD70000"/>
  </w:font>
  <w:font w:name="Arial">
    <w:panose1 w:val="020B0604020202020204"/>
    <w:charset w:val="EE"/>
    <w:family w:val="swiss"/>
    <w:pitch w:val="default"/>
    <w:sig w:usb0="E0002EFF" w:usb1="C000785B" w:usb2="00000009" w:usb3="00000000" w:csb0="400001FF" w:csb1="FFFF0000"/>
  </w:font>
  <w:font w:name="MS Outlook">
    <w:panose1 w:val="05010100010000000000"/>
    <w:charset w:val="02"/>
    <w:family w:val="auto"/>
    <w:pitch w:val="default"/>
    <w:sig w:usb0="00000000" w:usb1="00000000" w:usb2="00000000" w:usb3="00000000" w:csb0="80000000" w:csb1="00000000"/>
  </w:font>
  <w:font w:name="Tahoma">
    <w:panose1 w:val="020B0604030504040204"/>
    <w:charset w:val="EE"/>
    <w:family w:val="swiss"/>
    <w:pitch w:val="default"/>
    <w:sig w:usb0="E1002EFF" w:usb1="C000605B" w:usb2="00000029" w:usb3="00000000" w:csb0="200101FF" w:csb1="20280000"/>
  </w:font>
  <w:font w:name="Verdana">
    <w:panose1 w:val="020B0604030504040204"/>
    <w:charset w:val="EE"/>
    <w:family w:val="swiss"/>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0B1F9A"/>
    <w:multiLevelType w:val="multilevel"/>
    <w:tmpl w:val="4F0B1F9A"/>
    <w:lvl w:ilvl="0" w:tentative="0">
      <w:start w:val="1"/>
      <w:numFmt w:val="decimal"/>
      <w:lvlText w:val="%1."/>
      <w:lvlJc w:val="left"/>
      <w:pPr>
        <w:tabs>
          <w:tab w:val="left" w:pos="1080"/>
        </w:tabs>
        <w:ind w:left="1080" w:hanging="1080"/>
      </w:pPr>
      <w:rPr>
        <w:rFonts w:hint="default"/>
      </w:rPr>
    </w:lvl>
    <w:lvl w:ilvl="1" w:tentative="0">
      <w:start w:val="1"/>
      <w:numFmt w:val="decimal"/>
      <w:lvlText w:val="%2."/>
      <w:lvlJc w:val="left"/>
      <w:pPr>
        <w:tabs>
          <w:tab w:val="left" w:pos="1440"/>
        </w:tabs>
        <w:ind w:left="1440" w:hanging="360"/>
      </w:pPr>
    </w:lvl>
    <w:lvl w:ilvl="2" w:tentative="0">
      <w:start w:val="512"/>
      <w:numFmt w:val="bullet"/>
      <w:lvlText w:val="-"/>
      <w:lvlJc w:val="left"/>
      <w:pPr>
        <w:tabs>
          <w:tab w:val="left" w:pos="2340"/>
        </w:tabs>
        <w:ind w:left="2340" w:hanging="360"/>
      </w:pPr>
      <w:rPr>
        <w:rFonts w:hint="default" w:ascii="Tahoma" w:hAnsi="Tahoma" w:eastAsia="Times New Roman" w:cs="Tahoma"/>
      </w:r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6202234D"/>
    <w:multiLevelType w:val="multilevel"/>
    <w:tmpl w:val="6202234D"/>
    <w:lvl w:ilvl="0" w:tentative="0">
      <w:start w:val="1"/>
      <w:numFmt w:val="decimal"/>
      <w:lvlText w:val="%1."/>
      <w:lvlJc w:val="left"/>
      <w:pPr>
        <w:tabs>
          <w:tab w:val="left" w:pos="0"/>
        </w:tabs>
        <w:ind w:left="360" w:hanging="360"/>
      </w:pPr>
    </w:lvl>
    <w:lvl w:ilvl="1" w:tentative="0">
      <w:start w:val="1"/>
      <w:numFmt w:val="lowerLetter"/>
      <w:lvlText w:val="%2."/>
      <w:lvlJc w:val="left"/>
      <w:pPr>
        <w:tabs>
          <w:tab w:val="left" w:pos="0"/>
        </w:tabs>
        <w:ind w:left="1080" w:hanging="360"/>
      </w:pPr>
    </w:lvl>
    <w:lvl w:ilvl="2" w:tentative="0">
      <w:start w:val="1"/>
      <w:numFmt w:val="lowerRoman"/>
      <w:lvlText w:val="%3."/>
      <w:lvlJc w:val="right"/>
      <w:pPr>
        <w:tabs>
          <w:tab w:val="left" w:pos="0"/>
        </w:tabs>
        <w:ind w:left="1800" w:hanging="180"/>
      </w:pPr>
    </w:lvl>
    <w:lvl w:ilvl="3" w:tentative="0">
      <w:start w:val="1"/>
      <w:numFmt w:val="decimal"/>
      <w:lvlText w:val="%4."/>
      <w:lvlJc w:val="left"/>
      <w:pPr>
        <w:tabs>
          <w:tab w:val="left" w:pos="0"/>
        </w:tabs>
        <w:ind w:left="2520" w:hanging="360"/>
      </w:pPr>
    </w:lvl>
    <w:lvl w:ilvl="4" w:tentative="0">
      <w:start w:val="1"/>
      <w:numFmt w:val="lowerLetter"/>
      <w:lvlText w:val="%5."/>
      <w:lvlJc w:val="left"/>
      <w:pPr>
        <w:tabs>
          <w:tab w:val="left" w:pos="0"/>
        </w:tabs>
        <w:ind w:left="3240" w:hanging="360"/>
      </w:pPr>
    </w:lvl>
    <w:lvl w:ilvl="5" w:tentative="0">
      <w:start w:val="1"/>
      <w:numFmt w:val="lowerRoman"/>
      <w:lvlText w:val="%6."/>
      <w:lvlJc w:val="right"/>
      <w:pPr>
        <w:tabs>
          <w:tab w:val="left" w:pos="0"/>
        </w:tabs>
        <w:ind w:left="3960" w:hanging="180"/>
      </w:pPr>
    </w:lvl>
    <w:lvl w:ilvl="6" w:tentative="0">
      <w:start w:val="1"/>
      <w:numFmt w:val="decimal"/>
      <w:lvlText w:val="%7."/>
      <w:lvlJc w:val="left"/>
      <w:pPr>
        <w:tabs>
          <w:tab w:val="left" w:pos="0"/>
        </w:tabs>
        <w:ind w:left="4680" w:hanging="360"/>
      </w:pPr>
    </w:lvl>
    <w:lvl w:ilvl="7" w:tentative="0">
      <w:start w:val="1"/>
      <w:numFmt w:val="lowerLetter"/>
      <w:lvlText w:val="%8."/>
      <w:lvlJc w:val="left"/>
      <w:pPr>
        <w:tabs>
          <w:tab w:val="left" w:pos="0"/>
        </w:tabs>
        <w:ind w:left="5400" w:hanging="360"/>
      </w:pPr>
    </w:lvl>
    <w:lvl w:ilvl="8" w:tentative="0">
      <w:start w:val="1"/>
      <w:numFmt w:val="lowerRoman"/>
      <w:lvlText w:val="%9."/>
      <w:lvlJc w:val="right"/>
      <w:pPr>
        <w:tabs>
          <w:tab w:val="left" w:pos="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50A"/>
    <w:rsid w:val="00001262"/>
    <w:rsid w:val="000079BC"/>
    <w:rsid w:val="00015719"/>
    <w:rsid w:val="00020521"/>
    <w:rsid w:val="00022236"/>
    <w:rsid w:val="000265E0"/>
    <w:rsid w:val="00026B2D"/>
    <w:rsid w:val="00026C90"/>
    <w:rsid w:val="000274C5"/>
    <w:rsid w:val="00030B26"/>
    <w:rsid w:val="00033803"/>
    <w:rsid w:val="0003444B"/>
    <w:rsid w:val="00035FAE"/>
    <w:rsid w:val="000443C6"/>
    <w:rsid w:val="00051834"/>
    <w:rsid w:val="00061F11"/>
    <w:rsid w:val="000662FE"/>
    <w:rsid w:val="00071918"/>
    <w:rsid w:val="00071E2F"/>
    <w:rsid w:val="00075364"/>
    <w:rsid w:val="00082B5A"/>
    <w:rsid w:val="00082C03"/>
    <w:rsid w:val="000913AC"/>
    <w:rsid w:val="00097C50"/>
    <w:rsid w:val="000A544C"/>
    <w:rsid w:val="000B4DF9"/>
    <w:rsid w:val="000C6C24"/>
    <w:rsid w:val="000D0251"/>
    <w:rsid w:val="000D6E7B"/>
    <w:rsid w:val="000E2374"/>
    <w:rsid w:val="000F5665"/>
    <w:rsid w:val="000F5888"/>
    <w:rsid w:val="000F7020"/>
    <w:rsid w:val="0010046B"/>
    <w:rsid w:val="00111063"/>
    <w:rsid w:val="001112C0"/>
    <w:rsid w:val="00127E05"/>
    <w:rsid w:val="0013174D"/>
    <w:rsid w:val="00131DBF"/>
    <w:rsid w:val="00140404"/>
    <w:rsid w:val="0014395A"/>
    <w:rsid w:val="00147AE1"/>
    <w:rsid w:val="00152E04"/>
    <w:rsid w:val="00157D3B"/>
    <w:rsid w:val="00162FEB"/>
    <w:rsid w:val="00171250"/>
    <w:rsid w:val="00176E74"/>
    <w:rsid w:val="00180D2B"/>
    <w:rsid w:val="001814A6"/>
    <w:rsid w:val="00181B73"/>
    <w:rsid w:val="0018418E"/>
    <w:rsid w:val="00184520"/>
    <w:rsid w:val="00184703"/>
    <w:rsid w:val="00187968"/>
    <w:rsid w:val="00196A0F"/>
    <w:rsid w:val="001A304F"/>
    <w:rsid w:val="001A6A4B"/>
    <w:rsid w:val="001C1681"/>
    <w:rsid w:val="001D1E93"/>
    <w:rsid w:val="001E3989"/>
    <w:rsid w:val="001E49FF"/>
    <w:rsid w:val="001E6C72"/>
    <w:rsid w:val="001F0987"/>
    <w:rsid w:val="001F10C4"/>
    <w:rsid w:val="001F4440"/>
    <w:rsid w:val="001F45C7"/>
    <w:rsid w:val="00203194"/>
    <w:rsid w:val="00203543"/>
    <w:rsid w:val="0020562D"/>
    <w:rsid w:val="002061EF"/>
    <w:rsid w:val="00207105"/>
    <w:rsid w:val="00214573"/>
    <w:rsid w:val="00215AFF"/>
    <w:rsid w:val="002255B6"/>
    <w:rsid w:val="00235A0C"/>
    <w:rsid w:val="00236B87"/>
    <w:rsid w:val="0024310D"/>
    <w:rsid w:val="002512C3"/>
    <w:rsid w:val="00255845"/>
    <w:rsid w:val="00256F8E"/>
    <w:rsid w:val="00261410"/>
    <w:rsid w:val="00261CB8"/>
    <w:rsid w:val="002635AC"/>
    <w:rsid w:val="002643A5"/>
    <w:rsid w:val="0027018C"/>
    <w:rsid w:val="00273D11"/>
    <w:rsid w:val="0027626F"/>
    <w:rsid w:val="00276348"/>
    <w:rsid w:val="00285867"/>
    <w:rsid w:val="002900EC"/>
    <w:rsid w:val="002954CC"/>
    <w:rsid w:val="002A5679"/>
    <w:rsid w:val="002B6C46"/>
    <w:rsid w:val="002B6DAB"/>
    <w:rsid w:val="002B7D66"/>
    <w:rsid w:val="002C55BA"/>
    <w:rsid w:val="002D5D3D"/>
    <w:rsid w:val="002E2324"/>
    <w:rsid w:val="002E23B0"/>
    <w:rsid w:val="002E77B5"/>
    <w:rsid w:val="002F11A4"/>
    <w:rsid w:val="002F1DA2"/>
    <w:rsid w:val="003015EE"/>
    <w:rsid w:val="00303233"/>
    <w:rsid w:val="00305BCB"/>
    <w:rsid w:val="00311604"/>
    <w:rsid w:val="00312E8A"/>
    <w:rsid w:val="00315EBE"/>
    <w:rsid w:val="00320947"/>
    <w:rsid w:val="00331D6C"/>
    <w:rsid w:val="00332AA8"/>
    <w:rsid w:val="00332F54"/>
    <w:rsid w:val="00350517"/>
    <w:rsid w:val="003535A7"/>
    <w:rsid w:val="0036037F"/>
    <w:rsid w:val="00372278"/>
    <w:rsid w:val="00387F9D"/>
    <w:rsid w:val="00392861"/>
    <w:rsid w:val="003A4446"/>
    <w:rsid w:val="003C0945"/>
    <w:rsid w:val="003C372D"/>
    <w:rsid w:val="003D17C6"/>
    <w:rsid w:val="003D5D3D"/>
    <w:rsid w:val="003F2DC4"/>
    <w:rsid w:val="003F33DB"/>
    <w:rsid w:val="003F54BA"/>
    <w:rsid w:val="00403E82"/>
    <w:rsid w:val="00413BD7"/>
    <w:rsid w:val="004313DE"/>
    <w:rsid w:val="00432798"/>
    <w:rsid w:val="00433AE8"/>
    <w:rsid w:val="00436F1D"/>
    <w:rsid w:val="004407A8"/>
    <w:rsid w:val="00444E41"/>
    <w:rsid w:val="004523D0"/>
    <w:rsid w:val="004535F6"/>
    <w:rsid w:val="00456C6E"/>
    <w:rsid w:val="004613B9"/>
    <w:rsid w:val="00461B14"/>
    <w:rsid w:val="00463508"/>
    <w:rsid w:val="004642E1"/>
    <w:rsid w:val="00467D4C"/>
    <w:rsid w:val="004801C9"/>
    <w:rsid w:val="004829DC"/>
    <w:rsid w:val="004842E9"/>
    <w:rsid w:val="004A4057"/>
    <w:rsid w:val="004A528B"/>
    <w:rsid w:val="004A6188"/>
    <w:rsid w:val="004B5619"/>
    <w:rsid w:val="004C1917"/>
    <w:rsid w:val="004D643A"/>
    <w:rsid w:val="004E015D"/>
    <w:rsid w:val="004F072C"/>
    <w:rsid w:val="004F0F81"/>
    <w:rsid w:val="004F2F3B"/>
    <w:rsid w:val="004F4E73"/>
    <w:rsid w:val="004F5689"/>
    <w:rsid w:val="004F609F"/>
    <w:rsid w:val="00500E8A"/>
    <w:rsid w:val="00502431"/>
    <w:rsid w:val="0050403C"/>
    <w:rsid w:val="00514B32"/>
    <w:rsid w:val="005266B0"/>
    <w:rsid w:val="00526803"/>
    <w:rsid w:val="00526F5C"/>
    <w:rsid w:val="00530FB8"/>
    <w:rsid w:val="00534A39"/>
    <w:rsid w:val="00544086"/>
    <w:rsid w:val="00544123"/>
    <w:rsid w:val="00546B18"/>
    <w:rsid w:val="005607C1"/>
    <w:rsid w:val="00570C6F"/>
    <w:rsid w:val="00573E5C"/>
    <w:rsid w:val="00583A98"/>
    <w:rsid w:val="00586ABF"/>
    <w:rsid w:val="0058776E"/>
    <w:rsid w:val="005B25C9"/>
    <w:rsid w:val="005C421D"/>
    <w:rsid w:val="005D2FC2"/>
    <w:rsid w:val="005D4BA5"/>
    <w:rsid w:val="005E181D"/>
    <w:rsid w:val="005E4B91"/>
    <w:rsid w:val="005E75DF"/>
    <w:rsid w:val="005F0E38"/>
    <w:rsid w:val="005F45E9"/>
    <w:rsid w:val="006003AB"/>
    <w:rsid w:val="0060400D"/>
    <w:rsid w:val="00604FE1"/>
    <w:rsid w:val="00622114"/>
    <w:rsid w:val="006223E9"/>
    <w:rsid w:val="00627876"/>
    <w:rsid w:val="006363BE"/>
    <w:rsid w:val="00641C47"/>
    <w:rsid w:val="00651F6B"/>
    <w:rsid w:val="00654823"/>
    <w:rsid w:val="00656D0A"/>
    <w:rsid w:val="00661D38"/>
    <w:rsid w:val="00663204"/>
    <w:rsid w:val="00670C09"/>
    <w:rsid w:val="00674901"/>
    <w:rsid w:val="006755B1"/>
    <w:rsid w:val="006759C9"/>
    <w:rsid w:val="00681F13"/>
    <w:rsid w:val="00682151"/>
    <w:rsid w:val="00692C33"/>
    <w:rsid w:val="006973C3"/>
    <w:rsid w:val="006A392C"/>
    <w:rsid w:val="006A3F77"/>
    <w:rsid w:val="006A5832"/>
    <w:rsid w:val="006B115D"/>
    <w:rsid w:val="006B2EBC"/>
    <w:rsid w:val="006B49B2"/>
    <w:rsid w:val="006C1796"/>
    <w:rsid w:val="006C2F62"/>
    <w:rsid w:val="006C53A4"/>
    <w:rsid w:val="006C5CA9"/>
    <w:rsid w:val="006E33BE"/>
    <w:rsid w:val="006E5DE2"/>
    <w:rsid w:val="006F55D8"/>
    <w:rsid w:val="006F790B"/>
    <w:rsid w:val="0070311B"/>
    <w:rsid w:val="00711A8B"/>
    <w:rsid w:val="00717E36"/>
    <w:rsid w:val="00726EA8"/>
    <w:rsid w:val="007313D1"/>
    <w:rsid w:val="007353BF"/>
    <w:rsid w:val="00745171"/>
    <w:rsid w:val="00746260"/>
    <w:rsid w:val="00753BA0"/>
    <w:rsid w:val="00760F48"/>
    <w:rsid w:val="007708B7"/>
    <w:rsid w:val="007716EA"/>
    <w:rsid w:val="00781534"/>
    <w:rsid w:val="00781D24"/>
    <w:rsid w:val="00790B00"/>
    <w:rsid w:val="007A3556"/>
    <w:rsid w:val="007A4A16"/>
    <w:rsid w:val="007A4CD2"/>
    <w:rsid w:val="007B2BF5"/>
    <w:rsid w:val="007B3889"/>
    <w:rsid w:val="007B61CA"/>
    <w:rsid w:val="007D7BE4"/>
    <w:rsid w:val="007E1D8D"/>
    <w:rsid w:val="007E1EAD"/>
    <w:rsid w:val="007F67E1"/>
    <w:rsid w:val="00806918"/>
    <w:rsid w:val="008261E1"/>
    <w:rsid w:val="008306E0"/>
    <w:rsid w:val="008348B6"/>
    <w:rsid w:val="00834B14"/>
    <w:rsid w:val="00834F0B"/>
    <w:rsid w:val="008374D9"/>
    <w:rsid w:val="008462D3"/>
    <w:rsid w:val="00852019"/>
    <w:rsid w:val="00861192"/>
    <w:rsid w:val="008655D6"/>
    <w:rsid w:val="008726CD"/>
    <w:rsid w:val="00875AEA"/>
    <w:rsid w:val="00891A92"/>
    <w:rsid w:val="008A018E"/>
    <w:rsid w:val="008A5A24"/>
    <w:rsid w:val="008B0778"/>
    <w:rsid w:val="008B0A39"/>
    <w:rsid w:val="008B0F8E"/>
    <w:rsid w:val="008C26FB"/>
    <w:rsid w:val="008C390C"/>
    <w:rsid w:val="008C63F5"/>
    <w:rsid w:val="008E113E"/>
    <w:rsid w:val="008F0C24"/>
    <w:rsid w:val="008F129F"/>
    <w:rsid w:val="008F24C6"/>
    <w:rsid w:val="008F73F5"/>
    <w:rsid w:val="009012BF"/>
    <w:rsid w:val="00904E8E"/>
    <w:rsid w:val="00905F74"/>
    <w:rsid w:val="009068B9"/>
    <w:rsid w:val="009078DC"/>
    <w:rsid w:val="00916E61"/>
    <w:rsid w:val="00917668"/>
    <w:rsid w:val="00917C5F"/>
    <w:rsid w:val="00925016"/>
    <w:rsid w:val="00926984"/>
    <w:rsid w:val="00926EAE"/>
    <w:rsid w:val="00931A59"/>
    <w:rsid w:val="00933818"/>
    <w:rsid w:val="0093657A"/>
    <w:rsid w:val="009366AE"/>
    <w:rsid w:val="009401D5"/>
    <w:rsid w:val="00940F9F"/>
    <w:rsid w:val="009439B0"/>
    <w:rsid w:val="00944BA0"/>
    <w:rsid w:val="00947429"/>
    <w:rsid w:val="009603E6"/>
    <w:rsid w:val="009628A1"/>
    <w:rsid w:val="0096370B"/>
    <w:rsid w:val="0097578F"/>
    <w:rsid w:val="0097709C"/>
    <w:rsid w:val="00977810"/>
    <w:rsid w:val="009919E0"/>
    <w:rsid w:val="00992D7F"/>
    <w:rsid w:val="00992E5D"/>
    <w:rsid w:val="009946AF"/>
    <w:rsid w:val="00995C30"/>
    <w:rsid w:val="009A7A22"/>
    <w:rsid w:val="009B35AE"/>
    <w:rsid w:val="009B3F52"/>
    <w:rsid w:val="009B4332"/>
    <w:rsid w:val="009B65DA"/>
    <w:rsid w:val="009C173C"/>
    <w:rsid w:val="009D2FD7"/>
    <w:rsid w:val="009E0216"/>
    <w:rsid w:val="009E5A30"/>
    <w:rsid w:val="009F750A"/>
    <w:rsid w:val="00A0391B"/>
    <w:rsid w:val="00A04208"/>
    <w:rsid w:val="00A07FFA"/>
    <w:rsid w:val="00A11B7B"/>
    <w:rsid w:val="00A222B5"/>
    <w:rsid w:val="00A32090"/>
    <w:rsid w:val="00A36574"/>
    <w:rsid w:val="00A44018"/>
    <w:rsid w:val="00A440A7"/>
    <w:rsid w:val="00A47898"/>
    <w:rsid w:val="00A53291"/>
    <w:rsid w:val="00A60DF3"/>
    <w:rsid w:val="00A623ED"/>
    <w:rsid w:val="00A62E12"/>
    <w:rsid w:val="00A63199"/>
    <w:rsid w:val="00A66FCD"/>
    <w:rsid w:val="00A715A0"/>
    <w:rsid w:val="00A8595D"/>
    <w:rsid w:val="00A85DDE"/>
    <w:rsid w:val="00A9464F"/>
    <w:rsid w:val="00A97D45"/>
    <w:rsid w:val="00AA0067"/>
    <w:rsid w:val="00AA2599"/>
    <w:rsid w:val="00AA2B77"/>
    <w:rsid w:val="00AA4312"/>
    <w:rsid w:val="00AA71A1"/>
    <w:rsid w:val="00AA7E5D"/>
    <w:rsid w:val="00AC071E"/>
    <w:rsid w:val="00AC6C69"/>
    <w:rsid w:val="00AD008D"/>
    <w:rsid w:val="00B03902"/>
    <w:rsid w:val="00B05F46"/>
    <w:rsid w:val="00B169F5"/>
    <w:rsid w:val="00B20F7B"/>
    <w:rsid w:val="00B21B08"/>
    <w:rsid w:val="00B3212D"/>
    <w:rsid w:val="00B344A9"/>
    <w:rsid w:val="00B3453A"/>
    <w:rsid w:val="00B44F37"/>
    <w:rsid w:val="00B52A04"/>
    <w:rsid w:val="00B5525F"/>
    <w:rsid w:val="00B60244"/>
    <w:rsid w:val="00B81E36"/>
    <w:rsid w:val="00B83310"/>
    <w:rsid w:val="00B95D51"/>
    <w:rsid w:val="00B96B64"/>
    <w:rsid w:val="00BA0CD5"/>
    <w:rsid w:val="00BA18E8"/>
    <w:rsid w:val="00BA1F37"/>
    <w:rsid w:val="00BB36FE"/>
    <w:rsid w:val="00BB70D4"/>
    <w:rsid w:val="00BB7439"/>
    <w:rsid w:val="00BC1BB5"/>
    <w:rsid w:val="00BC5BB2"/>
    <w:rsid w:val="00BD2A01"/>
    <w:rsid w:val="00BD6550"/>
    <w:rsid w:val="00BD7B32"/>
    <w:rsid w:val="00C01C35"/>
    <w:rsid w:val="00C02441"/>
    <w:rsid w:val="00C061C1"/>
    <w:rsid w:val="00C076B4"/>
    <w:rsid w:val="00C1225D"/>
    <w:rsid w:val="00C12A20"/>
    <w:rsid w:val="00C13EB1"/>
    <w:rsid w:val="00C21AC8"/>
    <w:rsid w:val="00C36227"/>
    <w:rsid w:val="00C376AD"/>
    <w:rsid w:val="00C43B7F"/>
    <w:rsid w:val="00C465F7"/>
    <w:rsid w:val="00C52FC5"/>
    <w:rsid w:val="00C54003"/>
    <w:rsid w:val="00C72762"/>
    <w:rsid w:val="00C75DC3"/>
    <w:rsid w:val="00C81CE3"/>
    <w:rsid w:val="00C836FC"/>
    <w:rsid w:val="00C93A34"/>
    <w:rsid w:val="00CA0C4F"/>
    <w:rsid w:val="00CB454E"/>
    <w:rsid w:val="00CB79C3"/>
    <w:rsid w:val="00CC09AE"/>
    <w:rsid w:val="00CC6AA3"/>
    <w:rsid w:val="00CD298E"/>
    <w:rsid w:val="00CE5362"/>
    <w:rsid w:val="00CF0CC1"/>
    <w:rsid w:val="00CF65B9"/>
    <w:rsid w:val="00CF74B0"/>
    <w:rsid w:val="00D01D9A"/>
    <w:rsid w:val="00D0284B"/>
    <w:rsid w:val="00D03FA2"/>
    <w:rsid w:val="00D22E4E"/>
    <w:rsid w:val="00D250CE"/>
    <w:rsid w:val="00D3186E"/>
    <w:rsid w:val="00D3657D"/>
    <w:rsid w:val="00D41495"/>
    <w:rsid w:val="00D42669"/>
    <w:rsid w:val="00D43393"/>
    <w:rsid w:val="00D4383A"/>
    <w:rsid w:val="00D44749"/>
    <w:rsid w:val="00D54D5A"/>
    <w:rsid w:val="00D5610D"/>
    <w:rsid w:val="00D57B5D"/>
    <w:rsid w:val="00D65CDC"/>
    <w:rsid w:val="00D72427"/>
    <w:rsid w:val="00D91E34"/>
    <w:rsid w:val="00D931FA"/>
    <w:rsid w:val="00D94F00"/>
    <w:rsid w:val="00D9702D"/>
    <w:rsid w:val="00DA6774"/>
    <w:rsid w:val="00DB43C1"/>
    <w:rsid w:val="00DC4357"/>
    <w:rsid w:val="00DE2CBF"/>
    <w:rsid w:val="00DE6251"/>
    <w:rsid w:val="00DF1FAE"/>
    <w:rsid w:val="00DF53B6"/>
    <w:rsid w:val="00DF6206"/>
    <w:rsid w:val="00E1436A"/>
    <w:rsid w:val="00E22EC4"/>
    <w:rsid w:val="00E36EF7"/>
    <w:rsid w:val="00E40558"/>
    <w:rsid w:val="00E4641C"/>
    <w:rsid w:val="00E644F9"/>
    <w:rsid w:val="00E72D1C"/>
    <w:rsid w:val="00E74586"/>
    <w:rsid w:val="00E77D3A"/>
    <w:rsid w:val="00E839EE"/>
    <w:rsid w:val="00E83C72"/>
    <w:rsid w:val="00E83D5A"/>
    <w:rsid w:val="00E85E17"/>
    <w:rsid w:val="00E92F5A"/>
    <w:rsid w:val="00E9707B"/>
    <w:rsid w:val="00EB0068"/>
    <w:rsid w:val="00EC39C1"/>
    <w:rsid w:val="00EC6FA1"/>
    <w:rsid w:val="00ED5991"/>
    <w:rsid w:val="00EE1761"/>
    <w:rsid w:val="00EE3BE3"/>
    <w:rsid w:val="00EE5902"/>
    <w:rsid w:val="00EE7C7B"/>
    <w:rsid w:val="00EF42E3"/>
    <w:rsid w:val="00F050E0"/>
    <w:rsid w:val="00F05127"/>
    <w:rsid w:val="00F17DAE"/>
    <w:rsid w:val="00F30D7A"/>
    <w:rsid w:val="00F321DF"/>
    <w:rsid w:val="00F35549"/>
    <w:rsid w:val="00F465B6"/>
    <w:rsid w:val="00F47C83"/>
    <w:rsid w:val="00F511E1"/>
    <w:rsid w:val="00F7598A"/>
    <w:rsid w:val="00F81254"/>
    <w:rsid w:val="00F81DA3"/>
    <w:rsid w:val="00F82E25"/>
    <w:rsid w:val="00F853AF"/>
    <w:rsid w:val="00F85D0B"/>
    <w:rsid w:val="00F86B77"/>
    <w:rsid w:val="00F9266C"/>
    <w:rsid w:val="00F94050"/>
    <w:rsid w:val="00F94EBC"/>
    <w:rsid w:val="00F95A7B"/>
    <w:rsid w:val="00FA1AD5"/>
    <w:rsid w:val="00FA5BAA"/>
    <w:rsid w:val="00FA7305"/>
    <w:rsid w:val="00FB1071"/>
    <w:rsid w:val="00FB1839"/>
    <w:rsid w:val="00FB6317"/>
    <w:rsid w:val="00FC0EF6"/>
    <w:rsid w:val="00FC140D"/>
    <w:rsid w:val="00FD0F81"/>
    <w:rsid w:val="00FE1FF3"/>
    <w:rsid w:val="00FE26B7"/>
    <w:rsid w:val="00FF13C8"/>
    <w:rsid w:val="32044820"/>
    <w:rsid w:val="3598472C"/>
    <w:rsid w:val="45BB4997"/>
    <w:rsid w:val="4A545645"/>
    <w:rsid w:val="70E6399C"/>
    <w:rsid w:val="7A0D6D20"/>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Arial Narrow" w:hAnsi="Arial Narrow" w:eastAsia="Times New Roman" w:cs="Times New Roman"/>
      <w:sz w:val="22"/>
      <w:szCs w:val="20"/>
      <w:lang w:val="pl-PL" w:eastAsia="pl-PL"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6"/>
    <w:semiHidden/>
    <w:unhideWhenUsed/>
    <w:qFormat/>
    <w:uiPriority w:val="99"/>
    <w:rPr>
      <w:rFonts w:ascii="Tahoma" w:hAnsi="Tahoma" w:cs="Tahoma"/>
      <w:sz w:val="16"/>
      <w:szCs w:val="16"/>
    </w:rPr>
  </w:style>
  <w:style w:type="character" w:styleId="5">
    <w:name w:val="annotation reference"/>
    <w:basedOn w:val="2"/>
    <w:semiHidden/>
    <w:unhideWhenUsed/>
    <w:qFormat/>
    <w:uiPriority w:val="99"/>
    <w:rPr>
      <w:sz w:val="16"/>
      <w:szCs w:val="16"/>
    </w:rPr>
  </w:style>
  <w:style w:type="paragraph" w:styleId="6">
    <w:name w:val="annotation text"/>
    <w:basedOn w:val="1"/>
    <w:link w:val="15"/>
    <w:unhideWhenUsed/>
    <w:qFormat/>
    <w:uiPriority w:val="99"/>
    <w:pPr>
      <w:spacing w:after="200"/>
    </w:pPr>
    <w:rPr>
      <w:rFonts w:asciiTheme="minorHAnsi" w:hAnsiTheme="minorHAnsi" w:eastAsiaTheme="minorHAnsi" w:cstheme="minorBidi"/>
      <w:sz w:val="20"/>
      <w:lang w:val="de-DE" w:eastAsia="en-US"/>
    </w:rPr>
  </w:style>
  <w:style w:type="paragraph" w:styleId="7">
    <w:name w:val="annotation subject"/>
    <w:basedOn w:val="6"/>
    <w:next w:val="6"/>
    <w:link w:val="17"/>
    <w:semiHidden/>
    <w:unhideWhenUsed/>
    <w:qFormat/>
    <w:uiPriority w:val="99"/>
    <w:pPr>
      <w:spacing w:after="0"/>
    </w:pPr>
    <w:rPr>
      <w:rFonts w:ascii="Arial Narrow" w:hAnsi="Arial Narrow" w:eastAsia="Times New Roman" w:cs="Times New Roman"/>
      <w:b/>
      <w:bCs/>
      <w:lang w:val="pl-PL" w:eastAsia="pl-PL"/>
    </w:rPr>
  </w:style>
  <w:style w:type="character" w:styleId="8">
    <w:name w:val="FollowedHyperlink"/>
    <w:basedOn w:val="2"/>
    <w:semiHidden/>
    <w:unhideWhenUsed/>
    <w:uiPriority w:val="99"/>
    <w:rPr>
      <w:color w:val="800080" w:themeColor="followedHyperlink"/>
      <w:u w:val="single"/>
      <w14:textFill>
        <w14:solidFill>
          <w14:schemeClr w14:val="folHlink"/>
        </w14:solidFill>
      </w14:textFill>
    </w:rPr>
  </w:style>
  <w:style w:type="paragraph" w:styleId="9">
    <w:name w:val="footer"/>
    <w:basedOn w:val="1"/>
    <w:link w:val="19"/>
    <w:unhideWhenUsed/>
    <w:qFormat/>
    <w:uiPriority w:val="99"/>
    <w:pPr>
      <w:tabs>
        <w:tab w:val="center" w:pos="4680"/>
        <w:tab w:val="right" w:pos="9360"/>
      </w:tabs>
    </w:pPr>
  </w:style>
  <w:style w:type="paragraph" w:styleId="10">
    <w:name w:val="header"/>
    <w:basedOn w:val="1"/>
    <w:link w:val="18"/>
    <w:unhideWhenUsed/>
    <w:qFormat/>
    <w:uiPriority w:val="99"/>
    <w:pPr>
      <w:tabs>
        <w:tab w:val="center" w:pos="4680"/>
        <w:tab w:val="right" w:pos="9360"/>
      </w:tabs>
    </w:pPr>
  </w:style>
  <w:style w:type="character" w:styleId="11">
    <w:name w:val="Hyperlink"/>
    <w:basedOn w:val="2"/>
    <w:unhideWhenUsed/>
    <w:qFormat/>
    <w:uiPriority w:val="99"/>
    <w:rPr>
      <w:color w:val="0000FF" w:themeColor="hyperlink"/>
      <w:u w:val="single"/>
      <w14:textFill>
        <w14:solidFill>
          <w14:schemeClr w14:val="hlink"/>
        </w14:solidFill>
      </w14:textFill>
    </w:rPr>
  </w:style>
  <w:style w:type="paragraph" w:styleId="12">
    <w:name w:val="Normal (Web)"/>
    <w:basedOn w:val="1"/>
    <w:semiHidden/>
    <w:unhideWhenUsed/>
    <w:uiPriority w:val="99"/>
    <w:pPr>
      <w:spacing w:before="100" w:beforeAutospacing="1" w:after="100" w:afterAutospacing="1"/>
    </w:pPr>
    <w:rPr>
      <w:rFonts w:ascii="Times New Roman" w:hAnsi="Times New Roman" w:eastAsiaTheme="minorHAnsi"/>
      <w:sz w:val="24"/>
      <w:szCs w:val="24"/>
    </w:rPr>
  </w:style>
  <w:style w:type="paragraph" w:customStyle="1" w:styleId="13">
    <w:name w:val="Tabela pozycja"/>
    <w:basedOn w:val="1"/>
    <w:uiPriority w:val="0"/>
    <w:rPr>
      <w:rFonts w:ascii="Arial" w:hAnsi="Arial" w:eastAsia="MS Outlook"/>
    </w:rPr>
  </w:style>
  <w:style w:type="paragraph" w:styleId="14">
    <w:name w:val="List Paragraph"/>
    <w:basedOn w:val="1"/>
    <w:link w:val="21"/>
    <w:qFormat/>
    <w:uiPriority w:val="34"/>
    <w:pPr>
      <w:ind w:left="720"/>
    </w:pPr>
    <w:rPr>
      <w:rFonts w:ascii="Calibri" w:hAnsi="Calibri"/>
      <w:szCs w:val="22"/>
      <w:lang w:eastAsia="en-US"/>
    </w:rPr>
  </w:style>
  <w:style w:type="character" w:customStyle="1" w:styleId="15">
    <w:name w:val="Tekst komentarza Znak"/>
    <w:basedOn w:val="2"/>
    <w:link w:val="6"/>
    <w:qFormat/>
    <w:uiPriority w:val="99"/>
    <w:rPr>
      <w:sz w:val="20"/>
      <w:szCs w:val="20"/>
    </w:rPr>
  </w:style>
  <w:style w:type="character" w:customStyle="1" w:styleId="16">
    <w:name w:val="Tekst dymka Znak"/>
    <w:basedOn w:val="2"/>
    <w:link w:val="4"/>
    <w:semiHidden/>
    <w:uiPriority w:val="99"/>
    <w:rPr>
      <w:rFonts w:ascii="Tahoma" w:hAnsi="Tahoma" w:eastAsia="Times New Roman" w:cs="Tahoma"/>
      <w:sz w:val="16"/>
      <w:szCs w:val="16"/>
      <w:lang w:val="pl-PL" w:eastAsia="pl-PL"/>
    </w:rPr>
  </w:style>
  <w:style w:type="character" w:customStyle="1" w:styleId="17">
    <w:name w:val="Temat komentarza Znak"/>
    <w:basedOn w:val="15"/>
    <w:link w:val="7"/>
    <w:semiHidden/>
    <w:qFormat/>
    <w:uiPriority w:val="99"/>
    <w:rPr>
      <w:rFonts w:ascii="Arial Narrow" w:hAnsi="Arial Narrow" w:eastAsia="Times New Roman" w:cs="Times New Roman"/>
      <w:b/>
      <w:bCs/>
      <w:sz w:val="20"/>
      <w:szCs w:val="20"/>
      <w:lang w:val="pl-PL" w:eastAsia="pl-PL"/>
    </w:rPr>
  </w:style>
  <w:style w:type="character" w:customStyle="1" w:styleId="18">
    <w:name w:val="Nagłówek Znak"/>
    <w:basedOn w:val="2"/>
    <w:link w:val="10"/>
    <w:qFormat/>
    <w:uiPriority w:val="99"/>
    <w:rPr>
      <w:rFonts w:ascii="Arial Narrow" w:hAnsi="Arial Narrow" w:eastAsia="Times New Roman" w:cs="Times New Roman"/>
      <w:szCs w:val="20"/>
      <w:lang w:val="pl-PL" w:eastAsia="pl-PL"/>
    </w:rPr>
  </w:style>
  <w:style w:type="character" w:customStyle="1" w:styleId="19">
    <w:name w:val="Stopka Znak"/>
    <w:basedOn w:val="2"/>
    <w:link w:val="9"/>
    <w:qFormat/>
    <w:uiPriority w:val="99"/>
    <w:rPr>
      <w:rFonts w:ascii="Arial Narrow" w:hAnsi="Arial Narrow" w:eastAsia="Times New Roman" w:cs="Times New Roman"/>
      <w:szCs w:val="20"/>
      <w:lang w:val="pl-PL" w:eastAsia="pl-PL"/>
    </w:rPr>
  </w:style>
  <w:style w:type="character" w:customStyle="1" w:styleId="20">
    <w:name w:val="Nierozpoznana wzmianka1"/>
    <w:basedOn w:val="2"/>
    <w:semiHidden/>
    <w:unhideWhenUsed/>
    <w:qFormat/>
    <w:uiPriority w:val="99"/>
    <w:rPr>
      <w:color w:val="605E5C"/>
      <w:shd w:val="clear" w:color="auto" w:fill="E1DFDD"/>
    </w:rPr>
  </w:style>
  <w:style w:type="character" w:customStyle="1" w:styleId="21">
    <w:name w:val="Akapit z listą Znak"/>
    <w:link w:val="14"/>
    <w:qFormat/>
    <w:locked/>
    <w:uiPriority w:val="34"/>
    <w:rPr>
      <w:rFonts w:ascii="Calibri" w:hAnsi="Calibri" w:eastAsia="Times New Roman" w:cs="Times New Roman"/>
      <w:lang w:val="pl-PL"/>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771330DDD4CDC4D94BF34DAFB5E4B20" ma:contentTypeVersion="10" ma:contentTypeDescription="Create a new document." ma:contentTypeScope="" ma:versionID="980c24e54a2639ee01023e5c00e9dcc2">
  <xsd:schema xmlns:xsd="http://www.w3.org/2001/XMLSchema" xmlns:xs="http://www.w3.org/2001/XMLSchema" xmlns:p="http://schemas.microsoft.com/office/2006/metadata/properties" xmlns:ns2="25b2b4e5-49eb-4b98-bb31-eaebd9ec213f" targetNamespace="http://schemas.microsoft.com/office/2006/metadata/properties" ma:root="true" ma:fieldsID="3caecce106b5d65151753c26a9f08ab1" ns2:_="">
    <xsd:import namespace="25b2b4e5-49eb-4b98-bb31-eaebd9ec21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2b4e5-49eb-4b98-bb31-eaebd9ec21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EFD2D0-59DE-46A7-88FF-31B6C5E34FD2}">
  <ds:schemaRefs/>
</ds:datastoreItem>
</file>

<file path=customXml/itemProps2.xml><?xml version="1.0" encoding="utf-8"?>
<ds:datastoreItem xmlns:ds="http://schemas.openxmlformats.org/officeDocument/2006/customXml" ds:itemID="{4B322614-4E36-4B1A-A79B-1DA9C5375DFD}">
  <ds:schemaRefs/>
</ds:datastoreItem>
</file>

<file path=customXml/itemProps3.xml><?xml version="1.0" encoding="utf-8"?>
<ds:datastoreItem xmlns:ds="http://schemas.openxmlformats.org/officeDocument/2006/customXml" ds:itemID="{5AF862F5-49A0-4699-9FC0-75B308B18C38}">
  <ds:schemaRefs/>
</ds:datastoreItem>
</file>

<file path=customXml/itemProps4.xml><?xml version="1.0" encoding="utf-8"?>
<ds:datastoreItem xmlns:ds="http://schemas.openxmlformats.org/officeDocument/2006/customXml" ds:itemID="{4CF87F06-D2E4-48D3-BA6D-40DBB07FD35E}">
  <ds:schemaRefs/>
</ds:datastoreItem>
</file>

<file path=docProps/app.xml><?xml version="1.0" encoding="utf-8"?>
<Properties xmlns="http://schemas.openxmlformats.org/officeDocument/2006/extended-properties" xmlns:vt="http://schemas.openxmlformats.org/officeDocument/2006/docPropsVTypes">
  <Template>Normal</Template>
  <Pages>6</Pages>
  <Words>1484</Words>
  <Characters>8910</Characters>
  <Lines>74</Lines>
  <Paragraphs>20</Paragraphs>
  <TotalTime>80</TotalTime>
  <ScaleCrop>false</ScaleCrop>
  <LinksUpToDate>false</LinksUpToDate>
  <CharactersWithSpaces>10374</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2023-06-28T08:25:00Z</dcterms:created>
  <dc:creator>Jacek Zimny</dc:creator>
  <cp:lastModifiedBy>norbe</cp:lastModifiedBy>
  <cp:lastPrinted>2022-11-18T08:54:00Z</cp:lastPrinted>
  <dcterms:modified xsi:type="dcterms:W3CDTF">2023-07-02T14:51:38Z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0x0101001771330DDD4CDC4D94BF34DAFB5E4B20</vt:lpwstr>
  </property>
  <property fmtid="{D5CDD505-2E9C-101B-9397-08002B2CF9AE}" pid="3" name="KSOProductBuildVer">
    <vt:lpwstr>1045-11.2.0.11486</vt:lpwstr>
  </property>
  <property fmtid="{D5CDD505-2E9C-101B-9397-08002B2CF9AE}" pid="4" name="ICV">
    <vt:lpwstr>71B1B7935EF54983896BDAFD1C6A884E</vt:lpwstr>
  </property>
</Properties>
</file>