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7072"/>
        <w:gridCol w:w="7070"/>
      </w:tblGrid>
      <w:tr w:rsidR="001C2121">
        <w:tc>
          <w:tcPr>
            <w:tcW w:w="7071" w:type="dxa"/>
          </w:tcPr>
          <w:p w:rsidR="001C2121" w:rsidRDefault="001C212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70" w:type="dxa"/>
          </w:tcPr>
          <w:p w:rsidR="001C2121" w:rsidRDefault="00AF0E47" w:rsidP="00917475">
            <w:pPr>
              <w:widowControl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Sprawa </w:t>
            </w:r>
            <w:r w:rsidR="00917475">
              <w:rPr>
                <w:b/>
                <w:bCs/>
                <w:sz w:val="20"/>
                <w:szCs w:val="20"/>
              </w:rPr>
              <w:t>6/D/2023</w:t>
            </w:r>
          </w:p>
        </w:tc>
      </w:tr>
    </w:tbl>
    <w:p w:rsidR="001C2121" w:rsidRDefault="00AF0E47">
      <w:pPr>
        <w:jc w:val="center"/>
        <w:rPr>
          <w:b/>
          <w:bCs/>
        </w:rPr>
      </w:pPr>
      <w:r>
        <w:rPr>
          <w:b/>
          <w:bCs/>
          <w:spacing w:val="40"/>
          <w:sz w:val="20"/>
          <w:szCs w:val="20"/>
        </w:rPr>
        <w:t>ARKUSZ ASORTYMENTOWO-CENOWY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7072"/>
        <w:gridCol w:w="7070"/>
      </w:tblGrid>
      <w:tr w:rsidR="001C2121">
        <w:tc>
          <w:tcPr>
            <w:tcW w:w="7071" w:type="dxa"/>
          </w:tcPr>
          <w:p w:rsidR="001C2121" w:rsidRDefault="00AF0E47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CPV 33141620-2</w:t>
            </w:r>
          </w:p>
        </w:tc>
        <w:tc>
          <w:tcPr>
            <w:tcW w:w="7070" w:type="dxa"/>
          </w:tcPr>
          <w:p w:rsidR="001C2121" w:rsidRDefault="00AF0E47">
            <w:pPr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Załącznik Nr 2</w:t>
            </w:r>
            <w:r w:rsidR="00917475">
              <w:rPr>
                <w:b/>
                <w:bCs/>
                <w:sz w:val="20"/>
                <w:szCs w:val="20"/>
              </w:rPr>
              <w:t xml:space="preserve"> do SWZ</w:t>
            </w:r>
          </w:p>
        </w:tc>
      </w:tr>
    </w:tbl>
    <w:p w:rsidR="001C2121" w:rsidRDefault="001C2121">
      <w:pPr>
        <w:rPr>
          <w:sz w:val="20"/>
          <w:szCs w:val="20"/>
        </w:rPr>
      </w:pPr>
    </w:p>
    <w:tbl>
      <w:tblPr>
        <w:tblW w:w="15870" w:type="dxa"/>
        <w:jc w:val="center"/>
        <w:tblLayout w:type="fixed"/>
        <w:tblLook w:val="0000" w:firstRow="0" w:lastRow="0" w:firstColumn="0" w:lastColumn="0" w:noHBand="0" w:noVBand="0"/>
      </w:tblPr>
      <w:tblGrid>
        <w:gridCol w:w="4472"/>
        <w:gridCol w:w="1149"/>
        <w:gridCol w:w="1314"/>
        <w:gridCol w:w="1136"/>
        <w:gridCol w:w="1338"/>
        <w:gridCol w:w="903"/>
        <w:gridCol w:w="986"/>
        <w:gridCol w:w="963"/>
        <w:gridCol w:w="1308"/>
        <w:gridCol w:w="885"/>
        <w:gridCol w:w="1416"/>
      </w:tblGrid>
      <w:tr w:rsidR="001C2121">
        <w:trPr>
          <w:cantSplit/>
          <w:trHeight w:val="659"/>
          <w:tblHeader/>
          <w:jc w:val="center"/>
        </w:trPr>
        <w:tc>
          <w:tcPr>
            <w:tcW w:w="44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14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1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3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9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  <w:r w:rsidR="0091747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</w:p>
          <w:p w:rsidR="00917475" w:rsidRDefault="009174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/zł/</w:t>
            </w:r>
          </w:p>
        </w:tc>
        <w:tc>
          <w:tcPr>
            <w:tcW w:w="13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917475" w:rsidRDefault="009174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/zł/</w:t>
            </w:r>
          </w:p>
        </w:tc>
        <w:tc>
          <w:tcPr>
            <w:tcW w:w="8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917475" w:rsidRDefault="009174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/zł/</w:t>
            </w:r>
          </w:p>
        </w:tc>
      </w:tr>
      <w:tr w:rsidR="001C2121">
        <w:trPr>
          <w:cantSplit/>
          <w:trHeight w:val="672"/>
          <w:jc w:val="center"/>
        </w:trPr>
        <w:tc>
          <w:tcPr>
            <w:tcW w:w="447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Filtry do usuwania </w:t>
            </w:r>
            <w:r w:rsidR="00A205C1">
              <w:rPr>
                <w:sz w:val="20"/>
                <w:szCs w:val="20"/>
              </w:rPr>
              <w:t>leukocytów  z koncentratu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krwinek czerwonych.</w:t>
            </w:r>
          </w:p>
        </w:tc>
        <w:tc>
          <w:tcPr>
            <w:tcW w:w="11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AF0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C2121" w:rsidRDefault="001C2121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2121">
        <w:trPr>
          <w:cantSplit/>
          <w:trHeight w:val="2646"/>
          <w:jc w:val="center"/>
        </w:trPr>
        <w:tc>
          <w:tcPr>
            <w:tcW w:w="15868" w:type="dxa"/>
            <w:gridSpan w:val="11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C2121" w:rsidRDefault="00AF0E47">
            <w:pPr>
              <w:widowControl w:val="0"/>
              <w:numPr>
                <w:ilvl w:val="0"/>
                <w:numId w:val="2"/>
              </w:numPr>
              <w:snapToGrid w:val="0"/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odbiorczy na </w:t>
            </w:r>
            <w:proofErr w:type="spellStart"/>
            <w:r>
              <w:rPr>
                <w:sz w:val="20"/>
                <w:szCs w:val="20"/>
              </w:rPr>
              <w:t>UKKCz</w:t>
            </w:r>
            <w:proofErr w:type="spellEnd"/>
            <w:r>
              <w:rPr>
                <w:sz w:val="20"/>
                <w:szCs w:val="20"/>
              </w:rPr>
              <w:t xml:space="preserve"> wykonany z polichlorku winylu  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Integralnie z filtrem połączony pojemnik transferowy o pojemności 500- 600 ml, 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Filtry wykonane z przezroczystego tworzywa umożliwiającego wizualną kontrolę procesu filtrowania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</w:t>
            </w:r>
            <w:proofErr w:type="spellStart"/>
            <w:r>
              <w:rPr>
                <w:sz w:val="20"/>
                <w:szCs w:val="20"/>
              </w:rPr>
              <w:t>antyleukocytarny</w:t>
            </w:r>
            <w:proofErr w:type="spellEnd"/>
            <w:r>
              <w:rPr>
                <w:sz w:val="20"/>
                <w:szCs w:val="20"/>
              </w:rPr>
              <w:t xml:space="preserve"> do filtrowania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 xml:space="preserve"> co najmniej III generacji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filtrujący posiada system oczyszczania filtra po filtracji jałowym powietrzem z drenem by-pass ( do odpowietrzania pojemnika transferowego oraz uzyskania maksymalnej wydajności) lub zaopatrzony jest w </w:t>
            </w:r>
            <w:proofErr w:type="spellStart"/>
            <w:r>
              <w:rPr>
                <w:sz w:val="20"/>
                <w:szCs w:val="20"/>
              </w:rPr>
              <w:t>filt</w:t>
            </w:r>
            <w:proofErr w:type="spellEnd"/>
            <w:r>
              <w:rPr>
                <w:sz w:val="20"/>
                <w:szCs w:val="20"/>
              </w:rPr>
              <w:t xml:space="preserve"> nie wymagający odpowietrzenia i samoistnie </w:t>
            </w:r>
            <w:proofErr w:type="spellStart"/>
            <w:r>
              <w:rPr>
                <w:sz w:val="20"/>
                <w:szCs w:val="20"/>
              </w:rPr>
              <w:t>opróżniajacy</w:t>
            </w:r>
            <w:proofErr w:type="spellEnd"/>
            <w:r>
              <w:rPr>
                <w:sz w:val="20"/>
                <w:szCs w:val="20"/>
              </w:rPr>
              <w:t xml:space="preserve"> się poprzez </w:t>
            </w:r>
            <w:proofErr w:type="spellStart"/>
            <w:r>
              <w:rPr>
                <w:sz w:val="20"/>
                <w:szCs w:val="20"/>
              </w:rPr>
              <w:t>samozapadanie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Oczyszczanie filtra jałowym powietrzem  nie skraca daty ważności przefiltrowanego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 xml:space="preserve"> ( tj. 42 dni od daty pobrania)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proofErr w:type="spellStart"/>
            <w:r>
              <w:rPr>
                <w:sz w:val="20"/>
                <w:szCs w:val="20"/>
              </w:rPr>
              <w:t>łącznika’Y</w:t>
            </w:r>
            <w:proofErr w:type="spellEnd"/>
            <w:r>
              <w:rPr>
                <w:sz w:val="20"/>
                <w:szCs w:val="20"/>
              </w:rPr>
              <w:t xml:space="preserve">’ uniemożliwiająca przepływ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>/RW przez dren by-pass mimo otwartej klamry do pojemnika satelitarnego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transferowy wyposażony w dodatkowy dren na potrzeby kontroli jakości lub inne </w:t>
            </w:r>
            <w:proofErr w:type="spellStart"/>
            <w:r>
              <w:rPr>
                <w:sz w:val="20"/>
                <w:szCs w:val="20"/>
              </w:rPr>
              <w:t>rozwiazanie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umozliwiające</w:t>
            </w:r>
            <w:proofErr w:type="spellEnd"/>
            <w:r>
              <w:rPr>
                <w:sz w:val="20"/>
                <w:szCs w:val="20"/>
              </w:rPr>
              <w:t xml:space="preserve"> pobranie badań na potrzeby kontroli jakości bez rozszczelnienia pojemnika transferowego. 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Filtr posiada elastyczny i cienkościenny dren.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Czas filtracji nie przekraczający 20 min.,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krwi pozostająca w układzie nie przekraczająca 15% pierwotnej objętości,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Efektywność filtracji </w:t>
            </w:r>
            <w:r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5 log (liczba leukocytów mniej niż 1x10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/jedn.), w co najmniej 90% badanych jednostkach, przy temperaturze filtrowanego składnika w zakresie + 2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24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Wyposażony w </w:t>
            </w:r>
            <w:proofErr w:type="spellStart"/>
            <w:r>
              <w:rPr>
                <w:sz w:val="20"/>
                <w:szCs w:val="20"/>
              </w:rPr>
              <w:t>prefiltr</w:t>
            </w:r>
            <w:proofErr w:type="spellEnd"/>
            <w:r>
              <w:rPr>
                <w:sz w:val="20"/>
                <w:szCs w:val="20"/>
              </w:rPr>
              <w:t xml:space="preserve"> – 160 – 200 µm lub opcjonalnie bez </w:t>
            </w:r>
            <w:proofErr w:type="spellStart"/>
            <w:r>
              <w:rPr>
                <w:sz w:val="20"/>
                <w:szCs w:val="20"/>
              </w:rPr>
              <w:t>prefiltra</w:t>
            </w:r>
            <w:proofErr w:type="spellEnd"/>
            <w:r>
              <w:rPr>
                <w:sz w:val="20"/>
                <w:szCs w:val="20"/>
              </w:rPr>
              <w:t xml:space="preserve">, jeżeli filtr właściwy spełnia również funkcję </w:t>
            </w:r>
            <w:proofErr w:type="spellStart"/>
            <w:r>
              <w:rPr>
                <w:sz w:val="20"/>
                <w:szCs w:val="20"/>
              </w:rPr>
              <w:t>prefiltra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powinien uwalniać do krwi substancji fizycznych i chemicznych oraz nie powinien powodować hemolizy,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Jednoznaczne oznakowanie pojemnika transferowego przez podanie kodu produktu i serii,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etykiecie macierzystej każdego zestawu do filtracji numer LOT i REF pojemnika w postaci numerycznej i w postaci kodu kreskowego zgodnego ze standardem ISBT( EAN 128), Numer CE, nazwa producenta , data ważności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jednym kartonie zestawy tylko jednej serii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jedna seria filtrów w dostawie</w:t>
            </w:r>
          </w:p>
          <w:p w:rsidR="001C2121" w:rsidRDefault="00AF0E47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karton musi mieć ulotkę informacyjną w języku polskim wyjaśniającą obsługę filtra oraz warunki przechowywania</w:t>
            </w:r>
          </w:p>
          <w:p w:rsidR="00917475" w:rsidRDefault="00917475">
            <w:pPr>
              <w:widowControl w:val="0"/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Minimalny termin ważności 16 miesięcy od dnia dostawy.</w:t>
            </w:r>
          </w:p>
          <w:p w:rsidR="001C2121" w:rsidRDefault="00AF0E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2121" w:rsidRDefault="001C2121">
      <w:pPr>
        <w:rPr>
          <w:sz w:val="20"/>
          <w:szCs w:val="20"/>
        </w:rPr>
      </w:pPr>
    </w:p>
    <w:p w:rsidR="001C2121" w:rsidRDefault="00AF0E47">
      <w:pPr>
        <w:rPr>
          <w:b/>
          <w:bCs/>
        </w:rPr>
      </w:pPr>
      <w:r>
        <w:rPr>
          <w:b/>
          <w:bCs/>
          <w:sz w:val="20"/>
          <w:szCs w:val="20"/>
        </w:rPr>
        <w:t>Wykonawca  do każdej dostawy dołączy certyfikat kontroli jakości dla każdej serii.</w:t>
      </w:r>
    </w:p>
    <w:p w:rsidR="001C2121" w:rsidRDefault="00AF0E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>: Zespół Medyczny w Warszawie oraz Terenowe Stacje w Bydgoszczy, Ełku, Lublinie, Wrocławiu i Gdańsku.</w:t>
      </w:r>
    </w:p>
    <w:p w:rsidR="001C2121" w:rsidRDefault="001C2121">
      <w:pPr>
        <w:jc w:val="both"/>
        <w:rPr>
          <w:sz w:val="20"/>
          <w:szCs w:val="20"/>
        </w:rPr>
      </w:pPr>
    </w:p>
    <w:p w:rsidR="00A205C1" w:rsidRDefault="00A205C1" w:rsidP="00A205C1">
      <w:pPr>
        <w:tabs>
          <w:tab w:val="left" w:pos="10005"/>
        </w:tabs>
        <w:ind w:firstLine="7920"/>
        <w:jc w:val="center"/>
        <w:rPr>
          <w:sz w:val="20"/>
          <w:szCs w:val="20"/>
        </w:rPr>
      </w:pPr>
    </w:p>
    <w:p w:rsidR="00A205C1" w:rsidRPr="00A205C1" w:rsidRDefault="00A205C1" w:rsidP="00A205C1">
      <w:pPr>
        <w:tabs>
          <w:tab w:val="left" w:pos="10005"/>
        </w:tabs>
        <w:ind w:firstLine="7920"/>
        <w:jc w:val="center"/>
        <w:rPr>
          <w:sz w:val="20"/>
          <w:szCs w:val="20"/>
        </w:rPr>
      </w:pPr>
      <w:r w:rsidRPr="00A205C1">
        <w:rPr>
          <w:sz w:val="20"/>
          <w:szCs w:val="20"/>
        </w:rPr>
        <w:t>……….................................................................</w:t>
      </w:r>
    </w:p>
    <w:p w:rsidR="00A205C1" w:rsidRPr="00A205C1" w:rsidRDefault="00A205C1" w:rsidP="00A205C1">
      <w:pPr>
        <w:tabs>
          <w:tab w:val="left" w:pos="10005"/>
        </w:tabs>
        <w:ind w:firstLine="7920"/>
        <w:jc w:val="center"/>
        <w:rPr>
          <w:sz w:val="20"/>
          <w:szCs w:val="20"/>
        </w:rPr>
      </w:pPr>
      <w:r w:rsidRPr="00A205C1">
        <w:rPr>
          <w:sz w:val="20"/>
          <w:szCs w:val="20"/>
        </w:rPr>
        <w:t>znak graficzny podpisu osoby (osób) upoważnionej (</w:t>
      </w:r>
      <w:proofErr w:type="spellStart"/>
      <w:r w:rsidRPr="00A205C1">
        <w:rPr>
          <w:sz w:val="20"/>
          <w:szCs w:val="20"/>
        </w:rPr>
        <w:t>ych</w:t>
      </w:r>
      <w:proofErr w:type="spellEnd"/>
      <w:r w:rsidRPr="00A205C1">
        <w:rPr>
          <w:sz w:val="20"/>
          <w:szCs w:val="20"/>
        </w:rPr>
        <w:t xml:space="preserve">)  </w:t>
      </w:r>
    </w:p>
    <w:p w:rsidR="001C2121" w:rsidRPr="00A205C1" w:rsidRDefault="00A205C1" w:rsidP="00A205C1">
      <w:pPr>
        <w:tabs>
          <w:tab w:val="left" w:pos="10005"/>
        </w:tabs>
        <w:ind w:firstLine="7920"/>
        <w:jc w:val="center"/>
        <w:rPr>
          <w:i/>
          <w:iCs/>
          <w:sz w:val="20"/>
          <w:szCs w:val="20"/>
        </w:rPr>
      </w:pPr>
      <w:r w:rsidRPr="00A205C1">
        <w:rPr>
          <w:sz w:val="20"/>
          <w:szCs w:val="20"/>
        </w:rPr>
        <w:t>do reprezentowania podmiotu oddającego do dyspozycji zasoby</w:t>
      </w:r>
    </w:p>
    <w:sectPr w:rsidR="001C2121" w:rsidRPr="00A205C1" w:rsidSect="00A205C1">
      <w:footerReference w:type="default" r:id="rId7"/>
      <w:pgSz w:w="16838" w:h="11906" w:orient="landscape"/>
      <w:pgMar w:top="851" w:right="1418" w:bottom="567" w:left="1418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4C" w:rsidRDefault="00AF0E47">
      <w:r>
        <w:separator/>
      </w:r>
    </w:p>
  </w:endnote>
  <w:endnote w:type="continuationSeparator" w:id="0">
    <w:p w:rsidR="001D0F4C" w:rsidRDefault="00AF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1" w:rsidRDefault="001C21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4C" w:rsidRDefault="00AF0E47">
      <w:r>
        <w:separator/>
      </w:r>
    </w:p>
  </w:footnote>
  <w:footnote w:type="continuationSeparator" w:id="0">
    <w:p w:rsidR="001D0F4C" w:rsidRDefault="00AF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7BC"/>
    <w:multiLevelType w:val="multilevel"/>
    <w:tmpl w:val="BF943C88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690410"/>
    <w:multiLevelType w:val="multilevel"/>
    <w:tmpl w:val="18DAE0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DC6974"/>
    <w:multiLevelType w:val="multilevel"/>
    <w:tmpl w:val="A8FE9B3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21"/>
    <w:rsid w:val="000D4F93"/>
    <w:rsid w:val="001C2121"/>
    <w:rsid w:val="001D0F4C"/>
    <w:rsid w:val="00917475"/>
    <w:rsid w:val="00A205C1"/>
    <w:rsid w:val="00AF0E47"/>
    <w:rsid w:val="00B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09A"/>
  <w15:docId w15:val="{F079ACD2-8F54-468E-B976-00BBA70F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semiHidden/>
    <w:qFormat/>
    <w:rsid w:val="00676B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Gwkaistopka"/>
    <w:next w:val="Tekstpodstawowy"/>
    <w:pPr>
      <w:suppressLineNumbers/>
      <w:tabs>
        <w:tab w:val="center" w:pos="7001"/>
        <w:tab w:val="right" w:pos="1400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676BA7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l.malmur</cp:lastModifiedBy>
  <cp:revision>10</cp:revision>
  <dcterms:created xsi:type="dcterms:W3CDTF">2023-01-18T08:08:00Z</dcterms:created>
  <dcterms:modified xsi:type="dcterms:W3CDTF">2023-02-09T12:26:00Z</dcterms:modified>
  <dc:language>pl-PL</dc:language>
</cp:coreProperties>
</file>