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1482" w:type="dxa"/>
        <w:tblInd w:w="-1026" w:type="dxa"/>
        <w:tblLook w:val="04A0"/>
      </w:tblPr>
      <w:tblGrid>
        <w:gridCol w:w="1880"/>
        <w:gridCol w:w="5120"/>
        <w:gridCol w:w="4482"/>
      </w:tblGrid>
      <w:tr w:rsidR="00FE3FFC" w:rsidRPr="006C6A53" w:rsidTr="00FE3FFC">
        <w:trPr>
          <w:trHeight w:val="350"/>
        </w:trPr>
        <w:tc>
          <w:tcPr>
            <w:tcW w:w="1880" w:type="dxa"/>
            <w:shd w:val="clear" w:color="auto" w:fill="auto"/>
          </w:tcPr>
          <w:p w:rsidR="00FE3FFC" w:rsidRPr="006C6A53" w:rsidRDefault="00FE3FFC" w:rsidP="00F42DDE">
            <w:pPr>
              <w:pStyle w:val="Nagwek3"/>
              <w:outlineLvl w:val="2"/>
              <w:rPr>
                <w:rFonts w:ascii="Bookman Old Style" w:hAnsi="Bookman Old Style" w:cstheme="minorHAnsi"/>
                <w:color w:val="auto"/>
                <w:sz w:val="20"/>
                <w:szCs w:val="20"/>
                <w:lang w:val="pl-PL"/>
              </w:rPr>
            </w:pPr>
            <w:r w:rsidRPr="006C6A53">
              <w:rPr>
                <w:rFonts w:ascii="Bookman Old Style" w:hAnsi="Bookman Old Style" w:cstheme="minorHAnsi"/>
                <w:color w:val="auto"/>
                <w:sz w:val="20"/>
                <w:szCs w:val="20"/>
                <w:lang w:val="pl-PL"/>
              </w:rPr>
              <w:t>Nazwa</w:t>
            </w:r>
          </w:p>
        </w:tc>
        <w:tc>
          <w:tcPr>
            <w:tcW w:w="5120" w:type="dxa"/>
            <w:shd w:val="clear" w:color="auto" w:fill="auto"/>
          </w:tcPr>
          <w:p w:rsidR="00FE3FFC" w:rsidRPr="006C6A53" w:rsidRDefault="00FE3FFC" w:rsidP="00F42DDE">
            <w:pPr>
              <w:jc w:val="center"/>
              <w:rPr>
                <w:rFonts w:ascii="Bookman Old Style" w:hAnsi="Bookman Old Style" w:cstheme="minorHAnsi"/>
                <w:sz w:val="20"/>
                <w:szCs w:val="20"/>
                <w:lang w:val="pl-PL"/>
              </w:rPr>
            </w:pPr>
            <w:r w:rsidRPr="006C6A53">
              <w:rPr>
                <w:rFonts w:ascii="Bookman Old Style" w:hAnsi="Bookman Old Style" w:cstheme="minorHAnsi"/>
                <w:sz w:val="20"/>
                <w:szCs w:val="20"/>
                <w:lang w:val="pl-PL"/>
              </w:rPr>
              <w:t>Wymagane minimalne parametry techniczne</w:t>
            </w:r>
          </w:p>
        </w:tc>
        <w:tc>
          <w:tcPr>
            <w:tcW w:w="4482" w:type="dxa"/>
          </w:tcPr>
          <w:p w:rsidR="00FE3FFC" w:rsidRPr="006C6A53" w:rsidRDefault="00FE3FFC" w:rsidP="00F42DDE">
            <w:pPr>
              <w:jc w:val="center"/>
              <w:rPr>
                <w:rFonts w:ascii="Bookman Old Style" w:hAnsi="Bookman Old Style" w:cstheme="minorHAnsi"/>
                <w:sz w:val="20"/>
                <w:szCs w:val="20"/>
                <w:lang w:val="pl-PL"/>
              </w:rPr>
            </w:pPr>
            <w:r>
              <w:rPr>
                <w:rFonts w:ascii="Bookman Old Style" w:hAnsi="Bookman Old Style" w:cstheme="minorHAnsi"/>
                <w:sz w:val="20"/>
                <w:szCs w:val="20"/>
                <w:lang w:val="pl-PL"/>
              </w:rPr>
              <w:t>Oferowane parametry</w:t>
            </w: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Zastosowanie</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Komputer mobilny będzie wykorzystywany dla potrzeb aplikacji, edukacyjnych, obliczeniowych, dostępu do Internetu oraz poczty elektronicznej.</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6C6A53"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Przekątna Ekranu</w:t>
            </w:r>
          </w:p>
        </w:tc>
        <w:tc>
          <w:tcPr>
            <w:tcW w:w="5120" w:type="dxa"/>
            <w:shd w:val="clear" w:color="auto" w:fill="auto"/>
          </w:tcPr>
          <w:p w:rsidR="00FE3FFC" w:rsidRPr="006C6A53" w:rsidRDefault="00FE3FFC" w:rsidP="00F42DDE">
            <w:pPr>
              <w:jc w:val="both"/>
              <w:outlineLvl w:val="0"/>
              <w:rPr>
                <w:rFonts w:ascii="Bookman Old Style" w:hAnsi="Bookman Old Style" w:cstheme="minorHAnsi"/>
                <w:sz w:val="20"/>
                <w:szCs w:val="20"/>
                <w:lang w:val="pl-PL"/>
              </w:rPr>
            </w:pPr>
            <w:r w:rsidRPr="006C6A53">
              <w:rPr>
                <w:rFonts w:ascii="Bookman Old Style" w:hAnsi="Bookman Old Style" w:cstheme="minorHAnsi"/>
                <w:sz w:val="20"/>
                <w:szCs w:val="20"/>
                <w:lang w:val="pl-PL"/>
              </w:rPr>
              <w:t>15.6 FHD IPS (1920 x 1080), powłoką przeciwodblaskową, jasność 220 nitów. Kąt otwarcia matrycy min.140 stopni</w:t>
            </w:r>
          </w:p>
        </w:tc>
        <w:tc>
          <w:tcPr>
            <w:tcW w:w="4482" w:type="dxa"/>
          </w:tcPr>
          <w:p w:rsidR="00FE3FFC" w:rsidRPr="006C6A53" w:rsidRDefault="00FE3FFC" w:rsidP="00F42DDE">
            <w:pPr>
              <w:jc w:val="both"/>
              <w:outlineLvl w:val="0"/>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Wydajność komputera</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Oferowany komputer przenośny musi osiągać w teście wydajności :</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Sysmark25 – wynik min. 600 – test z przeprowadzonej konfiguracji załączyć do oferty.</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Wymagane testy wydajnościowe wykonawca musi przeprowadzić na automatycznych ustawieniach konfiguratora dołączonego przez firmę BAPCO i przy natywnej rozdzielczości wyświetlacza oraz włączonych wszystkich urządzeniach. Nie dopuszcza się stosowanie </w:t>
            </w:r>
            <w:proofErr w:type="spellStart"/>
            <w:r w:rsidRPr="006C6A53">
              <w:rPr>
                <w:rFonts w:ascii="Bookman Old Style" w:hAnsi="Bookman Old Style" w:cstheme="minorHAnsi"/>
                <w:sz w:val="20"/>
                <w:szCs w:val="20"/>
                <w:lang w:val="pl-PL"/>
              </w:rPr>
              <w:t>overclokingu</w:t>
            </w:r>
            <w:proofErr w:type="spellEnd"/>
            <w:r w:rsidRPr="006C6A53">
              <w:rPr>
                <w:rFonts w:ascii="Bookman Old Style" w:hAnsi="Bookman Old Style" w:cstheme="minorHAnsi"/>
                <w:sz w:val="20"/>
                <w:szCs w:val="20"/>
                <w:lang w:val="pl-PL"/>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Zamawiającego </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Pamięć RAM</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8GB DDR4 z możliwością rozbudowy do 16GB RAM</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Pamięć masowa</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256GB </w:t>
            </w:r>
            <w:proofErr w:type="spellStart"/>
            <w:r w:rsidRPr="006C6A53">
              <w:rPr>
                <w:rFonts w:ascii="Bookman Old Style" w:hAnsi="Bookman Old Style" w:cstheme="minorHAnsi"/>
                <w:sz w:val="20"/>
                <w:szCs w:val="20"/>
                <w:lang w:val="pl-PL"/>
              </w:rPr>
              <w:t>NVMe</w:t>
            </w:r>
            <w:proofErr w:type="spellEnd"/>
            <w:r w:rsidRPr="006C6A53">
              <w:rPr>
                <w:rFonts w:ascii="Bookman Old Style" w:hAnsi="Bookman Old Style" w:cstheme="minorHAnsi"/>
                <w:sz w:val="20"/>
                <w:szCs w:val="20"/>
                <w:lang w:val="pl-PL"/>
              </w:rPr>
              <w:t xml:space="preserve"> SSD M.2</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Komputer musi oferować montaż dwóch dysków w  konfiguracji M.2 + 2,5”</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Karta graficzna</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Zintegrowana karta graficzna osiągająca w teście Sysmark25 </w:t>
            </w:r>
            <w:proofErr w:type="spellStart"/>
            <w:r w:rsidRPr="006C6A53">
              <w:rPr>
                <w:rFonts w:ascii="Bookman Old Style" w:hAnsi="Bookman Old Style" w:cstheme="minorHAnsi"/>
                <w:sz w:val="20"/>
                <w:szCs w:val="20"/>
                <w:lang w:val="pl-PL"/>
              </w:rPr>
              <w:t>Creativity</w:t>
            </w:r>
            <w:proofErr w:type="spellEnd"/>
            <w:r w:rsidRPr="006C6A53">
              <w:rPr>
                <w:rFonts w:ascii="Bookman Old Style" w:hAnsi="Bookman Old Style" w:cstheme="minorHAnsi"/>
                <w:sz w:val="20"/>
                <w:szCs w:val="20"/>
                <w:lang w:val="pl-PL"/>
              </w:rPr>
              <w:t xml:space="preserve"> co najmniej 550 punktów - wyniki na wezwanie załączyć do oferty.</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Klawiatura</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Klawiatura z wydzieloną strefą numeryczną (układ US), min 98 klawiszy. Wszystkie klawisze funkcyjne typu: </w:t>
            </w:r>
            <w:proofErr w:type="spellStart"/>
            <w:r w:rsidRPr="006C6A53">
              <w:rPr>
                <w:rFonts w:ascii="Bookman Old Style" w:hAnsi="Bookman Old Style" w:cstheme="minorHAnsi"/>
                <w:sz w:val="20"/>
                <w:szCs w:val="20"/>
                <w:lang w:val="pl-PL"/>
              </w:rPr>
              <w:t>mute</w:t>
            </w:r>
            <w:proofErr w:type="spellEnd"/>
            <w:r w:rsidRPr="006C6A53">
              <w:rPr>
                <w:rFonts w:ascii="Bookman Old Style" w:hAnsi="Bookman Old Style" w:cstheme="minorHAnsi"/>
                <w:sz w:val="20"/>
                <w:szCs w:val="20"/>
                <w:lang w:val="pl-PL"/>
              </w:rPr>
              <w:t xml:space="preserve">, regulacja głośności, </w:t>
            </w:r>
            <w:proofErr w:type="spellStart"/>
            <w:r w:rsidRPr="006C6A53">
              <w:rPr>
                <w:rFonts w:ascii="Bookman Old Style" w:hAnsi="Bookman Old Style" w:cstheme="minorHAnsi"/>
                <w:sz w:val="20"/>
                <w:szCs w:val="20"/>
                <w:lang w:val="pl-PL"/>
              </w:rPr>
              <w:t>print</w:t>
            </w:r>
            <w:proofErr w:type="spellEnd"/>
            <w:r w:rsidRPr="006C6A53">
              <w:rPr>
                <w:rFonts w:ascii="Bookman Old Style" w:hAnsi="Bookman Old Style" w:cstheme="minorHAnsi"/>
                <w:sz w:val="20"/>
                <w:szCs w:val="20"/>
                <w:lang w:val="pl-PL"/>
              </w:rPr>
              <w:t xml:space="preserve"> </w:t>
            </w:r>
            <w:proofErr w:type="spellStart"/>
            <w:r w:rsidRPr="006C6A53">
              <w:rPr>
                <w:rFonts w:ascii="Bookman Old Style" w:hAnsi="Bookman Old Style" w:cstheme="minorHAnsi"/>
                <w:sz w:val="20"/>
                <w:szCs w:val="20"/>
                <w:lang w:val="pl-PL"/>
              </w:rPr>
              <w:t>screen</w:t>
            </w:r>
            <w:proofErr w:type="spellEnd"/>
            <w:r w:rsidRPr="006C6A53">
              <w:rPr>
                <w:rFonts w:ascii="Bookman Old Style" w:hAnsi="Bookman Old Style" w:cstheme="minorHAnsi"/>
                <w:sz w:val="20"/>
                <w:szCs w:val="20"/>
                <w:lang w:val="pl-PL"/>
              </w:rPr>
              <w:t xml:space="preserve"> dostępne w ciągu klawiszy F1-F12.</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6C6A53"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Multimedia</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Karta dźwiękowa zintegrowana z płytą główną, wbudowane dwa głośniki stereo 2x2W.</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Cyfrowy mikrofon z funkcją redukcji szumów i poprawy mowy wbudowany w obudowę matrycy. </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Kamera internetowa z diodą informującą o aktywności, trwale zainstalowana w obudowie matrycy. 1 port audio typu combo (słuchawki i mikrofon)</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6C6A53"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Łączność bezprzewodowa</w:t>
            </w:r>
          </w:p>
        </w:tc>
        <w:tc>
          <w:tcPr>
            <w:tcW w:w="5120" w:type="dxa"/>
            <w:shd w:val="clear" w:color="auto" w:fill="auto"/>
          </w:tcPr>
          <w:p w:rsidR="00FE3FFC" w:rsidRPr="00295DF3" w:rsidRDefault="00FE3FFC" w:rsidP="00F42DDE">
            <w:pPr>
              <w:pStyle w:val="Default"/>
              <w:rPr>
                <w:rFonts w:ascii="Bookman Old Style" w:hAnsi="Bookman Old Style" w:cstheme="minorHAnsi"/>
                <w:color w:val="auto"/>
                <w:sz w:val="20"/>
                <w:szCs w:val="20"/>
              </w:rPr>
            </w:pPr>
            <w:r w:rsidRPr="00295DF3">
              <w:rPr>
                <w:rFonts w:ascii="Bookman Old Style" w:hAnsi="Bookman Old Style" w:cstheme="minorHAnsi"/>
                <w:color w:val="auto"/>
                <w:sz w:val="20"/>
                <w:szCs w:val="20"/>
              </w:rPr>
              <w:t>Wi-Fi 5 AC 201 2x2 + Bluetooth 4.2</w:t>
            </w:r>
          </w:p>
        </w:tc>
        <w:tc>
          <w:tcPr>
            <w:tcW w:w="4482" w:type="dxa"/>
          </w:tcPr>
          <w:p w:rsidR="00FE3FFC" w:rsidRPr="00295DF3" w:rsidRDefault="00FE3FFC" w:rsidP="00F42DDE">
            <w:pPr>
              <w:pStyle w:val="Default"/>
              <w:rPr>
                <w:rFonts w:ascii="Bookman Old Style" w:hAnsi="Bookman Old Style" w:cstheme="minorHAnsi"/>
                <w:color w:val="auto"/>
                <w:sz w:val="20"/>
                <w:szCs w:val="20"/>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lastRenderedPageBreak/>
              <w:t>Bateria i zasilanie</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Bateria litowo-polimerowa. Umożliwiająca jej szybkie naładowanie do poziomu 80% w czasie 1 godziny i do poziomu 100% w czasie 2 godzin.</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Czas pracy na baterii min. 8 godzin, potwierdzony przeprowadzonym testem MobileMark25 Battery Life [do oferty załączyć wydruk przeprowadzonego testu lub link publikacji na stronie BAPCO, w oferowanej konfiguracji]</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Zasilacz o mocy min. 65W</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Waga i wymiary</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Waga max 1.9 kg z baterią</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Wysokość laptopa nie większa niż 20mm.</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Obudowa</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Szkielet obudowy i zawiasy notebooka wzmacniane, dookoła matrycy uszczelnienie chroniące klawiaturę notebooka  po zamknięciu przed kurzem i wilgocią. </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Certyfikaty</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Certyfikat ISO9001, ISO 14001, ISO50001 dla producenta sprzętu (należy załączyć do oferty)</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Potwierdzenie spełnienia kryteriów środowiskowych, w tym zgodności z dyrektywą </w:t>
            </w:r>
            <w:proofErr w:type="spellStart"/>
            <w:r w:rsidRPr="006C6A53">
              <w:rPr>
                <w:rFonts w:ascii="Bookman Old Style" w:hAnsi="Bookman Old Style" w:cstheme="minorHAnsi"/>
                <w:sz w:val="20"/>
                <w:szCs w:val="20"/>
                <w:lang w:val="pl-PL"/>
              </w:rPr>
              <w:t>RoHS</w:t>
            </w:r>
            <w:proofErr w:type="spellEnd"/>
            <w:r w:rsidRPr="006C6A53">
              <w:rPr>
                <w:rFonts w:ascii="Bookman Old Style" w:hAnsi="Bookman Old Style" w:cstheme="minorHAnsi"/>
                <w:sz w:val="20"/>
                <w:szCs w:val="20"/>
                <w:lang w:val="pl-PL"/>
              </w:rPr>
              <w:t xml:space="preserve"> Unii Europejskiej o eliminacji substancji niebezpiecznych w postaci oświadczenia producenta jednostki</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Potwierdzenie kompatybilności komputera z oferowanym systemem operacyjnym (wydruk ze strony)</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Oprogramowanie antywirusowe – w formularzu oferty należy podać pełną nazwę oferowanego oprogramowania</w:t>
            </w:r>
          </w:p>
        </w:tc>
        <w:tc>
          <w:tcPr>
            <w:tcW w:w="5120" w:type="dxa"/>
            <w:shd w:val="clear" w:color="auto" w:fill="auto"/>
          </w:tcPr>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System chroniący przed zagrożeniami, posiadający certyfikaty VB100%, OPSWAT, AVLAB +++, AV </w:t>
            </w:r>
            <w:proofErr w:type="spellStart"/>
            <w:r w:rsidRPr="006C6A53">
              <w:rPr>
                <w:rFonts w:ascii="Bookman Old Style" w:hAnsi="Bookman Old Style" w:cstheme="minorHAnsi"/>
                <w:sz w:val="20"/>
                <w:szCs w:val="20"/>
                <w:lang w:val="pl-PL"/>
              </w:rPr>
              <w:t>Comperative</w:t>
            </w:r>
            <w:proofErr w:type="spellEnd"/>
            <w:r w:rsidRPr="006C6A53">
              <w:rPr>
                <w:rFonts w:ascii="Bookman Old Style" w:hAnsi="Bookman Old Style" w:cstheme="minorHAnsi"/>
                <w:sz w:val="20"/>
                <w:szCs w:val="20"/>
                <w:lang w:val="pl-PL"/>
              </w:rPr>
              <w:t xml:space="preserve"> </w:t>
            </w:r>
            <w:proofErr w:type="spellStart"/>
            <w:r w:rsidRPr="006C6A53">
              <w:rPr>
                <w:rFonts w:ascii="Bookman Old Style" w:hAnsi="Bookman Old Style" w:cstheme="minorHAnsi"/>
                <w:sz w:val="20"/>
                <w:szCs w:val="20"/>
                <w:lang w:val="pl-PL"/>
              </w:rPr>
              <w:t>Advance</w:t>
            </w:r>
            <w:proofErr w:type="spellEnd"/>
            <w:r w:rsidRPr="006C6A53">
              <w:rPr>
                <w:rFonts w:ascii="Bookman Old Style" w:hAnsi="Bookman Old Style" w:cstheme="minorHAnsi"/>
                <w:sz w:val="20"/>
                <w:szCs w:val="20"/>
                <w:lang w:val="pl-PL"/>
              </w:rPr>
              <w:t xml:space="preserve"> +. Silnik musi umożliwiać co najmniej:</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wykrywanie i blokowania plików ze szkodliwą zawartością, w tym osadzonych/skompresowanych plików, które używają czasie rzeczywistym algorytmów kompresji,</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 xml:space="preserve">wykrywanie i usuwanie plików typu </w:t>
            </w:r>
            <w:proofErr w:type="spellStart"/>
            <w:r w:rsidRPr="006C6A53">
              <w:rPr>
                <w:rFonts w:ascii="Bookman Old Style" w:hAnsi="Bookman Old Style" w:cstheme="minorHAnsi"/>
                <w:sz w:val="20"/>
                <w:szCs w:val="20"/>
                <w:lang w:val="pl-PL"/>
              </w:rPr>
              <w:t>rootkit</w:t>
            </w:r>
            <w:proofErr w:type="spellEnd"/>
            <w:r w:rsidRPr="006C6A53">
              <w:rPr>
                <w:rFonts w:ascii="Bookman Old Style" w:hAnsi="Bookman Old Style" w:cstheme="minorHAnsi"/>
                <w:sz w:val="20"/>
                <w:szCs w:val="20"/>
                <w:lang w:val="pl-PL"/>
              </w:rPr>
              <w:t xml:space="preserve"> oraz złośliwego oprogramowania, również przy użyciu technik behawioralnych,</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wykrywanie i usuwanie fałszywego oprogramowania bezpieczeństwa (</w:t>
            </w:r>
            <w:proofErr w:type="spellStart"/>
            <w:r w:rsidRPr="006C6A53">
              <w:rPr>
                <w:rFonts w:ascii="Bookman Old Style" w:hAnsi="Bookman Old Style" w:cstheme="minorHAnsi"/>
                <w:sz w:val="20"/>
                <w:szCs w:val="20"/>
                <w:lang w:val="pl-PL"/>
              </w:rPr>
              <w:t>roguewear</w:t>
            </w:r>
            <w:proofErr w:type="spellEnd"/>
            <w:r w:rsidRPr="006C6A53">
              <w:rPr>
                <w:rFonts w:ascii="Bookman Old Style" w:hAnsi="Bookman Old Style" w:cstheme="minorHAnsi"/>
                <w:sz w:val="20"/>
                <w:szCs w:val="20"/>
                <w:lang w:val="pl-PL"/>
              </w:rPr>
              <w:t>)</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Oprogramowanie umożliwia zdefiniowanie listy zaufanych urządzeń, które nie będą blokowane podczas podłączanie do stacji końcowej.</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Istnieje możliwość blokady zapisywanie plików na zewnętrznych dyskach USB oraz blokada możliwości uruchamiania oprogramowania z takich dysków. Blokada ta powinna umożliwiać korzystanie z pozostałych danych zapisanych na takich dyskach.</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Interfejs zarządzania wyświetla monity o zbliżającym się zakończeniu licencji, a także powiadamia o zakończeniu licencji.</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Oprogramowanie do szyfrowania, chroniące dane rezydujące na punktach końcowych za pomocą silnych algorytmów szyfrowania takich jak AES, RC6, SERPENT i DWAFISH. Pełne szyfrowanie </w:t>
            </w:r>
            <w:r w:rsidRPr="006C6A53">
              <w:rPr>
                <w:rFonts w:ascii="Bookman Old Style" w:hAnsi="Bookman Old Style" w:cstheme="minorHAnsi"/>
                <w:sz w:val="20"/>
                <w:szCs w:val="20"/>
                <w:lang w:val="pl-PL"/>
              </w:rPr>
              <w:lastRenderedPageBreak/>
              <w:t>dysków działających m.in. na komputerach z systemem Windows.</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 xml:space="preserve">Zapobiegające utracie danych z powodu utraty / kradzieży punktu końcowego. Oprogramowanie szyfruje całą zawartość na urządzeniach przenośnych, takich jak Pen </w:t>
            </w:r>
            <w:proofErr w:type="spellStart"/>
            <w:r w:rsidRPr="006C6A53">
              <w:rPr>
                <w:rFonts w:ascii="Bookman Old Style" w:hAnsi="Bookman Old Style" w:cstheme="minorHAnsi"/>
                <w:sz w:val="20"/>
                <w:szCs w:val="20"/>
                <w:lang w:val="pl-PL"/>
              </w:rPr>
              <w:t>Drive'y</w:t>
            </w:r>
            <w:proofErr w:type="spellEnd"/>
            <w:r w:rsidRPr="006C6A53">
              <w:rPr>
                <w:rFonts w:ascii="Bookman Old Style" w:hAnsi="Bookman Old Style" w:cstheme="minorHAnsi"/>
                <w:sz w:val="20"/>
                <w:szCs w:val="20"/>
                <w:lang w:val="pl-PL"/>
              </w:rPr>
              <w:t>, dyski USB i udostępnia je tylko autoryzowanym użytkownikom.</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Zarządzanie przez Chmurę:</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1. </w:t>
            </w:r>
            <w:r w:rsidRPr="006C6A53">
              <w:rPr>
                <w:rFonts w:ascii="Bookman Old Style" w:hAnsi="Bookman Old Style" w:cstheme="minorHAnsi"/>
                <w:sz w:val="20"/>
                <w:szCs w:val="20"/>
                <w:lang w:val="pl-PL"/>
              </w:rPr>
              <w:t>Musi być zdolny do wyświetlania statusu bezpieczeństwa konsolidacyjnego urządzeń końcowych zainstalowanych w różnych biurach</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2. </w:t>
            </w:r>
            <w:r w:rsidRPr="006C6A53">
              <w:rPr>
                <w:rFonts w:ascii="Bookman Old Style" w:hAnsi="Bookman Old Style" w:cstheme="minorHAnsi"/>
                <w:sz w:val="20"/>
                <w:szCs w:val="20"/>
                <w:lang w:val="pl-PL"/>
              </w:rPr>
              <w:t>Musi posiadać zdolność do tworzenia kopii zapasowych i przywracania plików konfiguracyjnych z serwera chmury</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3. </w:t>
            </w:r>
            <w:r w:rsidRPr="006C6A53">
              <w:rPr>
                <w:rFonts w:ascii="Bookman Old Style" w:hAnsi="Bookman Old Style" w:cstheme="minorHAnsi"/>
                <w:sz w:val="20"/>
                <w:szCs w:val="20"/>
                <w:lang w:val="pl-PL"/>
              </w:rPr>
              <w:t>Musi posiadać zdolność do promowania skutecznej polityki lokalnej do globalnej i zastosować ją globalnie do wszystkich biur</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4. </w:t>
            </w:r>
            <w:r w:rsidRPr="006C6A53">
              <w:rPr>
                <w:rFonts w:ascii="Bookman Old Style" w:hAnsi="Bookman Old Style" w:cstheme="minorHAnsi"/>
                <w:sz w:val="20"/>
                <w:szCs w:val="20"/>
                <w:lang w:val="pl-PL"/>
              </w:rPr>
              <w:t>Musi mieć możliwość tworzenia wielu poziomów dostępu do hierarchii aby umożliwić dostęp do Chmury zgodnie z przypisaniem do grupy</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5. </w:t>
            </w:r>
            <w:r w:rsidRPr="006C6A53">
              <w:rPr>
                <w:rFonts w:ascii="Bookman Old Style" w:hAnsi="Bookman Old Style" w:cstheme="minorHAnsi"/>
                <w:sz w:val="20"/>
                <w:szCs w:val="20"/>
                <w:lang w:val="pl-PL"/>
              </w:rPr>
              <w:t>Musi posiadać dostęp do konsoli lokalnie z dowolnego miejsca w nagłych przypadkach</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Aktualizacja oprogramowania w trybie offline, za pomocą paczek aktualizacyjnych ściągniętych z dedykowanej witryny producenta oprogramowania.</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1. </w:t>
            </w:r>
            <w:r w:rsidRPr="006C6A53">
              <w:rPr>
                <w:rFonts w:ascii="Bookman Old Style" w:hAnsi="Bookman Old Style" w:cstheme="minorHAnsi"/>
                <w:sz w:val="20"/>
                <w:szCs w:val="20"/>
                <w:lang w:val="pl-PL"/>
              </w:rPr>
              <w:t>Serwer: centralna konsola zarządzająca oraz oprogramowanie chroniące serwer</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2. </w:t>
            </w:r>
            <w:r w:rsidRPr="006C6A53">
              <w:rPr>
                <w:rFonts w:ascii="Bookman Old Style" w:hAnsi="Bookman Old Style" w:cstheme="minorHAnsi"/>
                <w:sz w:val="20"/>
                <w:szCs w:val="20"/>
                <w:lang w:val="pl-PL"/>
              </w:rPr>
              <w:t>Oprogramowanie klienckie, zarządzane z poziomu serwera.</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System musi umożliwiać, w sposób centralnie zarządzany z konsoli na serwerze, co najmniej:</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różne ustawienia dostępu dla urządzeń: pełny dostęp, tylko do odczytu i blokowanie</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 xml:space="preserve">funkcje przyznania praw dostępu dla nośników pamięci tj. USB, CD </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 xml:space="preserve">funkcje regulowania połączeń </w:t>
            </w:r>
            <w:proofErr w:type="spellStart"/>
            <w:r w:rsidRPr="006C6A53">
              <w:rPr>
                <w:rFonts w:ascii="Bookman Old Style" w:hAnsi="Bookman Old Style" w:cstheme="minorHAnsi"/>
                <w:sz w:val="20"/>
                <w:szCs w:val="20"/>
                <w:lang w:val="pl-PL"/>
              </w:rPr>
              <w:t>WiFi</w:t>
            </w:r>
            <w:proofErr w:type="spellEnd"/>
            <w:r w:rsidRPr="006C6A53">
              <w:rPr>
                <w:rFonts w:ascii="Bookman Old Style" w:hAnsi="Bookman Old Style" w:cstheme="minorHAnsi"/>
                <w:sz w:val="20"/>
                <w:szCs w:val="20"/>
                <w:lang w:val="pl-PL"/>
              </w:rPr>
              <w:t xml:space="preserve"> i </w:t>
            </w:r>
            <w:proofErr w:type="spellStart"/>
            <w:r w:rsidRPr="006C6A53">
              <w:rPr>
                <w:rFonts w:ascii="Bookman Old Style" w:hAnsi="Bookman Old Style" w:cstheme="minorHAnsi"/>
                <w:sz w:val="20"/>
                <w:szCs w:val="20"/>
                <w:lang w:val="pl-PL"/>
              </w:rPr>
              <w:t>Bluetooth</w:t>
            </w:r>
            <w:proofErr w:type="spellEnd"/>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funkcje blokowania dostępu dowolnemu urządzeniu</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zdolność do szyfrowania zawartości USB i udostępniania go na punktach końcowych z zainstalowanym oprogramowaniem klienckim systemu</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możliwość zablokowania funkcjonalności portów USB, blokując dostęp urządzeniom innym niż klawiatura i myszka</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Monitorowanie zmian w plikach:</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Możliwość monitorowania działań związanych z obsługą plików, takich jak kopiowanie, usuwanie, przenoszenie na dyskach lokalnych, dyskach wymiennych i sieciowych.</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Funkcje monitorowania określonych rodzajów plików.</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lastRenderedPageBreak/>
              <w:t xml:space="preserve">• </w:t>
            </w:r>
            <w:r w:rsidRPr="006C6A53">
              <w:rPr>
                <w:rFonts w:ascii="Bookman Old Style" w:hAnsi="Bookman Old Style" w:cstheme="minorHAnsi"/>
                <w:sz w:val="20"/>
                <w:szCs w:val="20"/>
                <w:lang w:val="pl-PL"/>
              </w:rPr>
              <w:t>Możliwość wykluczenia określonych plików/folderów dla procedury monitorowania.</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Generator raportów do funkcjonalności monitora zmian w plikach.</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możliwość śledzenia zmian we wszystkich plikach</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możliwość śledzenia zmian w oprogramowaniu zainstalowanym na końcówkach</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możliwość definiowana własnych typów plików</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Optymalizacja systemu operacyjnego stacji klienckich:</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usuwanie tymczasowych plików, czyszczenie niepotrzebnych wpisów do rejestru oraz defragmentacji dysku</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optymalizacja w chwili startu systemu operacyjnego, przed jego całkowitym uruchomieniem</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możliwość zaplanowania optymalizacje na wskazanych stacjach klienckich</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instruktaż stanowiskowy pracowników Zamawiającego</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dokumentacja techniczna w języku polskim</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Moduł oprogramowania pozwalające na wykrywaniu oraz zarządzaniu podatnościami bezpieczeństwa - wymagania dotyczące technologii:</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1. </w:t>
            </w:r>
            <w:r w:rsidRPr="006C6A53">
              <w:rPr>
                <w:rFonts w:ascii="Bookman Old Style" w:hAnsi="Bookman Old Style" w:cstheme="minorHAnsi"/>
                <w:sz w:val="20"/>
                <w:szCs w:val="20"/>
                <w:lang w:val="pl-PL"/>
              </w:rPr>
              <w:t>Dostęp do rozwiązania realizowany jest za pomocą dedykowanego portalu zarządzającego dostępnego przez przeglądarkę internetową</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2. </w:t>
            </w:r>
            <w:r w:rsidRPr="006C6A53">
              <w:rPr>
                <w:rFonts w:ascii="Bookman Old Style" w:hAnsi="Bookman Old Style" w:cstheme="minorHAnsi"/>
                <w:sz w:val="20"/>
                <w:szCs w:val="20"/>
                <w:lang w:val="pl-PL"/>
              </w:rPr>
              <w:t>Portal zarządzający musi być dostępny w postaci usługi hostowanej na serwerach producenta.</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3. </w:t>
            </w:r>
            <w:r w:rsidRPr="006C6A53">
              <w:rPr>
                <w:rFonts w:ascii="Bookman Old Style" w:hAnsi="Bookman Old Style" w:cstheme="minorHAnsi"/>
                <w:sz w:val="20"/>
                <w:szCs w:val="20"/>
                <w:lang w:val="pl-PL"/>
              </w:rPr>
              <w:t>Dostęp do portalu zarządzającego odbywa się za pomocą wspieranych przeglądarek internetowych</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4. </w:t>
            </w:r>
            <w:r w:rsidRPr="006C6A53">
              <w:rPr>
                <w:rFonts w:ascii="Bookman Old Style" w:hAnsi="Bookman Old Style" w:cstheme="minorHAnsi"/>
                <w:sz w:val="20"/>
                <w:szCs w:val="20"/>
                <w:lang w:val="pl-PL"/>
              </w:rPr>
              <w:t xml:space="preserve">Rozwiązanie realizuje skany podatności za pomocą dedykowanych </w:t>
            </w:r>
            <w:proofErr w:type="spellStart"/>
            <w:r w:rsidRPr="006C6A53">
              <w:rPr>
                <w:rFonts w:ascii="Bookman Old Style" w:hAnsi="Bookman Old Style" w:cstheme="minorHAnsi"/>
                <w:sz w:val="20"/>
                <w:szCs w:val="20"/>
                <w:lang w:val="pl-PL"/>
              </w:rPr>
              <w:t>nodów</w:t>
            </w:r>
            <w:proofErr w:type="spellEnd"/>
            <w:r w:rsidRPr="006C6A53">
              <w:rPr>
                <w:rFonts w:ascii="Bookman Old Style" w:hAnsi="Bookman Old Style" w:cstheme="minorHAnsi"/>
                <w:sz w:val="20"/>
                <w:szCs w:val="20"/>
                <w:lang w:val="pl-PL"/>
              </w:rPr>
              <w:t xml:space="preserve"> skanujących</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5. </w:t>
            </w:r>
            <w:proofErr w:type="spellStart"/>
            <w:r w:rsidRPr="006C6A53">
              <w:rPr>
                <w:rFonts w:ascii="Bookman Old Style" w:hAnsi="Bookman Old Style" w:cstheme="minorHAnsi"/>
                <w:sz w:val="20"/>
                <w:szCs w:val="20"/>
                <w:lang w:val="pl-PL"/>
              </w:rPr>
              <w:t>Nod</w:t>
            </w:r>
            <w:proofErr w:type="spellEnd"/>
            <w:r w:rsidRPr="006C6A53">
              <w:rPr>
                <w:rFonts w:ascii="Bookman Old Style" w:hAnsi="Bookman Old Style" w:cstheme="minorHAnsi"/>
                <w:sz w:val="20"/>
                <w:szCs w:val="20"/>
                <w:lang w:val="pl-PL"/>
              </w:rPr>
              <w:t xml:space="preserve"> skanujący musi być dostępny w postaci usługi hostowanej na serwerach producenta oraz w postaci aplikacji instalowanej lokalnie</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6. Portal zarządzający musi umożliwiać:</w:t>
            </w:r>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a) </w:t>
            </w:r>
            <w:r w:rsidRPr="006C6A53">
              <w:rPr>
                <w:rFonts w:ascii="Bookman Old Style" w:hAnsi="Bookman Old Style" w:cstheme="minorHAnsi"/>
                <w:sz w:val="20"/>
                <w:szCs w:val="20"/>
                <w:lang w:val="pl-PL"/>
              </w:rPr>
              <w:t xml:space="preserve">przegląd wybranych danych na podstawie konfigurowalnych </w:t>
            </w:r>
            <w:proofErr w:type="spellStart"/>
            <w:r w:rsidRPr="006C6A53">
              <w:rPr>
                <w:rFonts w:ascii="Bookman Old Style" w:hAnsi="Bookman Old Style" w:cstheme="minorHAnsi"/>
                <w:sz w:val="20"/>
                <w:szCs w:val="20"/>
                <w:lang w:val="pl-PL"/>
              </w:rPr>
              <w:t>widgetów</w:t>
            </w:r>
            <w:proofErr w:type="spellEnd"/>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b) zablokowania możliwości zmiany konfiguracji </w:t>
            </w:r>
            <w:proofErr w:type="spellStart"/>
            <w:r w:rsidRPr="006C6A53">
              <w:rPr>
                <w:rFonts w:ascii="Bookman Old Style" w:hAnsi="Bookman Old Style" w:cstheme="minorHAnsi"/>
                <w:sz w:val="20"/>
                <w:szCs w:val="20"/>
                <w:lang w:val="pl-PL"/>
              </w:rPr>
              <w:t>widgetów</w:t>
            </w:r>
            <w:proofErr w:type="spellEnd"/>
          </w:p>
          <w:p w:rsidR="00FE3FFC" w:rsidRPr="006C6A53" w:rsidRDefault="00FE3FFC" w:rsidP="00F42DDE">
            <w:pPr>
              <w:spacing w:line="0" w:lineRule="atLeast"/>
              <w:rPr>
                <w:rFonts w:ascii="Bookman Old Style" w:hAnsi="Bookman Old Style" w:cstheme="minorHAnsi"/>
                <w:sz w:val="20"/>
                <w:szCs w:val="20"/>
                <w:lang w:val="pl-PL"/>
              </w:rPr>
            </w:pPr>
            <w:r>
              <w:rPr>
                <w:rFonts w:ascii="Bookman Old Style" w:hAnsi="Bookman Old Style" w:cstheme="minorHAnsi"/>
                <w:sz w:val="20"/>
                <w:szCs w:val="20"/>
                <w:lang w:val="pl-PL"/>
              </w:rPr>
              <w:t xml:space="preserve">c) </w:t>
            </w:r>
            <w:r w:rsidRPr="006C6A53">
              <w:rPr>
                <w:rFonts w:ascii="Bookman Old Style" w:hAnsi="Bookman Old Style" w:cstheme="minorHAnsi"/>
                <w:sz w:val="20"/>
                <w:szCs w:val="20"/>
                <w:lang w:val="pl-PL"/>
              </w:rPr>
              <w:t>zarządzanie skanami podatności (start, stop), przeglądanie listy podatności oraz tworzenie raportów.</w:t>
            </w:r>
          </w:p>
          <w:p w:rsidR="00FE3FFC" w:rsidRPr="006C6A53" w:rsidRDefault="00FE3FFC" w:rsidP="00F42DDE">
            <w:pPr>
              <w:spacing w:line="0" w:lineRule="atLeast"/>
              <w:rPr>
                <w:rFonts w:ascii="Bookman Old Style" w:hAnsi="Bookman Old Style" w:cstheme="minorHAnsi"/>
                <w:sz w:val="20"/>
                <w:szCs w:val="20"/>
                <w:lang w:val="pl-PL"/>
              </w:rPr>
            </w:pPr>
            <w:r w:rsidRPr="006C6A53">
              <w:rPr>
                <w:rFonts w:ascii="Bookman Old Style" w:hAnsi="Bookman Old Style" w:cstheme="minorHAnsi"/>
                <w:sz w:val="20"/>
                <w:szCs w:val="20"/>
                <w:lang w:val="pl-PL"/>
              </w:rPr>
              <w:t>d) tworzenie grup skanów z odpowiednią konfiguracją poszczególnych skanów podatności</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e) eksport wszystkich skanów podatności do pliku CSV </w:t>
            </w:r>
          </w:p>
          <w:p w:rsidR="00FE3FFC" w:rsidRPr="006C6A53" w:rsidRDefault="00FE3FFC" w:rsidP="00F42DDE">
            <w:pPr>
              <w:jc w:val="both"/>
              <w:rPr>
                <w:rFonts w:ascii="Bookman Old Style" w:hAnsi="Bookman Old Style" w:cstheme="minorHAnsi"/>
                <w:sz w:val="20"/>
                <w:szCs w:val="20"/>
                <w:lang w:val="pl-PL"/>
              </w:rPr>
            </w:pP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Backup i przywracanie danych (licencja wieczysta) </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lastRenderedPageBreak/>
              <w:t xml:space="preserve">- </w:t>
            </w:r>
            <w:proofErr w:type="spellStart"/>
            <w:r w:rsidRPr="006C6A53">
              <w:rPr>
                <w:rFonts w:ascii="Bookman Old Style" w:hAnsi="Bookman Old Style" w:cstheme="minorHAnsi"/>
                <w:sz w:val="20"/>
                <w:szCs w:val="20"/>
                <w:lang w:val="pl-PL"/>
              </w:rPr>
              <w:t>Deduplikacja</w:t>
            </w:r>
            <w:proofErr w:type="spellEnd"/>
            <w:r w:rsidRPr="006C6A53">
              <w:rPr>
                <w:rFonts w:ascii="Bookman Old Style" w:hAnsi="Bookman Old Style" w:cstheme="minorHAnsi"/>
                <w:sz w:val="20"/>
                <w:szCs w:val="20"/>
                <w:lang w:val="pl-PL"/>
              </w:rPr>
              <w:t xml:space="preserve"> danych na źródle,</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Backup przyrostowy i różnicowy,</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Wersjonowanie plików – możliwość zdefiniowania dowolnej ilości wersji,</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Backup danych lokalnych – plikowy oraz poczty Outlook,</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Backup otwartych plików (VSS),</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Filtr plików oraz folderów,</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 xml:space="preserve">Domyślne wykluczenia zbędnych plików (pliki tymczasowe etc.), </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Wyłączanie komputera po wykonaniu backupu,</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Przywracanie danych do wskazanej lokalizacji,</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Możliwość backup-u z wykorzystaniem dowolnej ilości rdzeni procesora,</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Wyszukiwanie plików w repozytorium użytkownika,</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Ustawienia</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Automatyczne logowanie,</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Zapamiętywanie danych logowania,</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Automatyczne uruchamianie programu przy starcie systemu,</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Ustawianie priorytetu dla procesu backupu,</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Zmiana klucza szyfrującego,</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Ustawienia przepustowości/zajętości pasma,</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Konfiguracja wydajności procesu backupu,</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Bezpieczeństwo</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Zastępowanie nazwy pliku GUID-em,</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Szyfrowanie danych algorytmem AES 256 CBC, zawsze po stronie komputera użytkownika,</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Kompresja danych,</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Transmisja po bezpiecznym protokole TLS,</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Deklaracja klucza szyfrującego dane użytkownika,</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 xml:space="preserve">Szczegółowy dziennik zdarzeń dostępny z poziomu aplikacji, </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Obliczanie sumy kontrolnej,</w:t>
            </w:r>
          </w:p>
          <w:p w:rsidR="00FE3FFC" w:rsidRPr="006C6A53" w:rsidRDefault="00FE3FFC" w:rsidP="00F42DDE">
            <w:pPr>
              <w:jc w:val="both"/>
              <w:rPr>
                <w:rFonts w:ascii="Bookman Old Style" w:hAnsi="Bookman Old Style" w:cstheme="minorHAnsi"/>
                <w:sz w:val="20"/>
                <w:szCs w:val="20"/>
                <w:lang w:val="pl-PL"/>
              </w:rPr>
            </w:pP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 xml:space="preserve">Kopie zapasowe są przechowywane w profesjonalnych, certyfikowanych data center, na terenie Polski. </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WSPIERANE SYSTEMY OPERACYJNE  Microsoft Windows 10 i nowsze, Mac OS,</w:t>
            </w:r>
            <w:r>
              <w:rPr>
                <w:rFonts w:ascii="Bookman Old Style" w:hAnsi="Bookman Old Style" w:cstheme="minorHAnsi"/>
                <w:sz w:val="20"/>
                <w:szCs w:val="20"/>
                <w:lang w:val="pl-PL"/>
              </w:rPr>
              <w:t xml:space="preserve"> </w:t>
            </w:r>
            <w:r w:rsidRPr="006C6A53">
              <w:rPr>
                <w:rFonts w:ascii="Bookman Old Style" w:hAnsi="Bookman Old Style" w:cstheme="minorHAnsi"/>
                <w:sz w:val="20"/>
                <w:szCs w:val="20"/>
                <w:lang w:val="pl-PL"/>
              </w:rPr>
              <w:t>Licencje przypisywane do jednego urządzenia z limitem pojemności przestrzeni w chmurze – minimum 50 GB. Wsparcie techniczne, świadczone w języku polskim, zawarte jest w cenie licencji.</w:t>
            </w:r>
          </w:p>
        </w:tc>
        <w:tc>
          <w:tcPr>
            <w:tcW w:w="4482" w:type="dxa"/>
          </w:tcPr>
          <w:p w:rsidR="00FE3FFC" w:rsidRPr="006C6A53" w:rsidRDefault="00FE3FFC" w:rsidP="00F42DDE">
            <w:pPr>
              <w:spacing w:line="0" w:lineRule="atLeast"/>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lastRenderedPageBreak/>
              <w:t>Diagnostyka</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System diagnostyczny z graficznym interfejsem użytkownika dostępny z poziomu BIOS lub z poziomu menu </w:t>
            </w:r>
            <w:proofErr w:type="spellStart"/>
            <w:r w:rsidRPr="006C6A53">
              <w:rPr>
                <w:rFonts w:ascii="Bookman Old Style" w:hAnsi="Bookman Old Style" w:cstheme="minorHAnsi"/>
                <w:sz w:val="20"/>
                <w:szCs w:val="20"/>
                <w:lang w:val="pl-PL"/>
              </w:rPr>
              <w:t>boot</w:t>
            </w:r>
            <w:proofErr w:type="spellEnd"/>
            <w:r w:rsidRPr="006C6A53">
              <w:rPr>
                <w:rFonts w:ascii="Bookman Old Style" w:hAnsi="Bookman Old Style" w:cstheme="minorHAnsi"/>
                <w:sz w:val="20"/>
                <w:szCs w:val="20"/>
                <w:lang w:val="pl-PL"/>
              </w:rPr>
              <w:t xml:space="preserve">, umożliwiający przetestowanie  komponentów komputera. Pełna funkcjonalność systemu diagnostycznego musi być realizowana bez użycia : dostępu do sieci i </w:t>
            </w:r>
            <w:proofErr w:type="spellStart"/>
            <w:r w:rsidRPr="006C6A53">
              <w:rPr>
                <w:rFonts w:ascii="Bookman Old Style" w:hAnsi="Bookman Old Style" w:cstheme="minorHAnsi"/>
                <w:sz w:val="20"/>
                <w:szCs w:val="20"/>
                <w:lang w:val="pl-PL"/>
              </w:rPr>
              <w:t>internetu</w:t>
            </w:r>
            <w:proofErr w:type="spellEnd"/>
            <w:r w:rsidRPr="006C6A53">
              <w:rPr>
                <w:rFonts w:ascii="Bookman Old Style" w:hAnsi="Bookman Old Style" w:cstheme="minorHAnsi"/>
                <w:sz w:val="20"/>
                <w:szCs w:val="20"/>
                <w:lang w:val="pl-PL"/>
              </w:rPr>
              <w:t>, dysku twardego również w przypadku jego braku, urządzeń zewnętrznych i wewnętrz</w:t>
            </w:r>
            <w:r>
              <w:rPr>
                <w:rFonts w:ascii="Bookman Old Style" w:hAnsi="Bookman Old Style" w:cstheme="minorHAnsi"/>
                <w:sz w:val="20"/>
                <w:szCs w:val="20"/>
                <w:lang w:val="pl-PL"/>
              </w:rPr>
              <w:t xml:space="preserve">nych typu : pamięć </w:t>
            </w:r>
            <w:proofErr w:type="spellStart"/>
            <w:r>
              <w:rPr>
                <w:rFonts w:ascii="Bookman Old Style" w:hAnsi="Bookman Old Style" w:cstheme="minorHAnsi"/>
                <w:sz w:val="20"/>
                <w:szCs w:val="20"/>
                <w:lang w:val="pl-PL"/>
              </w:rPr>
              <w:t>flash</w:t>
            </w:r>
            <w:proofErr w:type="spellEnd"/>
            <w:r>
              <w:rPr>
                <w:rFonts w:ascii="Bookman Old Style" w:hAnsi="Bookman Old Style" w:cstheme="minorHAnsi"/>
                <w:sz w:val="20"/>
                <w:szCs w:val="20"/>
                <w:lang w:val="pl-PL"/>
              </w:rPr>
              <w:t xml:space="preserve">, USB </w:t>
            </w:r>
            <w:proofErr w:type="spellStart"/>
            <w:r>
              <w:rPr>
                <w:rFonts w:ascii="Bookman Old Style" w:hAnsi="Bookman Old Style" w:cstheme="minorHAnsi"/>
                <w:sz w:val="20"/>
                <w:szCs w:val="20"/>
                <w:lang w:val="pl-PL"/>
              </w:rPr>
              <w:t>pendrive</w:t>
            </w:r>
            <w:proofErr w:type="spellEnd"/>
            <w:r>
              <w:rPr>
                <w:rFonts w:ascii="Bookman Old Style" w:hAnsi="Bookman Old Style" w:cstheme="minorHAnsi"/>
                <w:sz w:val="20"/>
                <w:szCs w:val="20"/>
                <w:lang w:val="pl-PL"/>
              </w:rPr>
              <w:t>,</w:t>
            </w:r>
            <w:r w:rsidRPr="006C6A53">
              <w:rPr>
                <w:rFonts w:ascii="Bookman Old Style" w:hAnsi="Bookman Old Style" w:cstheme="minorHAnsi"/>
                <w:sz w:val="20"/>
                <w:szCs w:val="20"/>
                <w:lang w:val="pl-PL"/>
              </w:rPr>
              <w:t xml:space="preserve"> itp.</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lastRenderedPageBreak/>
              <w:t>Bezpieczeństwo</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EC1716" w:rsidTr="00FE3FFC">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System operacyjny – w formularzu oferty należy podać pełną nazwę oferowanego oprogramowania</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bdr w:val="none" w:sz="0" w:space="0" w:color="auto" w:frame="1"/>
                <w:lang w:val="pl-PL"/>
              </w:rPr>
              <w:t>Zainstalowany system operacyjny Windows 11 Home</w:t>
            </w:r>
            <w:r>
              <w:rPr>
                <w:rFonts w:ascii="Bookman Old Style" w:hAnsi="Bookman Old Style" w:cstheme="minorHAnsi"/>
                <w:sz w:val="20"/>
                <w:szCs w:val="20"/>
                <w:bdr w:val="none" w:sz="0" w:space="0" w:color="auto" w:frame="1"/>
                <w:lang w:val="pl-PL"/>
              </w:rPr>
              <w:t xml:space="preserve"> z możliwością wyboru języka polskiego</w:t>
            </w:r>
            <w:r w:rsidRPr="006C6A53">
              <w:rPr>
                <w:rFonts w:ascii="Bookman Old Style" w:hAnsi="Bookman Old Style" w:cstheme="minorHAnsi"/>
                <w:sz w:val="20"/>
                <w:szCs w:val="20"/>
                <w:bdr w:val="none" w:sz="0" w:space="0" w:color="auto" w:frame="1"/>
                <w:lang w:val="pl-PL"/>
              </w:rPr>
              <w:t xml:space="preserve">, musi umożliwiać instalację systemu operacyjnego bez potrzeby ręcznego wpisywania klucza licencyjnego. </w:t>
            </w:r>
          </w:p>
        </w:tc>
        <w:tc>
          <w:tcPr>
            <w:tcW w:w="4482" w:type="dxa"/>
          </w:tcPr>
          <w:p w:rsidR="00FE3FFC" w:rsidRPr="006C6A53" w:rsidRDefault="00FE3FFC" w:rsidP="00F42DDE">
            <w:pPr>
              <w:jc w:val="both"/>
              <w:rPr>
                <w:rFonts w:ascii="Bookman Old Style" w:hAnsi="Bookman Old Style" w:cstheme="minorHAnsi"/>
                <w:sz w:val="20"/>
                <w:szCs w:val="20"/>
                <w:bdr w:val="none" w:sz="0" w:space="0" w:color="auto" w:frame="1"/>
                <w:lang w:val="pl-PL"/>
              </w:rPr>
            </w:pPr>
          </w:p>
        </w:tc>
      </w:tr>
      <w:tr w:rsidR="00FE3FFC" w:rsidRPr="00EC1716" w:rsidTr="00FE3FFC">
        <w:trPr>
          <w:trHeight w:val="699"/>
        </w:trPr>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Porty i złącza</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Wbudowane porty i złącza: </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1x HDMI 1.4</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1x RJ-45, </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3x USB w tym min. 2x USB 3.2,</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port zasilan</w:t>
            </w:r>
            <w:r>
              <w:rPr>
                <w:rFonts w:ascii="Bookman Old Style" w:hAnsi="Bookman Old Style" w:cstheme="minorHAnsi"/>
                <w:sz w:val="20"/>
                <w:szCs w:val="20"/>
                <w:lang w:val="pl-PL"/>
              </w:rPr>
              <w:t>ia, złącze linki zabezpieczającej</w:t>
            </w:r>
            <w:r w:rsidRPr="006C6A53">
              <w:rPr>
                <w:rFonts w:ascii="Bookman Old Style" w:hAnsi="Bookman Old Style" w:cstheme="minorHAnsi"/>
                <w:sz w:val="20"/>
                <w:szCs w:val="20"/>
                <w:lang w:val="pl-PL"/>
              </w:rPr>
              <w:t>.</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r w:rsidR="00FE3FFC" w:rsidRPr="00EC1716" w:rsidTr="00FE3FFC">
        <w:trPr>
          <w:trHeight w:val="620"/>
        </w:trPr>
        <w:tc>
          <w:tcPr>
            <w:tcW w:w="1880" w:type="dxa"/>
            <w:shd w:val="clear" w:color="auto" w:fill="auto"/>
          </w:tcPr>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Warunki gwarancyjne, wsparcie techniczne</w:t>
            </w:r>
          </w:p>
        </w:tc>
        <w:tc>
          <w:tcPr>
            <w:tcW w:w="5120" w:type="dxa"/>
            <w:shd w:val="clear" w:color="auto" w:fill="auto"/>
          </w:tcPr>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 xml:space="preserve">Dedykowany portal techniczny producenta, umożliwiający Zamawiającemu zgłaszanie awarii oraz samodzielne zamawianie zamiennych komponentów. </w:t>
            </w:r>
          </w:p>
          <w:p w:rsidR="00FE3FFC" w:rsidRPr="006C6A53" w:rsidRDefault="00FE3FFC" w:rsidP="00F42DDE">
            <w:pPr>
              <w:rPr>
                <w:rFonts w:ascii="Bookman Old Style" w:hAnsi="Bookman Old Style" w:cstheme="minorHAnsi"/>
                <w:sz w:val="20"/>
                <w:szCs w:val="20"/>
                <w:lang w:val="pl-PL"/>
              </w:rPr>
            </w:pPr>
            <w:r>
              <w:rPr>
                <w:rFonts w:ascii="Bookman Old Style" w:hAnsi="Bookman Old Style" w:cstheme="minorHAnsi"/>
                <w:sz w:val="20"/>
                <w:szCs w:val="20"/>
                <w:lang w:val="pl-PL"/>
              </w:rPr>
              <w:t xml:space="preserve">Min. </w:t>
            </w:r>
            <w:bookmarkStart w:id="0" w:name="_GoBack"/>
            <w:bookmarkEnd w:id="0"/>
            <w:r>
              <w:rPr>
                <w:rFonts w:ascii="Bookman Old Style" w:hAnsi="Bookman Old Style" w:cstheme="minorHAnsi"/>
                <w:sz w:val="20"/>
                <w:szCs w:val="20"/>
                <w:lang w:val="pl-PL"/>
              </w:rPr>
              <w:t>3</w:t>
            </w:r>
            <w:r w:rsidRPr="006C6A53">
              <w:rPr>
                <w:rFonts w:ascii="Bookman Old Style" w:hAnsi="Bookman Old Style" w:cstheme="minorHAnsi"/>
                <w:sz w:val="20"/>
                <w:szCs w:val="20"/>
                <w:lang w:val="pl-PL"/>
              </w:rPr>
              <w:t>-letnia gwarancja, czas reakcji serwisu do końca następnego dnia roboczego. Gwarancja musi oferować przez cały okres :</w:t>
            </w:r>
          </w:p>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 opiekę kierownika technicznego ds. Eskalacji</w:t>
            </w:r>
          </w:p>
          <w:p w:rsidR="00FE3FFC" w:rsidRPr="006C6A53" w:rsidRDefault="00FE3FFC" w:rsidP="00F42DDE">
            <w:pPr>
              <w:rPr>
                <w:rFonts w:ascii="Bookman Old Style" w:hAnsi="Bookman Old Style" w:cstheme="minorHAnsi"/>
                <w:sz w:val="20"/>
                <w:szCs w:val="20"/>
                <w:lang w:val="pl-PL"/>
              </w:rPr>
            </w:pPr>
            <w:r w:rsidRPr="006C6A53">
              <w:rPr>
                <w:rFonts w:ascii="Bookman Old Style" w:hAnsi="Bookman Old Style" w:cstheme="minorHAnsi"/>
                <w:sz w:val="20"/>
                <w:szCs w:val="20"/>
                <w:lang w:val="pl-PL"/>
              </w:rPr>
              <w:t>- dostępność wsparcia technicznego przez 24 godziny 7 dni w tygodniu przez cały rok (w języku polskim w dni robocze)</w:t>
            </w:r>
          </w:p>
          <w:p w:rsidR="00FE3FFC" w:rsidRPr="006C6A53" w:rsidRDefault="00FE3FFC" w:rsidP="00F42DDE">
            <w:pPr>
              <w:jc w:val="both"/>
              <w:rPr>
                <w:rFonts w:ascii="Bookman Old Style" w:hAnsi="Bookman Old Style" w:cstheme="minorHAnsi"/>
                <w:sz w:val="20"/>
                <w:szCs w:val="20"/>
                <w:lang w:val="pl-PL"/>
              </w:rPr>
            </w:pPr>
            <w:r w:rsidRPr="006C6A53">
              <w:rPr>
                <w:rFonts w:ascii="Bookman Old Style" w:hAnsi="Bookman Old Style" w:cstheme="minorHAnsi"/>
                <w:sz w:val="20"/>
                <w:szCs w:val="20"/>
                <w:lang w:val="pl-PL"/>
              </w:rPr>
              <w:t>Firma serwisująca musi posiadać ISO 9001:2000 na świadczenie usług serwisowych oraz posiadać autoryzacje producenta komputera.</w:t>
            </w:r>
          </w:p>
        </w:tc>
        <w:tc>
          <w:tcPr>
            <w:tcW w:w="4482" w:type="dxa"/>
          </w:tcPr>
          <w:p w:rsidR="00FE3FFC" w:rsidRPr="006C6A53" w:rsidRDefault="00FE3FFC" w:rsidP="00F42DDE">
            <w:pPr>
              <w:jc w:val="both"/>
              <w:rPr>
                <w:rFonts w:ascii="Bookman Old Style" w:hAnsi="Bookman Old Style" w:cstheme="minorHAnsi"/>
                <w:sz w:val="20"/>
                <w:szCs w:val="20"/>
                <w:lang w:val="pl-PL"/>
              </w:rPr>
            </w:pPr>
          </w:p>
        </w:tc>
      </w:tr>
    </w:tbl>
    <w:p w:rsidR="001C381E" w:rsidRPr="00295DF3" w:rsidRDefault="001C381E">
      <w:pPr>
        <w:rPr>
          <w:lang w:val="pl-PL"/>
        </w:rPr>
      </w:pPr>
    </w:p>
    <w:sectPr w:rsidR="001C381E" w:rsidRPr="00295DF3" w:rsidSect="001C381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33" w:rsidRDefault="00967633" w:rsidP="00600166">
      <w:pPr>
        <w:spacing w:after="0" w:line="240" w:lineRule="auto"/>
      </w:pPr>
      <w:r>
        <w:separator/>
      </w:r>
    </w:p>
  </w:endnote>
  <w:endnote w:type="continuationSeparator" w:id="0">
    <w:p w:rsidR="00967633" w:rsidRDefault="00967633" w:rsidP="00600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33" w:rsidRDefault="00967633" w:rsidP="00600166">
      <w:pPr>
        <w:spacing w:after="0" w:line="240" w:lineRule="auto"/>
      </w:pPr>
      <w:r>
        <w:separator/>
      </w:r>
    </w:p>
  </w:footnote>
  <w:footnote w:type="continuationSeparator" w:id="0">
    <w:p w:rsidR="00967633" w:rsidRDefault="00967633" w:rsidP="00600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66" w:rsidRDefault="00600166">
    <w:pPr>
      <w:pStyle w:val="Nagwek"/>
    </w:pPr>
    <w:r>
      <w:rPr>
        <w:b/>
        <w:noProof/>
        <w:sz w:val="32"/>
        <w:lang w:val="pl-PL" w:eastAsia="pl-PL"/>
      </w:rPr>
      <w:drawing>
        <wp:inline distT="0" distB="0" distL="0" distR="0">
          <wp:extent cx="5572760" cy="577850"/>
          <wp:effectExtent l="1905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72760" cy="577850"/>
                  </a:xfrm>
                  <a:prstGeom prst="rect">
                    <a:avLst/>
                  </a:prstGeom>
                  <a:noFill/>
                  <a:ln w="9525">
                    <a:noFill/>
                    <a:miter lim="800000"/>
                    <a:headEnd/>
                    <a:tailEnd/>
                  </a:ln>
                </pic:spPr>
              </pic:pic>
            </a:graphicData>
          </a:graphic>
        </wp:inline>
      </w:drawing>
    </w:r>
  </w:p>
  <w:p w:rsidR="00EC1716" w:rsidRDefault="00EC1716">
    <w:pPr>
      <w:pStyle w:val="Nagwek"/>
      <w:rPr>
        <w:rFonts w:cs="Calibri"/>
        <w:sz w:val="18"/>
        <w:szCs w:val="18"/>
        <w:lang w:val="pl-PL"/>
      </w:rPr>
    </w:pPr>
  </w:p>
  <w:p w:rsidR="00EC1716" w:rsidRDefault="00EC1716">
    <w:pPr>
      <w:pStyle w:val="Nagwek"/>
      <w:rPr>
        <w:rFonts w:cs="Calibri"/>
        <w:sz w:val="18"/>
        <w:szCs w:val="18"/>
        <w:lang w:val="pl-PL"/>
      </w:rPr>
    </w:pPr>
    <w:r w:rsidRPr="00EC1716">
      <w:rPr>
        <w:rFonts w:cs="Calibri"/>
        <w:sz w:val="18"/>
        <w:szCs w:val="18"/>
        <w:lang w:val="pl-PL"/>
      </w:rPr>
      <w:t>Numer postępowania: IT.271.1.2022.TZ</w:t>
    </w:r>
    <w:r w:rsidRPr="00EC1716">
      <w:rPr>
        <w:rFonts w:cs="Calibri"/>
        <w:sz w:val="18"/>
        <w:szCs w:val="18"/>
        <w:lang w:val="pl-PL"/>
      </w:rPr>
      <w:tab/>
    </w:r>
    <w:r w:rsidRPr="00EC1716">
      <w:rPr>
        <w:rFonts w:cs="Calibri"/>
        <w:sz w:val="18"/>
        <w:szCs w:val="18"/>
        <w:lang w:val="pl-PL"/>
      </w:rPr>
      <w:tab/>
      <w:t>Załącznik nr 7 do SIWZ</w:t>
    </w:r>
  </w:p>
  <w:p w:rsidR="00EC1716" w:rsidRPr="00EC1716" w:rsidRDefault="00EC1716">
    <w:pPr>
      <w:pStyle w:val="Nagwek"/>
      <w:rPr>
        <w:sz w:val="18"/>
        <w:szCs w:val="18"/>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295DF3"/>
    <w:rsid w:val="0015743C"/>
    <w:rsid w:val="001C381E"/>
    <w:rsid w:val="00295DF3"/>
    <w:rsid w:val="003C77EB"/>
    <w:rsid w:val="00600166"/>
    <w:rsid w:val="0062594B"/>
    <w:rsid w:val="008B1EEA"/>
    <w:rsid w:val="00967633"/>
    <w:rsid w:val="009F1CF6"/>
    <w:rsid w:val="00B02CEB"/>
    <w:rsid w:val="00B74618"/>
    <w:rsid w:val="00D95B7B"/>
    <w:rsid w:val="00EC1716"/>
    <w:rsid w:val="00FE3F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DF3"/>
    <w:rPr>
      <w:lang w:val="en-US"/>
    </w:rPr>
  </w:style>
  <w:style w:type="paragraph" w:styleId="Nagwek3">
    <w:name w:val="heading 3"/>
    <w:basedOn w:val="Normalny"/>
    <w:next w:val="Normalny"/>
    <w:link w:val="Nagwek3Znak"/>
    <w:uiPriority w:val="9"/>
    <w:unhideWhenUsed/>
    <w:qFormat/>
    <w:rsid w:val="00295D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95DF3"/>
    <w:rPr>
      <w:rFonts w:asciiTheme="majorHAnsi" w:eastAsiaTheme="majorEastAsia" w:hAnsiTheme="majorHAnsi" w:cstheme="majorBidi"/>
      <w:color w:val="243F60" w:themeColor="accent1" w:themeShade="7F"/>
      <w:sz w:val="24"/>
      <w:szCs w:val="24"/>
      <w:lang w:val="en-US"/>
    </w:rPr>
  </w:style>
  <w:style w:type="table" w:styleId="Tabela-Siatka">
    <w:name w:val="Table Grid"/>
    <w:basedOn w:val="Standardowy"/>
    <w:uiPriority w:val="59"/>
    <w:rsid w:val="00295DF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5DF3"/>
    <w:pPr>
      <w:autoSpaceDE w:val="0"/>
      <w:autoSpaceDN w:val="0"/>
      <w:adjustRightInd w:val="0"/>
      <w:spacing w:after="0" w:line="240" w:lineRule="auto"/>
    </w:pPr>
    <w:rPr>
      <w:rFonts w:ascii="Calibri" w:hAnsi="Calibri" w:cs="Calibri"/>
      <w:color w:val="000000"/>
      <w:sz w:val="24"/>
      <w:szCs w:val="24"/>
      <w:lang w:val="en-US"/>
    </w:rPr>
  </w:style>
  <w:style w:type="paragraph" w:styleId="Nagwek">
    <w:name w:val="header"/>
    <w:basedOn w:val="Normalny"/>
    <w:link w:val="NagwekZnak"/>
    <w:uiPriority w:val="99"/>
    <w:semiHidden/>
    <w:unhideWhenUsed/>
    <w:rsid w:val="006001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00166"/>
    <w:rPr>
      <w:lang w:val="en-US"/>
    </w:rPr>
  </w:style>
  <w:style w:type="paragraph" w:styleId="Stopka">
    <w:name w:val="footer"/>
    <w:basedOn w:val="Normalny"/>
    <w:link w:val="StopkaZnak"/>
    <w:uiPriority w:val="99"/>
    <w:semiHidden/>
    <w:unhideWhenUsed/>
    <w:rsid w:val="0060016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00166"/>
    <w:rPr>
      <w:lang w:val="en-US"/>
    </w:rPr>
  </w:style>
  <w:style w:type="paragraph" w:styleId="Tekstdymka">
    <w:name w:val="Balloon Text"/>
    <w:basedOn w:val="Normalny"/>
    <w:link w:val="TekstdymkaZnak"/>
    <w:uiPriority w:val="99"/>
    <w:semiHidden/>
    <w:unhideWhenUsed/>
    <w:rsid w:val="006001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6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1710</Words>
  <Characters>10260</Characters>
  <Application>Microsoft Office Word</Application>
  <DocSecurity>0</DocSecurity>
  <Lines>85</Lines>
  <Paragraphs>23</Paragraphs>
  <ScaleCrop>false</ScaleCrop>
  <Company>Ministrerstwo Edukacji Narodowej</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H.Rypinski</dc:creator>
  <cp:lastModifiedBy>H.Rypinski</cp:lastModifiedBy>
  <cp:revision>7</cp:revision>
  <dcterms:created xsi:type="dcterms:W3CDTF">2022-06-04T16:14:00Z</dcterms:created>
  <dcterms:modified xsi:type="dcterms:W3CDTF">2022-06-07T11:38:00Z</dcterms:modified>
</cp:coreProperties>
</file>