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5B0097E9" w:rsidR="00F21DA6" w:rsidRPr="00864F23" w:rsidRDefault="00701425">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 xml:space="preserve">zwan-ą/ym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działając-ą/ym osobiście/któr-ą/ego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r w:rsidRPr="00864F23">
        <w:rPr>
          <w:rFonts w:ascii="Calibri" w:hAnsi="Calibri" w:cs="Calibri"/>
        </w:rPr>
        <w:t>zwan-ą/ym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0664C8AA" w:rsidR="000C0210" w:rsidRPr="00041196" w:rsidRDefault="0058701C" w:rsidP="00041196">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r w:rsidRPr="00864F23">
        <w:rPr>
          <w:rFonts w:ascii="Calibri" w:hAnsi="Calibri" w:cs="Calibri"/>
        </w:rPr>
        <w:t xml:space="preserve">Pzp”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552089" w:rsidRPr="00552089">
        <w:rPr>
          <w:rFonts w:ascii="Calibri" w:hAnsi="Calibri" w:cs="Calibri"/>
          <w:i/>
          <w:iCs/>
          <w:lang w:val="pl-PL"/>
        </w:rPr>
        <w:t>Budowa ul. Wiosennej i ul. Pogodnej w Komornikach - poprawa bezpieczeństwa komunikacyjnego na terenie gminy</w:t>
      </w:r>
      <w:r w:rsidR="00A10025" w:rsidRPr="00552089">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0A31B76" w14:textId="637B607F" w:rsidR="002C7C84" w:rsidRPr="00041196" w:rsidRDefault="002C7C84" w:rsidP="007C2722">
      <w:pPr>
        <w:numPr>
          <w:ilvl w:val="0"/>
          <w:numId w:val="35"/>
        </w:numPr>
        <w:autoSpaceDE w:val="0"/>
        <w:autoSpaceDN w:val="0"/>
        <w:adjustRightInd w:val="0"/>
        <w:ind w:left="426" w:hanging="426"/>
        <w:jc w:val="both"/>
        <w:rPr>
          <w:rFonts w:ascii="Calibri" w:hAnsi="Calibri" w:cs="Calibri"/>
          <w:i/>
          <w:iCs/>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 </w:t>
      </w:r>
      <w:r w:rsidR="007C74FE" w:rsidRPr="007C74FE">
        <w:rPr>
          <w:rFonts w:ascii="Calibri" w:hAnsi="Calibri" w:cs="Calibri"/>
        </w:rPr>
        <w:t>budowę</w:t>
      </w:r>
      <w:r w:rsidR="00771A25" w:rsidRPr="00771A25">
        <w:rPr>
          <w:rFonts w:ascii="Calibri" w:hAnsi="Calibri" w:cs="Calibri"/>
        </w:rPr>
        <w:t xml:space="preserve"> ul. </w:t>
      </w:r>
      <w:r w:rsidR="00D00125">
        <w:rPr>
          <w:rFonts w:ascii="Calibri" w:hAnsi="Calibri" w:cs="Calibri"/>
        </w:rPr>
        <w:t>Wiosennej i ulicy Pogodnej</w:t>
      </w:r>
      <w:r w:rsidR="00771A25" w:rsidRPr="00771A25">
        <w:rPr>
          <w:rFonts w:ascii="Calibri" w:hAnsi="Calibri" w:cs="Calibri"/>
        </w:rPr>
        <w:t xml:space="preserve"> w </w:t>
      </w:r>
      <w:r w:rsidR="00D00125">
        <w:rPr>
          <w:rFonts w:ascii="Calibri" w:hAnsi="Calibri" w:cs="Calibri"/>
        </w:rPr>
        <w:t>Komorni</w:t>
      </w:r>
      <w:r w:rsidR="00771A25" w:rsidRPr="00771A25">
        <w:rPr>
          <w:rFonts w:ascii="Calibri" w:hAnsi="Calibri" w:cs="Calibri"/>
        </w:rPr>
        <w:t>kach.</w:t>
      </w:r>
    </w:p>
    <w:p w14:paraId="0C61207D" w14:textId="77777777" w:rsidR="002C7C84" w:rsidRPr="00F75847"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w:t>
      </w:r>
      <w:r>
        <w:rPr>
          <w:rFonts w:ascii="Calibri" w:hAnsi="Calibri" w:cs="Calibri"/>
        </w:rPr>
        <w:t xml:space="preserve">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lastRenderedPageBreak/>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7ECD9C58"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BD42C4">
        <w:rPr>
          <w:rFonts w:ascii="Calibri" w:hAnsi="Calibri" w:cs="Calibri"/>
          <w:b/>
        </w:rPr>
        <w:t xml:space="preserve">do </w:t>
      </w:r>
      <w:r w:rsidRPr="00F175BD">
        <w:rPr>
          <w:rFonts w:ascii="Calibri" w:hAnsi="Calibri" w:cs="Calibri"/>
          <w:b/>
        </w:rPr>
        <w:t>1</w:t>
      </w:r>
      <w:r w:rsidR="00BA69C2">
        <w:rPr>
          <w:rFonts w:ascii="Calibri" w:hAnsi="Calibri" w:cs="Calibri"/>
          <w:b/>
        </w:rPr>
        <w:t>2</w:t>
      </w:r>
      <w:r w:rsidRPr="00F175BD">
        <w:rPr>
          <w:rFonts w:ascii="Calibri" w:hAnsi="Calibri" w:cs="Calibri"/>
          <w:b/>
        </w:rPr>
        <w:t xml:space="preserve"> miesięcy od podpisania umowy</w:t>
      </w:r>
      <w:r>
        <w:rPr>
          <w:rFonts w:ascii="Calibri" w:hAnsi="Calibri" w:cs="Calibri"/>
          <w:b/>
        </w:rPr>
        <w:t xml:space="preserve">, </w:t>
      </w:r>
      <w:r w:rsidRPr="004D1123">
        <w:rPr>
          <w:rFonts w:ascii="Calibri" w:hAnsi="Calibri" w:cs="Calibri"/>
          <w:b/>
        </w:rPr>
        <w:t>tj do ……….. roku</w:t>
      </w:r>
      <w:r w:rsidRPr="004D1123">
        <w:rPr>
          <w:rFonts w:ascii="Calibri" w:hAnsi="Calibri" w:cs="Calibri"/>
          <w:bCs/>
        </w:rPr>
        <w:t>,</w:t>
      </w:r>
      <w:r w:rsidRPr="00F175BD">
        <w:rPr>
          <w:rFonts w:ascii="Calibri" w:hAnsi="Calibri" w:cs="Calibri"/>
          <w:bCs/>
        </w:rPr>
        <w:t xml:space="preserve"> w tym:</w:t>
      </w:r>
    </w:p>
    <w:p w14:paraId="025D5B30" w14:textId="6F554FD7"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BD42C4">
        <w:rPr>
          <w:rFonts w:ascii="Calibri" w:hAnsi="Calibri" w:cs="Calibri"/>
          <w:bCs/>
        </w:rPr>
        <w:t xml:space="preserve">do </w:t>
      </w:r>
      <w:r w:rsidR="007C74FE">
        <w:rPr>
          <w:rFonts w:ascii="Calibri" w:hAnsi="Calibri" w:cs="Calibri"/>
          <w:bCs/>
        </w:rPr>
        <w:t>1</w:t>
      </w:r>
      <w:r w:rsidR="00BA69C2">
        <w:rPr>
          <w:rFonts w:ascii="Calibri" w:hAnsi="Calibri" w:cs="Calibri"/>
          <w:bCs/>
        </w:rPr>
        <w:t>1</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49E09F1A"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BD42C4">
        <w:rPr>
          <w:rFonts w:ascii="Calibri" w:hAnsi="Calibri" w:cs="Calibri"/>
          <w:bCs/>
        </w:rPr>
        <w:t xml:space="preserve">do </w:t>
      </w:r>
      <w:r w:rsidRPr="00F175BD">
        <w:rPr>
          <w:rFonts w:ascii="Calibri" w:hAnsi="Calibri" w:cs="Calibri"/>
          <w:bCs/>
        </w:rPr>
        <w:t>1</w:t>
      </w:r>
      <w:r w:rsidR="00BA69C2">
        <w:rPr>
          <w:rFonts w:ascii="Calibri" w:hAnsi="Calibri" w:cs="Calibri"/>
          <w:bCs/>
        </w:rPr>
        <w:t>2</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lastRenderedPageBreak/>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7777777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t xml:space="preserve">Wykonawca jest zobowiązany przedłożyć Zamawiającemu do zaopiniowania lub zatwierdzenia projekt tymczasowej organizacji ruchu na czas prowadzenia prac budowlanych w terminie do </w:t>
      </w:r>
      <w:r w:rsidRPr="00C83F5A">
        <w:rPr>
          <w:rFonts w:ascii="Calibri" w:hAnsi="Calibri" w:cs="Calibri"/>
          <w:b/>
          <w:bCs/>
        </w:rPr>
        <w:t>14 dni roboczych</w:t>
      </w:r>
      <w:r w:rsidRPr="00C83F5A">
        <w:rPr>
          <w:rFonts w:ascii="Calibri" w:hAnsi="Calibri" w:cs="Calibri"/>
        </w:rPr>
        <w:t xml:space="preserve"> 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14835382" w:rsidR="009B3E9F" w:rsidRPr="00995F4F" w:rsidRDefault="009B3E9F" w:rsidP="00995F4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bookmarkStart w:id="4" w:name="_Hlk62561372"/>
      <w:r w:rsidR="00995F4F" w:rsidRPr="00995F4F">
        <w:rPr>
          <w:rFonts w:ascii="Calibri" w:hAnsi="Calibri" w:cs="Calibri"/>
        </w:rPr>
        <w:t xml:space="preserve">roboty ziemne, prace związane z układaniem nawierzchni </w:t>
      </w:r>
      <w:bookmarkEnd w:id="4"/>
      <w:r w:rsidR="00995F4F" w:rsidRPr="00995F4F">
        <w:rPr>
          <w:rFonts w:ascii="Calibri" w:hAnsi="Calibri" w:cs="Calibri"/>
        </w:rPr>
        <w:t>z kostki brukowej, związane z budową odwodnienia – kanalizacja deszczowa,</w:t>
      </w:r>
      <w:r w:rsidR="000F6EC9">
        <w:rPr>
          <w:rFonts w:ascii="Calibri" w:hAnsi="Calibri" w:cs="Calibri"/>
        </w:rPr>
        <w:t xml:space="preserve"> roboty elektryczne,</w:t>
      </w:r>
      <w:r w:rsidR="00995F4F" w:rsidRPr="00995F4F">
        <w:rPr>
          <w:rFonts w:ascii="Calibri" w:hAnsi="Calibri" w:cs="Calibri"/>
        </w:rPr>
        <w:t xml:space="preserve"> a także operatorzy sprzętu</w:t>
      </w:r>
      <w:r w:rsidR="004857AA" w:rsidRPr="00995F4F">
        <w:rPr>
          <w:rFonts w:ascii="Calibri" w:hAnsi="Calibri" w:cs="Calibri"/>
        </w:rPr>
        <w:t xml:space="preserve">) </w:t>
      </w:r>
      <w:r w:rsidR="00B143DC" w:rsidRPr="00995F4F">
        <w:rPr>
          <w:rFonts w:ascii="Calibri" w:hAnsi="Calibri" w:cs="Calibri"/>
        </w:rPr>
        <w:t>b</w:t>
      </w:r>
      <w:r w:rsidRPr="00995F4F">
        <w:rPr>
          <w:rFonts w:ascii="Calibri" w:hAnsi="Calibri" w:cs="Calibri"/>
        </w:rPr>
        <w:t>y</w:t>
      </w:r>
      <w:r w:rsidR="00B143DC" w:rsidRPr="00995F4F">
        <w:rPr>
          <w:rFonts w:ascii="Calibri" w:hAnsi="Calibri" w:cs="Calibri"/>
        </w:rPr>
        <w:t>ły</w:t>
      </w:r>
      <w:r w:rsidRPr="00995F4F">
        <w:rPr>
          <w:rFonts w:ascii="Calibri" w:hAnsi="Calibri" w:cs="Calibri"/>
        </w:rPr>
        <w:t xml:space="preserve"> zatrudni</w:t>
      </w:r>
      <w:r w:rsidR="00B143DC" w:rsidRPr="00995F4F">
        <w:rPr>
          <w:rFonts w:ascii="Calibri" w:hAnsi="Calibri" w:cs="Calibri"/>
        </w:rPr>
        <w:t>one</w:t>
      </w:r>
      <w:r w:rsidRPr="00995F4F">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(t.j. Dz. U. z 20</w:t>
      </w:r>
      <w:r w:rsidR="00C409E8" w:rsidRPr="00995F4F">
        <w:rPr>
          <w:rFonts w:ascii="Calibri" w:hAnsi="Calibri" w:cs="Calibri"/>
        </w:rPr>
        <w:t>2</w:t>
      </w:r>
      <w:r w:rsidR="00A9566E" w:rsidRPr="00995F4F">
        <w:rPr>
          <w:rFonts w:ascii="Calibri" w:hAnsi="Calibri" w:cs="Calibri"/>
        </w:rPr>
        <w:t>2</w:t>
      </w:r>
      <w:r w:rsidRPr="00995F4F">
        <w:rPr>
          <w:rFonts w:ascii="Calibri" w:hAnsi="Calibri" w:cs="Calibri"/>
        </w:rPr>
        <w:t xml:space="preserve"> r., poz. 1</w:t>
      </w:r>
      <w:r w:rsidR="00A9566E" w:rsidRPr="00995F4F">
        <w:rPr>
          <w:rFonts w:ascii="Calibri" w:hAnsi="Calibri" w:cs="Calibri"/>
        </w:rPr>
        <w:t>51</w:t>
      </w:r>
      <w:r w:rsidR="00C409E8" w:rsidRPr="00995F4F">
        <w:rPr>
          <w:rFonts w:ascii="Calibri" w:hAnsi="Calibri" w:cs="Calibri"/>
        </w:rPr>
        <w:t>0</w:t>
      </w:r>
      <w:r w:rsidRPr="00995F4F">
        <w:rPr>
          <w:rFonts w:ascii="Calibri" w:hAnsi="Calibri" w:cs="Calibri"/>
        </w:rPr>
        <w:t xml:space="preserve">, z późn. zm.).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lastRenderedPageBreak/>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52DFFB3C" w14:textId="33A5531E" w:rsidR="00BB3FF2" w:rsidRPr="00BB3FF2" w:rsidRDefault="007B7CBE" w:rsidP="00BB3FF2">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BB3FF2" w:rsidRPr="00BB3FF2">
        <w:rPr>
          <w:rFonts w:ascii="Calibri" w:hAnsi="Calibri" w:cs="Calibri"/>
        </w:rPr>
        <w:t>zatrudnionego pracownika;</w:t>
      </w:r>
    </w:p>
    <w:p w14:paraId="6B24D448" w14:textId="4D5B3A5C" w:rsidR="007B7CBE" w:rsidRDefault="00BB3FF2">
      <w:pPr>
        <w:numPr>
          <w:ilvl w:val="0"/>
          <w:numId w:val="30"/>
        </w:numPr>
        <w:spacing w:line="276" w:lineRule="auto"/>
        <w:ind w:right="27"/>
        <w:jc w:val="both"/>
        <w:rPr>
          <w:rFonts w:ascii="Calibri" w:hAnsi="Calibri" w:cs="Calibri"/>
        </w:rPr>
      </w:pPr>
      <w:r>
        <w:rPr>
          <w:rFonts w:ascii="Calibri" w:hAnsi="Calibri" w:cs="Calibri"/>
        </w:rPr>
        <w:t xml:space="preserve">oświadczenie </w:t>
      </w:r>
      <w:r w:rsidR="008127D2" w:rsidRPr="00864F23">
        <w:rPr>
          <w:rFonts w:ascii="Calibri" w:hAnsi="Calibri" w:cs="Calibri"/>
        </w:rPr>
        <w:t>W</w:t>
      </w:r>
      <w:r w:rsidR="007B7CBE"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007B7CBE"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007B7CBE"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Pr="009919C7" w:rsidRDefault="007B7CBE">
      <w:pPr>
        <w:numPr>
          <w:ilvl w:val="0"/>
          <w:numId w:val="30"/>
        </w:numPr>
        <w:spacing w:line="276" w:lineRule="auto"/>
        <w:ind w:right="27"/>
        <w:jc w:val="both"/>
        <w:rPr>
          <w:rFonts w:ascii="Calibri" w:hAnsi="Calibri" w:cs="Calibri"/>
        </w:rPr>
      </w:pPr>
      <w:r w:rsidRPr="009919C7">
        <w:rPr>
          <w:rFonts w:ascii="Calibri" w:hAnsi="Calibri" w:cs="Calibri"/>
        </w:rPr>
        <w:lastRenderedPageBreak/>
        <w:t xml:space="preserve">poświadczoną za zgodność z oryginałem odpowiednio przez </w:t>
      </w:r>
      <w:r w:rsidR="00745565" w:rsidRPr="009919C7">
        <w:rPr>
          <w:rFonts w:ascii="Calibri" w:hAnsi="Calibri" w:cs="Calibri"/>
        </w:rPr>
        <w:t>W</w:t>
      </w:r>
      <w:r w:rsidRPr="009919C7">
        <w:rPr>
          <w:rFonts w:ascii="Calibri" w:hAnsi="Calibri" w:cs="Calibri"/>
        </w:rPr>
        <w:t>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p>
    <w:p w14:paraId="13084B22" w14:textId="22028C11" w:rsidR="007B7CBE" w:rsidRPr="00F80F02" w:rsidRDefault="007B7CBE" w:rsidP="00F80F02">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00F80F02">
        <w:rPr>
          <w:rFonts w:ascii="Calibri" w:hAnsi="Calibri" w:cs="Calibri"/>
        </w:rPr>
        <w:br/>
      </w:r>
      <w:r w:rsidRPr="00F80F02">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t>
      </w:r>
      <w:r w:rsidRPr="00864F23">
        <w:rPr>
          <w:rFonts w:ascii="Calibri" w:hAnsi="Calibri" w:cs="Calibri"/>
        </w:rPr>
        <w:lastRenderedPageBreak/>
        <w:t xml:space="preserve">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5" w:name="_Hlk18481130"/>
      <w:r w:rsidRPr="00864F23">
        <w:rPr>
          <w:rFonts w:ascii="Calibri" w:hAnsi="Calibri" w:cs="Calibri"/>
        </w:rPr>
        <w:t>Wykonawca ma obowiązek uporządkowania terenu budowy oraz terenów sąsiadujących zajętych lub użytkowanych przez Wykonawcę w każdym dniu po zakończeniu prac budowlanych, natomiast Zamawiający ma prawo monitorowania utrzymania porządku przez Wykonawcę na placu budowy i terenie przyległym oraz obowiązek udokumentowania przez sporządzenie notatki wskazującej datę i rodzaj naruszenia każdego przypadku jego nieprzestrzegania oraz dokumentację fotograficzną.</w:t>
      </w:r>
    </w:p>
    <w:bookmarkEnd w:id="5"/>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 xml:space="preserve">Wykonawca zobowiązany jest do opracowania na własny koszt projektu organizacji ruchu na czas prowadzenia robót objętych niniejszym zamówieniem zgodnie z Ustawą z dnia 20 </w:t>
      </w:r>
      <w:r w:rsidRPr="004857AA">
        <w:rPr>
          <w:rFonts w:ascii="Calibri" w:hAnsi="Calibri" w:cs="Calibri"/>
        </w:rPr>
        <w:lastRenderedPageBreak/>
        <w:t>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AC6FA5" w:rsidRDefault="004857AA" w:rsidP="004857AA">
      <w:pPr>
        <w:numPr>
          <w:ilvl w:val="0"/>
          <w:numId w:val="6"/>
        </w:numPr>
        <w:spacing w:line="276" w:lineRule="auto"/>
        <w:ind w:left="425" w:right="27" w:hanging="425"/>
        <w:jc w:val="both"/>
        <w:rPr>
          <w:rFonts w:ascii="Calibri" w:hAnsi="Calibri" w:cs="Calibri"/>
        </w:rPr>
      </w:pPr>
      <w:r w:rsidRPr="00AC6FA5">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0EA5F5D5"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Wykonawca zobowiązany jest do zorganizowania prac w taki sposób, aby umożliwić ciągłość odbioru odpadów komunalnych z posesji zlokalizowanych w rejonie budowy zgodnie z harmonogramem odbioru odpadów komunalnych</w:t>
      </w:r>
      <w:r w:rsidR="00AC6FA5">
        <w:rPr>
          <w:rFonts w:ascii="Calibri" w:hAnsi="Calibri" w:cs="Calibri"/>
        </w:rPr>
        <w:t>.</w:t>
      </w:r>
      <w:r w:rsidRPr="004857AA">
        <w:rPr>
          <w:rFonts w:ascii="Calibri" w:hAnsi="Calibri" w:cs="Calibri"/>
        </w:rPr>
        <w:t xml:space="preserve"> 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lastRenderedPageBreak/>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6"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A75AC7">
      <w:pPr>
        <w:widowControl w:val="0"/>
        <w:numPr>
          <w:ilvl w:val="0"/>
          <w:numId w:val="6"/>
        </w:numPr>
        <w:autoSpaceDE w:val="0"/>
        <w:autoSpaceDN w:val="0"/>
        <w:adjustRightInd w:val="0"/>
        <w:spacing w:after="24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6"/>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864F23" w:rsidRDefault="001C56AC" w:rsidP="00A75AC7">
      <w:pPr>
        <w:spacing w:line="276" w:lineRule="auto"/>
        <w:jc w:val="center"/>
        <w:rPr>
          <w:rFonts w:ascii="Calibri" w:hAnsi="Calibri" w:cs="Calibri"/>
        </w:rPr>
      </w:pPr>
      <w:r w:rsidRPr="00864F23">
        <w:rPr>
          <w:rFonts w:ascii="Calibri" w:hAnsi="Calibri" w:cs="Calibri"/>
          <w:b/>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7" w:name="_Hlk96607819"/>
      <w:r w:rsidR="00627299">
        <w:rPr>
          <w:rFonts w:ascii="Calibri" w:hAnsi="Calibri" w:cs="Calibri"/>
        </w:rPr>
        <w:t>na zasadach określonych w art. 471 kc.</w:t>
      </w:r>
      <w:r w:rsidRPr="00864F23">
        <w:rPr>
          <w:rFonts w:ascii="Calibri" w:hAnsi="Calibri" w:cs="Calibri"/>
        </w:rPr>
        <w:t xml:space="preserve"> </w:t>
      </w:r>
      <w:bookmarkEnd w:id="7"/>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4DD05107"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AC6FA5">
        <w:rPr>
          <w:rFonts w:ascii="Calibri" w:hAnsi="Calibri" w:cs="Calibri"/>
        </w:rPr>
        <w:t>2</w:t>
      </w:r>
      <w:r w:rsidR="00771A25">
        <w:rPr>
          <w:rFonts w:ascii="Calibri" w:hAnsi="Calibri" w:cs="Calibri"/>
        </w:rPr>
        <w:t xml:space="preserve"> 000</w:t>
      </w:r>
      <w:r w:rsidR="00041196">
        <w:rPr>
          <w:rFonts w:ascii="Calibri" w:hAnsi="Calibri" w:cs="Calibri"/>
        </w:rPr>
        <w:t>.000,00</w:t>
      </w:r>
      <w:r w:rsidRPr="00EF385D">
        <w:rPr>
          <w:rFonts w:ascii="Calibri" w:hAnsi="Calibri" w:cs="Calibri"/>
        </w:rPr>
        <w:t xml:space="preserve"> zł (słownie: </w:t>
      </w:r>
      <w:r w:rsidR="00AC6FA5">
        <w:rPr>
          <w:rFonts w:ascii="Calibri" w:hAnsi="Calibri" w:cs="Calibri"/>
          <w:bCs/>
        </w:rPr>
        <w:t>dwa</w:t>
      </w:r>
      <w:r w:rsidR="00771A25">
        <w:rPr>
          <w:rFonts w:ascii="Calibri" w:hAnsi="Calibri" w:cs="Calibri"/>
          <w:bCs/>
        </w:rPr>
        <w:t xml:space="preserve"> milion</w:t>
      </w:r>
      <w:r w:rsidR="00AC6FA5">
        <w:rPr>
          <w:rFonts w:ascii="Calibri" w:hAnsi="Calibri" w:cs="Calibri"/>
          <w:bCs/>
        </w:rPr>
        <w:t>y</w:t>
      </w:r>
      <w:r w:rsidR="00041196" w:rsidRPr="00041196">
        <w:rPr>
          <w:rFonts w:ascii="Calibri" w:hAnsi="Calibri" w:cs="Calibri"/>
          <w:bCs/>
        </w:rPr>
        <w:t xml:space="preserve"> złotych 00/100</w:t>
      </w:r>
      <w:r w:rsidRPr="00EF385D">
        <w:rPr>
          <w:rFonts w:ascii="Calibri" w:hAnsi="Calibri" w:cs="Calibri"/>
        </w:rPr>
        <w:t>)</w:t>
      </w:r>
      <w:r w:rsidR="00571AB0" w:rsidRPr="00EF385D">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77777777" w:rsidR="00B2307C"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lastRenderedPageBreak/>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 xml:space="preserve">Wykonawca wystawi fakturę po protokolarnym odbiorze robót </w:t>
      </w:r>
      <w:bookmarkStart w:id="8" w:name="_Hlk32183671"/>
      <w:r w:rsidRPr="00F75847">
        <w:rPr>
          <w:rFonts w:ascii="Calibri" w:hAnsi="Calibri" w:cs="Calibri"/>
        </w:rPr>
        <w:t>i zatwierdzeniu przez Zamawiającego kosztorysów powykonawczych</w:t>
      </w:r>
      <w:bookmarkEnd w:id="8"/>
      <w:r w:rsidRPr="00F75847">
        <w:rPr>
          <w:rFonts w:ascii="Calibri" w:hAnsi="Calibri" w:cs="Calibri"/>
        </w:rPr>
        <w:t>.</w:t>
      </w:r>
    </w:p>
    <w:p w14:paraId="331FE369" w14:textId="77777777" w:rsidR="004857AA" w:rsidRPr="007C2722" w:rsidRDefault="004857AA" w:rsidP="004857AA">
      <w:pPr>
        <w:numPr>
          <w:ilvl w:val="0"/>
          <w:numId w:val="8"/>
        </w:numPr>
        <w:spacing w:line="276" w:lineRule="auto"/>
        <w:ind w:left="426" w:hanging="426"/>
        <w:jc w:val="both"/>
        <w:rPr>
          <w:rFonts w:ascii="Calibri" w:hAnsi="Calibri" w:cs="Calibri"/>
        </w:rPr>
      </w:pPr>
      <w:r w:rsidRPr="007C2722">
        <w:rPr>
          <w:rFonts w:ascii="Calibri" w:hAnsi="Calibri" w:cs="Calibri"/>
        </w:rPr>
        <w:t>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kpl.,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AC6FA5">
      <w:pPr>
        <w:numPr>
          <w:ilvl w:val="0"/>
          <w:numId w:val="8"/>
        </w:numPr>
        <w:spacing w:after="240" w:line="276" w:lineRule="auto"/>
        <w:ind w:left="426" w:hanging="426"/>
        <w:jc w:val="both"/>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A03B5F">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66179C03" w14:textId="78A9CCCE" w:rsidR="00375167" w:rsidRPr="00375167" w:rsidRDefault="00375167" w:rsidP="00375167">
      <w:pPr>
        <w:pStyle w:val="Akapitzlist"/>
        <w:numPr>
          <w:ilvl w:val="0"/>
          <w:numId w:val="21"/>
        </w:numPr>
        <w:ind w:left="426"/>
        <w:rPr>
          <w:rFonts w:eastAsia="Times New Roman" w:cs="Calibri"/>
          <w:sz w:val="24"/>
          <w:szCs w:val="24"/>
          <w:lang w:eastAsia="pl-PL"/>
        </w:rPr>
      </w:pPr>
      <w:r w:rsidRPr="00375167">
        <w:rPr>
          <w:rFonts w:eastAsia="Times New Roman" w:cs="Calibri"/>
          <w:sz w:val="24"/>
          <w:szCs w:val="24"/>
          <w:lang w:eastAsia="pl-PL"/>
        </w:rPr>
        <w:t>Wynagrodzenie będzie wypłacane Wykonawcy w częściach w następujący sposób:</w:t>
      </w:r>
    </w:p>
    <w:p w14:paraId="32C9096A" w14:textId="1D2E2E99" w:rsidR="00375167" w:rsidRPr="00375167" w:rsidRDefault="00375167" w:rsidP="00375167">
      <w:pPr>
        <w:pStyle w:val="Akapitzlist"/>
        <w:numPr>
          <w:ilvl w:val="1"/>
          <w:numId w:val="43"/>
        </w:numPr>
        <w:ind w:left="851"/>
        <w:jc w:val="both"/>
        <w:rPr>
          <w:rFonts w:eastAsia="Times New Roman" w:cs="Calibri"/>
          <w:sz w:val="24"/>
          <w:szCs w:val="24"/>
          <w:lang w:eastAsia="pl-PL"/>
        </w:rPr>
      </w:pPr>
      <w:r w:rsidRPr="00375167">
        <w:rPr>
          <w:rFonts w:eastAsia="Times New Roman" w:cs="Calibri"/>
          <w:sz w:val="24"/>
          <w:szCs w:val="24"/>
          <w:lang w:eastAsia="pl-PL"/>
        </w:rPr>
        <w:t xml:space="preserve">miesięcznie do wyczerpania 90% wynagrodzenia za realizację Przedmiotu Umowy płatne będzie po wykonaniu i podpisaniu bez zastrzeżeń przez Zamawiającego (działającego w </w:t>
      </w:r>
      <w:r w:rsidRPr="00375167">
        <w:rPr>
          <w:rFonts w:eastAsia="Times New Roman" w:cs="Calibri"/>
          <w:sz w:val="24"/>
          <w:szCs w:val="24"/>
          <w:lang w:eastAsia="pl-PL"/>
        </w:rPr>
        <w:lastRenderedPageBreak/>
        <w:t>jego imieniu inspektora nadzoru) protokołów odbiorów częściowych i zatwierdzeniu przez Zamawiającego kosztorysów powykonawczych na podstawie prawidłowo wystawionych faktur częściowych</w:t>
      </w:r>
      <w:r w:rsidR="00BD42C4">
        <w:rPr>
          <w:rFonts w:eastAsia="Times New Roman" w:cs="Calibri"/>
          <w:sz w:val="24"/>
          <w:szCs w:val="24"/>
          <w:lang w:eastAsia="pl-PL"/>
        </w:rPr>
        <w:t>;</w:t>
      </w:r>
    </w:p>
    <w:p w14:paraId="478E980F" w14:textId="2526E7A0" w:rsidR="00375167" w:rsidRPr="00BD42C4" w:rsidRDefault="00375167" w:rsidP="00BD42C4">
      <w:pPr>
        <w:pStyle w:val="Akapitzlist"/>
        <w:numPr>
          <w:ilvl w:val="1"/>
          <w:numId w:val="43"/>
        </w:numPr>
        <w:ind w:left="851"/>
        <w:jc w:val="both"/>
        <w:rPr>
          <w:rFonts w:eastAsia="Times New Roman" w:cs="Calibri"/>
          <w:sz w:val="24"/>
          <w:szCs w:val="24"/>
          <w:lang w:eastAsia="pl-PL"/>
        </w:rPr>
      </w:pPr>
      <w:r w:rsidRPr="00554DAD">
        <w:rPr>
          <w:rFonts w:eastAsia="Times New Roman" w:cs="Calibri"/>
          <w:sz w:val="24"/>
          <w:szCs w:val="24"/>
          <w:lang w:eastAsia="pl-PL"/>
        </w:rPr>
        <w:t>pozostała część wynagrodzenia za realizację Przedmiotu Umowy płatna będzie po wykonaniu zgodnie z harmonogramem, o którym mowa w § 4 i podpisaniu przez</w:t>
      </w:r>
      <w:r w:rsidRPr="00375167">
        <w:rPr>
          <w:rFonts w:eastAsia="Times New Roman" w:cs="Calibri"/>
          <w:sz w:val="24"/>
          <w:szCs w:val="24"/>
          <w:lang w:eastAsia="pl-PL"/>
        </w:rPr>
        <w:t xml:space="preserve"> Zamawiającego (działającego w jego imieniu inspektora nadzoru) protokołu odbioru końcowego na podstawie prawidłowo wystawionej faktury końcowej oraz kosztorysu powykonawczego.</w:t>
      </w:r>
    </w:p>
    <w:p w14:paraId="048376E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Zamawiający dokona odbior</w:t>
      </w:r>
      <w:r w:rsidR="005E595E" w:rsidRPr="004B5B4A">
        <w:rPr>
          <w:rFonts w:ascii="Calibri" w:hAnsi="Calibri" w:cs="Calibri"/>
        </w:rPr>
        <w:t>ów</w:t>
      </w:r>
      <w:r w:rsidRPr="004B5B4A">
        <w:rPr>
          <w:rFonts w:ascii="Calibri" w:hAnsi="Calibri" w:cs="Calibri"/>
        </w:rPr>
        <w:t xml:space="preserve"> w terminie 5 dni roboczych od daty mailowego zgłoszenia przez Wykonawcę gotowości odbioru, w formie protokołu odbioru </w:t>
      </w:r>
      <w:r w:rsidR="005E595E" w:rsidRPr="004B5B4A">
        <w:rPr>
          <w:rFonts w:ascii="Calibri" w:hAnsi="Calibri" w:cs="Calibri"/>
        </w:rPr>
        <w:t>częściowego/</w:t>
      </w:r>
      <w:r w:rsidRPr="004B5B4A">
        <w:rPr>
          <w:rFonts w:ascii="Calibri" w:hAnsi="Calibri" w:cs="Calibri"/>
        </w:rPr>
        <w:t>końcowego zadania podpisanego przez obie strony.</w:t>
      </w:r>
    </w:p>
    <w:p w14:paraId="42766FB6"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realizacji przedmiotu umowy z udziałem podwykonawców zgłoszonych przez Wykonawcę w załączniku nr 1 do SWZ, stanowiącym </w:t>
      </w:r>
      <w:r w:rsidRPr="004B5B4A">
        <w:rPr>
          <w:rFonts w:ascii="Calibri" w:hAnsi="Calibri" w:cs="Calibri"/>
          <w:b/>
        </w:rPr>
        <w:t>załącznik nr 1 do umowy</w:t>
      </w:r>
      <w:r w:rsidRPr="004B5B4A">
        <w:rPr>
          <w:rFonts w:ascii="Calibri" w:hAnsi="Calibri" w:cs="Calibri"/>
          <w:bCs/>
        </w:rPr>
        <w:t>,</w:t>
      </w:r>
      <w:r w:rsidRPr="004B5B4A">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Warunkiem zapłaty przez Zamawiającego</w:t>
      </w:r>
      <w:r w:rsidR="00F37B85" w:rsidRPr="004B5B4A">
        <w:rPr>
          <w:rFonts w:ascii="Calibri" w:hAnsi="Calibri" w:cs="Calibri"/>
        </w:rPr>
        <w:t xml:space="preserve"> </w:t>
      </w:r>
      <w:r w:rsidRPr="004B5B4A">
        <w:rPr>
          <w:rFonts w:ascii="Calibri" w:hAnsi="Calibri" w:cs="Calibri"/>
        </w:rPr>
        <w:t>należnego wynagrodzenia, o którym mowa w ustępie 1 za odebrane roboty budowlane,</w:t>
      </w:r>
      <w:r w:rsidR="005E051B" w:rsidRPr="004B5B4A">
        <w:rPr>
          <w:rFonts w:ascii="Calibri" w:hAnsi="Calibri" w:cs="Calibri"/>
        </w:rPr>
        <w:t xml:space="preserve"> </w:t>
      </w:r>
      <w:r w:rsidRPr="004B5B4A">
        <w:rPr>
          <w:rFonts w:ascii="Calibri" w:hAnsi="Calibri" w:cs="Calibri"/>
        </w:rPr>
        <w:t>jest przedstawienie dowodów zapłaty wymagalnego wynagrodzenia podwykonawcom i dalszym podwykonawcom, biorącym udział w realizacji odebranych robót budowlanych.</w:t>
      </w:r>
    </w:p>
    <w:p w14:paraId="0F1C6367"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nieprzedstawienia przez Wykonawcę wszystkich dowodów zapłaty, o których mowa w ust. </w:t>
      </w:r>
      <w:r w:rsidR="00133D60" w:rsidRPr="004B5B4A">
        <w:rPr>
          <w:rFonts w:ascii="Calibri" w:hAnsi="Calibri" w:cs="Calibri"/>
        </w:rPr>
        <w:t>5</w:t>
      </w:r>
      <w:r w:rsidRPr="004B5B4A">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4B5B4A" w:rsidRDefault="00FC36DE">
      <w:pPr>
        <w:numPr>
          <w:ilvl w:val="0"/>
          <w:numId w:val="21"/>
        </w:numPr>
        <w:spacing w:line="276" w:lineRule="auto"/>
        <w:ind w:left="426" w:hanging="426"/>
        <w:jc w:val="both"/>
        <w:rPr>
          <w:rFonts w:ascii="Calibri" w:hAnsi="Calibri" w:cs="Calibri"/>
        </w:rPr>
      </w:pPr>
      <w:r w:rsidRPr="004B5B4A">
        <w:rPr>
          <w:rFonts w:ascii="Calibri" w:hAnsi="Calibri" w:cs="Calibri"/>
        </w:rPr>
        <w:t xml:space="preserve">Faktura Wykonawcy będzie płatna w ciągu </w:t>
      </w:r>
      <w:r w:rsidR="00041196" w:rsidRPr="004B5B4A">
        <w:rPr>
          <w:rFonts w:ascii="Calibri" w:hAnsi="Calibri" w:cs="Calibri"/>
          <w:b/>
        </w:rPr>
        <w:t>30</w:t>
      </w:r>
      <w:r w:rsidRPr="004B5B4A">
        <w:rPr>
          <w:rFonts w:ascii="Calibri" w:hAnsi="Calibri" w:cs="Calibri"/>
          <w:b/>
        </w:rPr>
        <w:t xml:space="preserve"> dni</w:t>
      </w:r>
      <w:r w:rsidRPr="004B5B4A">
        <w:rPr>
          <w:rFonts w:ascii="Calibri" w:hAnsi="Calibri" w:cs="Calibri"/>
        </w:rPr>
        <w:t xml:space="preserve"> licząc od daty otrzymania</w:t>
      </w:r>
      <w:r w:rsidR="00E54F05" w:rsidRPr="004B5B4A">
        <w:rPr>
          <w:rFonts w:ascii="Calibri" w:hAnsi="Calibri" w:cs="Calibri"/>
        </w:rPr>
        <w:t xml:space="preserve"> </w:t>
      </w:r>
      <w:r w:rsidR="00930854" w:rsidRPr="004B5B4A">
        <w:rPr>
          <w:rFonts w:ascii="Calibri" w:hAnsi="Calibri" w:cs="Calibri"/>
        </w:rPr>
        <w:t xml:space="preserve">przez Zamawiającego </w:t>
      </w:r>
      <w:r w:rsidR="00E54F05" w:rsidRPr="004B5B4A">
        <w:rPr>
          <w:rFonts w:ascii="Calibri" w:hAnsi="Calibri" w:cs="Calibri"/>
        </w:rPr>
        <w:t>prawidłowo wystawionej</w:t>
      </w:r>
      <w:r w:rsidRPr="004B5B4A">
        <w:rPr>
          <w:rFonts w:ascii="Calibri" w:hAnsi="Calibri" w:cs="Calibri"/>
        </w:rPr>
        <w:t xml:space="preserve"> </w:t>
      </w:r>
      <w:r w:rsidR="00930854" w:rsidRPr="004B5B4A">
        <w:rPr>
          <w:rFonts w:ascii="Calibri" w:hAnsi="Calibri" w:cs="Calibri"/>
        </w:rPr>
        <w:t>f</w:t>
      </w:r>
      <w:r w:rsidR="00E54F05" w:rsidRPr="004B5B4A">
        <w:rPr>
          <w:rFonts w:ascii="Calibri" w:hAnsi="Calibri" w:cs="Calibri"/>
        </w:rPr>
        <w:t>aktury VAT</w:t>
      </w:r>
      <w:r w:rsidR="00930854" w:rsidRPr="004B5B4A">
        <w:rPr>
          <w:rFonts w:ascii="Calibri" w:hAnsi="Calibri" w:cs="Calibri"/>
        </w:rPr>
        <w:t>,</w:t>
      </w:r>
      <w:r w:rsidR="00E54F05" w:rsidRPr="004B5B4A">
        <w:rPr>
          <w:rFonts w:ascii="Calibri" w:hAnsi="Calibri" w:cs="Calibri"/>
        </w:rPr>
        <w:t xml:space="preserve"> tzn. zgodnie z obowiązującymi przepisami prawa podatkowego</w:t>
      </w:r>
      <w:r w:rsidRPr="004B5B4A">
        <w:rPr>
          <w:rFonts w:ascii="Calibri" w:hAnsi="Calibri" w:cs="Calibri"/>
        </w:rPr>
        <w:t>.</w:t>
      </w:r>
    </w:p>
    <w:p w14:paraId="51FC4A8B" w14:textId="77777777" w:rsidR="00930854" w:rsidRPr="004B5B4A" w:rsidRDefault="00930854">
      <w:pPr>
        <w:numPr>
          <w:ilvl w:val="0"/>
          <w:numId w:val="21"/>
        </w:numPr>
        <w:spacing w:line="276" w:lineRule="auto"/>
        <w:ind w:left="426" w:hanging="426"/>
        <w:jc w:val="both"/>
        <w:rPr>
          <w:rFonts w:ascii="Calibri" w:hAnsi="Calibri" w:cs="Calibri"/>
        </w:rPr>
      </w:pPr>
      <w:r w:rsidRPr="004B5B4A">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Płatności  regulowane będą przelewem z konta Zamawiającego w Banku PeKaO S.A. nr 39 1240 1747 1111 0000 1848 8975, na rachunek bankowy Wykonawcy wskazany na fakturze.</w:t>
      </w:r>
    </w:p>
    <w:p w14:paraId="4D71E9F5" w14:textId="77777777" w:rsidR="00670946"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Wykonawca oświadcza, że właściwym dla niego Urzędem Skarbowym jest </w:t>
      </w:r>
      <w:r w:rsidR="003C7B14" w:rsidRPr="004B5B4A">
        <w:rPr>
          <w:rFonts w:ascii="Calibri" w:hAnsi="Calibri" w:cs="Calibri"/>
        </w:rPr>
        <w:t>……………….</w:t>
      </w:r>
      <w:r w:rsidR="00670946" w:rsidRPr="004B5B4A">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4B5B4A">
        <w:rPr>
          <w:rFonts w:ascii="Calibri" w:hAnsi="Calibri" w:cs="Calibri"/>
        </w:rPr>
        <w:t>Wykonawca oświadcza, że rachunek bankowy Wykonawcy</w:t>
      </w:r>
      <w:r w:rsidRPr="004B5B4A">
        <w:t xml:space="preserve"> </w:t>
      </w:r>
      <w:r w:rsidRPr="004B5B4A">
        <w:rPr>
          <w:rFonts w:ascii="Calibri" w:hAnsi="Calibri" w:cs="Calibri"/>
        </w:rPr>
        <w:t xml:space="preserve">o numerze </w:t>
      </w:r>
      <w:r w:rsidR="004B3A8F" w:rsidRPr="004B5B4A">
        <w:rPr>
          <w:rFonts w:ascii="Calibri" w:hAnsi="Calibri" w:cs="Calibri"/>
        </w:rPr>
        <w:t>……………</w:t>
      </w:r>
      <w:r w:rsidR="00A03B5F">
        <w:rPr>
          <w:rFonts w:ascii="Calibri" w:hAnsi="Calibri" w:cs="Calibri"/>
        </w:rPr>
        <w:t xml:space="preserve"> </w:t>
      </w:r>
      <w:r w:rsidRPr="004B5B4A">
        <w:rPr>
          <w:rFonts w:ascii="Calibri" w:hAnsi="Calibri" w:cs="Calibri"/>
        </w:rPr>
        <w:t xml:space="preserve">jest zawarty jako numer rachunku rozliczeniowego Wykonawcy wskazanego w zgłoszeniu identyfikacyjnym lub zgłoszeniu aktualizacyjnym i potwierdzonego przy wykorzystaniu STIR </w:t>
      </w:r>
      <w:r w:rsidRPr="004B5B4A">
        <w:rPr>
          <w:rFonts w:ascii="Calibri" w:hAnsi="Calibri" w:cs="Calibri"/>
        </w:rPr>
        <w:lastRenderedPageBreak/>
        <w:t>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późn.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 xml:space="preserve">przeciw do przedłożonej umowy </w:t>
      </w:r>
      <w:r w:rsidR="00B662AE" w:rsidRPr="00864F23">
        <w:rPr>
          <w:rFonts w:ascii="Calibri" w:hAnsi="Calibri" w:cs="Calibri"/>
        </w:rPr>
        <w:lastRenderedPageBreak/>
        <w:t>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t>
      </w:r>
      <w:r w:rsidRPr="00B439D9">
        <w:rPr>
          <w:rFonts w:ascii="Calibri" w:hAnsi="Calibri" w:cs="Calibri"/>
        </w:rPr>
        <w:lastRenderedPageBreak/>
        <w:t xml:space="preserve">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w:t>
      </w:r>
      <w:r w:rsidRPr="00864F23">
        <w:rPr>
          <w:rFonts w:ascii="Calibri" w:hAnsi="Calibri" w:cs="Calibri"/>
        </w:rPr>
        <w:lastRenderedPageBreak/>
        <w:t xml:space="preserve">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Pzp</w:t>
      </w:r>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84BC941" w:rsidR="007C3999" w:rsidRDefault="004278A7" w:rsidP="004278A7">
      <w:pPr>
        <w:numPr>
          <w:ilvl w:val="0"/>
          <w:numId w:val="10"/>
        </w:numPr>
        <w:spacing w:line="276" w:lineRule="auto"/>
        <w:ind w:left="426" w:hanging="426"/>
        <w:jc w:val="both"/>
        <w:rPr>
          <w:rFonts w:ascii="Calibri" w:hAnsi="Calibri" w:cs="Calibri"/>
        </w:rPr>
      </w:pPr>
      <w:bookmarkStart w:id="9"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9"/>
    <w:p w14:paraId="288EAD1D" w14:textId="6E81CE4E" w:rsidR="003712B6" w:rsidRPr="004278A7" w:rsidRDefault="003712B6" w:rsidP="004278A7">
      <w:pPr>
        <w:numPr>
          <w:ilvl w:val="0"/>
          <w:numId w:val="10"/>
        </w:numPr>
        <w:spacing w:line="276" w:lineRule="auto"/>
        <w:ind w:left="426" w:hanging="426"/>
        <w:jc w:val="both"/>
        <w:rPr>
          <w:rFonts w:ascii="Calibri" w:hAnsi="Calibri" w:cs="Calibri"/>
        </w:rPr>
      </w:pPr>
      <w:r w:rsidRPr="003712B6">
        <w:rPr>
          <w:rFonts w:ascii="Calibri" w:hAnsi="Calibri" w:cs="Calibri"/>
        </w:rPr>
        <w:t>Odbiór końcowy odbędzie się po wykonaniu 100% wartości zamówienia, czyli całości prac budowlanych oraz przedłożeniu Zamawiającemu dokumentacji powykonawczej i podpisaniu przez Zamawiającego (działającego w jego imieniu inspektora nadzoru) protokołu odbioru końcowego i zatwierdzeniu przez Zamawiającego kosztorysu powykonawczego na podstawie prawidłowo wystawionej faktury końcowej</w:t>
      </w:r>
      <w:r>
        <w:rPr>
          <w:rFonts w:ascii="Calibri" w:hAnsi="Calibri" w:cs="Calibri"/>
        </w:rPr>
        <w:t>.</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lastRenderedPageBreak/>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6E74B819"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A46462">
        <w:rPr>
          <w:rFonts w:ascii="Calibri" w:hAnsi="Calibri" w:cs="Calibri"/>
        </w:rPr>
        <w:t xml:space="preserve"> </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10" w:name="_Hlk504039580"/>
      <w:r w:rsidRPr="00864F23">
        <w:rPr>
          <w:rFonts w:ascii="Calibri" w:hAnsi="Calibri" w:cs="Calibri"/>
        </w:rPr>
        <w:lastRenderedPageBreak/>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10"/>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lastRenderedPageBreak/>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1"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2" w:name="_Hlk69292159"/>
      <w:bookmarkEnd w:id="11"/>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2"/>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Pr="00F177D9" w:rsidRDefault="00AD651C">
      <w:pPr>
        <w:numPr>
          <w:ilvl w:val="0"/>
          <w:numId w:val="33"/>
        </w:numPr>
        <w:spacing w:line="276" w:lineRule="auto"/>
        <w:ind w:left="709"/>
        <w:jc w:val="both"/>
        <w:rPr>
          <w:rFonts w:ascii="Calibri" w:hAnsi="Calibri" w:cs="Calibri"/>
        </w:rPr>
      </w:pPr>
      <w:r w:rsidRPr="0053142E">
        <w:rPr>
          <w:rFonts w:ascii="Calibri" w:hAnsi="Calibri" w:cs="Calibri"/>
        </w:rPr>
        <w:lastRenderedPageBreak/>
        <w:t xml:space="preserve">nieprzedłożenia w ciągu 7 dni od daty wystawienia polisy OC, o której mowa §8 ust. 3 </w:t>
      </w:r>
      <w:r w:rsidRPr="00F177D9">
        <w:rPr>
          <w:rFonts w:ascii="Calibri" w:hAnsi="Calibri" w:cs="Calibri"/>
        </w:rPr>
        <w:t>niniejszej umowy, w wysokości  200,00 zł za każdy dzień zwłoki</w:t>
      </w:r>
      <w:r w:rsidR="00C076C1" w:rsidRPr="00F177D9">
        <w:rPr>
          <w:rFonts w:ascii="Calibri" w:hAnsi="Calibri" w:cs="Calibri"/>
        </w:rPr>
        <w:t>;</w:t>
      </w:r>
    </w:p>
    <w:p w14:paraId="04F11B85" w14:textId="77777777" w:rsidR="001C29DC" w:rsidRPr="00F177D9" w:rsidRDefault="001C29DC">
      <w:pPr>
        <w:numPr>
          <w:ilvl w:val="0"/>
          <w:numId w:val="33"/>
        </w:numPr>
        <w:spacing w:line="276" w:lineRule="auto"/>
        <w:ind w:left="709"/>
        <w:jc w:val="both"/>
        <w:rPr>
          <w:rFonts w:ascii="Calibri" w:hAnsi="Calibri" w:cs="Calibri"/>
        </w:rPr>
      </w:pPr>
      <w:r w:rsidRPr="00F177D9">
        <w:rPr>
          <w:rFonts w:ascii="Calibri" w:hAnsi="Calibri" w:cs="Calibri"/>
        </w:rPr>
        <w:t>nieprzedłożenia w ciągu 14 dni od daty podpisania umowy przez Wykonawcę Zamawiającemu do zaopiniowania lub zatwierdzenia projekt tymczasowej organizacji ruchu na czas prowadzenia prac budowlanych w wysokości 250,00 zł za każdy dzień zwłoki.</w:t>
      </w:r>
    </w:p>
    <w:p w14:paraId="751E9220" w14:textId="780EDEA6" w:rsidR="00F876D6" w:rsidRPr="00F177D9" w:rsidRDefault="00F876D6" w:rsidP="00F876D6">
      <w:pPr>
        <w:numPr>
          <w:ilvl w:val="0"/>
          <w:numId w:val="33"/>
        </w:numPr>
        <w:spacing w:line="276" w:lineRule="auto"/>
        <w:ind w:left="709"/>
        <w:jc w:val="both"/>
        <w:rPr>
          <w:rFonts w:ascii="Calibri" w:hAnsi="Calibri" w:cs="Calibri"/>
        </w:rPr>
      </w:pPr>
      <w:r w:rsidRPr="00F177D9">
        <w:rPr>
          <w:rFonts w:ascii="Calibri" w:hAnsi="Calibri" w:cs="Calibri"/>
        </w:rPr>
        <w:t>za brak zmiany wynagrodzenia podwykonawcy zgodnie z wymogiem określonym w §1</w:t>
      </w:r>
      <w:r w:rsidR="00F177D9" w:rsidRPr="00F177D9">
        <w:rPr>
          <w:rFonts w:ascii="Calibri" w:hAnsi="Calibri" w:cs="Calibri"/>
        </w:rPr>
        <w:t>8</w:t>
      </w:r>
      <w:r w:rsidRPr="00F177D9">
        <w:rPr>
          <w:rFonts w:ascii="Calibri" w:hAnsi="Calibri" w:cs="Calibri"/>
        </w:rPr>
        <w:t xml:space="preserve"> ust. 1</w:t>
      </w:r>
      <w:r w:rsidR="00F177D9" w:rsidRPr="00F177D9">
        <w:rPr>
          <w:rFonts w:ascii="Calibri" w:hAnsi="Calibri" w:cs="Calibri"/>
        </w:rPr>
        <w:t xml:space="preserve">0 </w:t>
      </w:r>
      <w:r w:rsidRPr="00F177D9">
        <w:rPr>
          <w:rFonts w:ascii="Calibri" w:hAnsi="Calibri" w:cs="Calibri"/>
        </w:rPr>
        <w:t>umowy w wysokości 5 000,00 złotych za każdy przypadek.</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574F145D"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zostanie ogłoszona upadłość firmy Wykonawcy lub firma Wykonawcy zostanie postawiona w stan likwidacji;</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lastRenderedPageBreak/>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77777777" w:rsidR="001C29DC" w:rsidRDefault="001C29DC" w:rsidP="001C29DC">
      <w:pPr>
        <w:spacing w:after="120" w:line="276" w:lineRule="auto"/>
        <w:jc w:val="both"/>
        <w:rPr>
          <w:rFonts w:ascii="Calibri" w:hAnsi="Calibri" w:cs="Calibri"/>
          <w:lang w:eastAsia="en-US"/>
        </w:rPr>
      </w:pPr>
      <w:r>
        <w:rPr>
          <w:rFonts w:ascii="Calibri" w:hAnsi="Calibri" w:cs="Calibri"/>
          <w:lang w:eastAsia="en-US"/>
        </w:rPr>
        <w:t>Na podstawie art. 455 ustawy Prawo zamówień publicznych istnieje możliwość dokonania zmiany umowy w formie aneksu pod warunkami:</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3"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w:t>
      </w:r>
      <w:r>
        <w:rPr>
          <w:rFonts w:ascii="Calibri" w:hAnsi="Calibri" w:cs="Calibri"/>
        </w:rPr>
        <w:lastRenderedPageBreak/>
        <w:t xml:space="preserve">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lastRenderedPageBreak/>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wprowadzenia zmian istotnych w zakresie opracowania dokumentacji techniczno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wystąpienia opóźnień wynikających z odmowy lub opóźnienia wydania przez organy administracji lub inne podmioty wymaganych decyzji, zezwoleń, uzgodnień, opinii z </w:t>
      </w:r>
      <w:r>
        <w:rPr>
          <w:rFonts w:ascii="Calibri" w:hAnsi="Calibri" w:cs="Calibri"/>
          <w:lang w:eastAsia="en-US"/>
        </w:rPr>
        <w:lastRenderedPageBreak/>
        <w:t>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5A18C133"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02B8A70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koniecznością wykonania </w:t>
      </w:r>
      <w:r w:rsidRPr="001C29DC">
        <w:rPr>
          <w:rFonts w:ascii="Calibri" w:eastAsia="Calibri" w:hAnsi="Calibri" w:cs="Calibri"/>
          <w:b/>
          <w:bCs/>
          <w:lang w:eastAsia="en-US"/>
        </w:rPr>
        <w:t>zamówienia dodatkowego</w:t>
      </w:r>
      <w:r>
        <w:rPr>
          <w:rFonts w:ascii="Calibri" w:eastAsia="Calibri" w:hAnsi="Calibri" w:cs="Calibri"/>
          <w:lang w:eastAsia="en-US"/>
        </w:rPr>
        <w:t>.</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2FEAE65B" w14:textId="77777777" w:rsidR="001F505C" w:rsidRPr="001F505C" w:rsidRDefault="001F505C" w:rsidP="00643DE1">
      <w:pPr>
        <w:pStyle w:val="Akapitzlist"/>
        <w:numPr>
          <w:ilvl w:val="0"/>
          <w:numId w:val="44"/>
        </w:numPr>
        <w:spacing w:before="120" w:after="0"/>
        <w:ind w:left="426"/>
        <w:contextualSpacing w:val="0"/>
        <w:jc w:val="both"/>
        <w:rPr>
          <w:rFonts w:asciiTheme="minorHAnsi" w:eastAsia="CenturyGothic" w:hAnsiTheme="minorHAnsi" w:cstheme="minorHAnsi"/>
          <w:sz w:val="24"/>
          <w:szCs w:val="24"/>
        </w:rPr>
      </w:pPr>
      <w:r w:rsidRPr="001F505C">
        <w:rPr>
          <w:rFonts w:asciiTheme="minorHAnsi" w:eastAsia="CenturyGothic" w:hAnsiTheme="minorHAnsi" w:cstheme="minorHAnsi"/>
          <w:sz w:val="24"/>
          <w:szCs w:val="24"/>
        </w:rPr>
        <w:t>Zgodnie z art. 439 ustawy Prawo zamówień publicznych, wysokość wynagrodzenia należnego Wykonawcy może podlegać waloryzacji w przypadku zmiany ceny materiałów lub kosztów związanych z realizacją zamówienia.</w:t>
      </w:r>
    </w:p>
    <w:p w14:paraId="6193F7B7" w14:textId="77777777" w:rsidR="001F505C" w:rsidRPr="001F505C" w:rsidRDefault="001F505C" w:rsidP="00643DE1">
      <w:pPr>
        <w:pStyle w:val="Akapitzlist"/>
        <w:numPr>
          <w:ilvl w:val="0"/>
          <w:numId w:val="44"/>
        </w:numPr>
        <w:spacing w:after="0"/>
        <w:ind w:left="426"/>
        <w:contextualSpacing w:val="0"/>
        <w:jc w:val="both"/>
        <w:rPr>
          <w:sz w:val="24"/>
          <w:szCs w:val="24"/>
          <w:lang w:eastAsia="pl-PL"/>
        </w:rPr>
      </w:pPr>
      <w:r w:rsidRPr="001F505C">
        <w:rPr>
          <w:sz w:val="24"/>
          <w:szCs w:val="24"/>
        </w:rPr>
        <w:t>Na zasadach określonych w Umowie Strony będą waloryzowały koszty realizacji czynności wchodzących w skład Przedmiotu Umowy („Waloryzacja”). Waloryzacja będzie polegała na podwyższeniu albo obniżeniu wynagrodzenia podanego w § 9 ust. 1 Umowy.</w:t>
      </w:r>
    </w:p>
    <w:p w14:paraId="04930C5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późn. zm.) każda ze Stron może wystąpić do drugiej Strony z pisemnym wnioskiem o dokonanie Waloryzacji.</w:t>
      </w:r>
    </w:p>
    <w:p w14:paraId="184D0574"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Każda ze Stron będzie uprawniona wystąpić do drugiej Strony z wnioskiem o dokonanie Waloryzacji każdorazowo po komunikacie Prezesa Głównego Urzędu Statystycznego ogłaszającym kolejny Wskaźnik GUS.</w:t>
      </w:r>
    </w:p>
    <w:p w14:paraId="5DD6EE2F"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Ewentualna Waloryzacja będzie ustalana przez Strony w drodze aneksu do Umowy ze skutkiem od dnia opublikowania komunikatu Prezesa Głównego Urzędu Statystycznego ogłaszającego Wskaźnik GUS („Dzień Ustalenia Waloryzacji”).</w:t>
      </w:r>
    </w:p>
    <w:p w14:paraId="197C600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Wnioskowana zmiana wynagrodzenia nastąpi pod warunkiem, iż wartość Wskaźnika GUS ogłoszonego w Dniu Ustalania Waloryzacji będzie wskazywała na wzrost lub spadek cen towarów i usług konsumpcyjnych o co najmniej 5 punktów procentowych w stosunku do poprzedniego kwartału („Próg Waloryzacji").</w:t>
      </w:r>
    </w:p>
    <w:p w14:paraId="537C0BE2"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 przypadku, gdy Wskaźnik GUS ogłoszony w Dniu Ustalania Waloryzacji będzie wartością dodatnią wynagrodzenie ulegnie zwiększeniu proporcjonalnie o wielkość wynikającą z komunikatu.</w:t>
      </w:r>
    </w:p>
    <w:p w14:paraId="58E0D12A"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Pod warunkiem przekroczenia Progu Waloryzacji, w przypadku, gdy Wskaźnik GUS ogłoszony w Dniu Ustalania Waloryzacji będzie wartością ujemną wynagrodzenie ulegnie zmniejszeniu proporcjonalnie o wielkość wynikającą z komunikatu.</w:t>
      </w:r>
    </w:p>
    <w:p w14:paraId="43C51FF5"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Strony zastrzegają, że pierwszy wniosek o dokonanie waloryzacji może nastąpić po upływie 6 miesięcy od dnia zawarcia umowy. Wcześniejsza zmiana cen jednostkowych na podstawie niniejszego paragrafu jest niedopuszczalna.</w:t>
      </w:r>
    </w:p>
    <w:p w14:paraId="7C67E2D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lastRenderedPageBreak/>
        <w:t xml:space="preserve">Łączna wartość waloryzacji nie może przekroczyć 10 % wartości Umowy, o której mowa w </w:t>
      </w:r>
      <w:r w:rsidRPr="001F505C">
        <w:rPr>
          <w:sz w:val="24"/>
          <w:szCs w:val="24"/>
        </w:rPr>
        <w:br/>
        <w:t>§ 9 ust. 1.</w:t>
      </w:r>
    </w:p>
    <w:p w14:paraId="3875BD4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Wykonawca, którego wynagrodzenie zostało zmienione zgodnie z § 18 zobowiązany jest do zmiany wynagrodzenia przysługującego podwykonawcy, z którym zawarł umowę, w zakresie odpowiadającym zmianom cen materiałów lub kosztów dotyczących zobowiązania podwykonawcy.</w:t>
      </w:r>
    </w:p>
    <w:p w14:paraId="44921298"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32E02CB5" w14:textId="77777777" w:rsidR="001C29DC" w:rsidRPr="00A26A7F" w:rsidRDefault="001C29DC" w:rsidP="001C29DC">
      <w:pPr>
        <w:widowControl w:val="0"/>
        <w:autoSpaceDE w:val="0"/>
        <w:autoSpaceDN w:val="0"/>
        <w:adjustRightInd w:val="0"/>
        <w:spacing w:after="120" w:line="276" w:lineRule="auto"/>
        <w:ind w:left="360" w:hanging="340"/>
        <w:jc w:val="both"/>
        <w:rPr>
          <w:rFonts w:ascii="Calibri" w:hAnsi="Calibri" w:cs="Calibri"/>
        </w:rPr>
      </w:pPr>
      <w:r w:rsidRPr="00A26A7F">
        <w:rPr>
          <w:rFonts w:ascii="Calibri" w:hAnsi="Calibri" w:cs="Calibri"/>
        </w:rPr>
        <w:t xml:space="preserve">Każda zmiana umowy wymaga formy pisemnej pod rygorem nieważności. </w:t>
      </w:r>
    </w:p>
    <w:p w14:paraId="5D1FED46"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20</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8"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D13187">
      <w:footerReference w:type="even" r:id="rId9"/>
      <w:footerReference w:type="default" r:id="rId10"/>
      <w:headerReference w:type="first" r:id="rId11"/>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CEDA" w14:textId="77777777" w:rsidR="00140E5F" w:rsidRDefault="00140E5F">
      <w:r>
        <w:separator/>
      </w:r>
    </w:p>
  </w:endnote>
  <w:endnote w:type="continuationSeparator" w:id="0">
    <w:p w14:paraId="64FF687F" w14:textId="77777777" w:rsidR="00140E5F" w:rsidRDefault="0014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AD3C" w14:textId="77777777" w:rsidR="00140E5F" w:rsidRDefault="00140E5F">
      <w:r>
        <w:separator/>
      </w:r>
    </w:p>
  </w:footnote>
  <w:footnote w:type="continuationSeparator" w:id="0">
    <w:p w14:paraId="5B0F448F" w14:textId="77777777" w:rsidR="00140E5F" w:rsidRDefault="0014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8D20" w14:textId="77777777" w:rsidR="001B563C" w:rsidRPr="001B563C" w:rsidRDefault="001B563C" w:rsidP="001B563C">
    <w:pPr>
      <w:pStyle w:val="Nagwek"/>
      <w:jc w:val="center"/>
      <w:rPr>
        <w:rFonts w:ascii="Calibri" w:hAnsi="Calibri" w:cs="Calibri"/>
        <w:i/>
        <w:iCs/>
        <w:sz w:val="22"/>
        <w:szCs w:val="22"/>
        <w:lang w:val="pl-PL"/>
      </w:rPr>
    </w:pPr>
    <w:r w:rsidRPr="001B563C">
      <w:rPr>
        <w:rFonts w:ascii="Calibri" w:hAnsi="Calibri" w:cs="Calibri"/>
        <w:i/>
        <w:iCs/>
        <w:sz w:val="22"/>
        <w:szCs w:val="22"/>
        <w:lang w:val="pl-PL"/>
      </w:rPr>
      <w:t>ZP.271.39.2024 – Budowa ul. Wiosennej i ul. Pogodnej w Komornikach - poprawa bezpieczeństwa komunikacyjnego na terenie gminy</w:t>
    </w:r>
  </w:p>
  <w:p w14:paraId="02617706" w14:textId="6664D44D" w:rsidR="00970983" w:rsidRPr="001B563C" w:rsidRDefault="00970983" w:rsidP="001B563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201D8"/>
    <w:multiLevelType w:val="hybridMultilevel"/>
    <w:tmpl w:val="F57E7A5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6"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9" w15:restartNumberingAfterBreak="0">
    <w:nsid w:val="2E7A447B"/>
    <w:multiLevelType w:val="hybridMultilevel"/>
    <w:tmpl w:val="1A1E38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5E46ED"/>
    <w:multiLevelType w:val="hybridMultilevel"/>
    <w:tmpl w:val="3DF0AD12"/>
    <w:lvl w:ilvl="0" w:tplc="93A462C0">
      <w:start w:val="1"/>
      <w:numFmt w:val="decimal"/>
      <w:lvlText w:val="%1."/>
      <w:lvlJc w:val="left"/>
      <w:pPr>
        <w:ind w:left="3338" w:hanging="360"/>
      </w:pPr>
      <w:rPr>
        <w:rFonts w:ascii="Calibri" w:eastAsia="Times New Roman" w:hAnsi="Calibri" w:cs="Calibri"/>
      </w:rPr>
    </w:lvl>
    <w:lvl w:ilvl="1" w:tplc="FAEAA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7" w15:restartNumberingAfterBreak="0">
    <w:nsid w:val="3FD762E6"/>
    <w:multiLevelType w:val="hybridMultilevel"/>
    <w:tmpl w:val="4ED265A2"/>
    <w:lvl w:ilvl="0" w:tplc="FFFFFFFF">
      <w:start w:val="1"/>
      <w:numFmt w:val="decimal"/>
      <w:lvlText w:val="%1."/>
      <w:lvlJc w:val="left"/>
      <w:pPr>
        <w:ind w:left="3338" w:hanging="360"/>
      </w:pPr>
      <w:rPr>
        <w:rFonts w:ascii="Calibri" w:eastAsia="Times New Roman" w:hAnsi="Calibri" w:cs="Calibri"/>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4"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22071">
    <w:abstractNumId w:val="22"/>
  </w:num>
  <w:num w:numId="2" w16cid:durableId="2139760637">
    <w:abstractNumId w:val="34"/>
  </w:num>
  <w:num w:numId="3" w16cid:durableId="1625041312">
    <w:abstractNumId w:val="39"/>
  </w:num>
  <w:num w:numId="4" w16cid:durableId="317148056">
    <w:abstractNumId w:val="13"/>
  </w:num>
  <w:num w:numId="5" w16cid:durableId="1153061106">
    <w:abstractNumId w:val="24"/>
  </w:num>
  <w:num w:numId="6" w16cid:durableId="492260739">
    <w:abstractNumId w:val="37"/>
  </w:num>
  <w:num w:numId="7" w16cid:durableId="1487623798">
    <w:abstractNumId w:val="42"/>
  </w:num>
  <w:num w:numId="8" w16cid:durableId="1114255290">
    <w:abstractNumId w:val="44"/>
  </w:num>
  <w:num w:numId="9" w16cid:durableId="586303977">
    <w:abstractNumId w:val="7"/>
  </w:num>
  <w:num w:numId="10" w16cid:durableId="592591123">
    <w:abstractNumId w:val="38"/>
  </w:num>
  <w:num w:numId="11" w16cid:durableId="1570652708">
    <w:abstractNumId w:val="25"/>
  </w:num>
  <w:num w:numId="12" w16cid:durableId="579364187">
    <w:abstractNumId w:val="8"/>
  </w:num>
  <w:num w:numId="13" w16cid:durableId="503664999">
    <w:abstractNumId w:val="40"/>
  </w:num>
  <w:num w:numId="14" w16cid:durableId="752121568">
    <w:abstractNumId w:val="16"/>
  </w:num>
  <w:num w:numId="15" w16cid:durableId="857500982">
    <w:abstractNumId w:val="29"/>
  </w:num>
  <w:num w:numId="16" w16cid:durableId="246692344">
    <w:abstractNumId w:val="36"/>
  </w:num>
  <w:num w:numId="17" w16cid:durableId="374239308">
    <w:abstractNumId w:val="10"/>
  </w:num>
  <w:num w:numId="18" w16cid:durableId="1611007920">
    <w:abstractNumId w:val="31"/>
  </w:num>
  <w:num w:numId="19" w16cid:durableId="328795584">
    <w:abstractNumId w:val="21"/>
  </w:num>
  <w:num w:numId="20" w16cid:durableId="1398628978">
    <w:abstractNumId w:val="17"/>
  </w:num>
  <w:num w:numId="21" w16cid:durableId="1924408689">
    <w:abstractNumId w:val="20"/>
  </w:num>
  <w:num w:numId="22" w16cid:durableId="243074441">
    <w:abstractNumId w:val="15"/>
  </w:num>
  <w:num w:numId="23" w16cid:durableId="2020309489">
    <w:abstractNumId w:val="28"/>
  </w:num>
  <w:num w:numId="24" w16cid:durableId="1940134512">
    <w:abstractNumId w:val="12"/>
  </w:num>
  <w:num w:numId="25" w16cid:durableId="1992519230">
    <w:abstractNumId w:val="43"/>
  </w:num>
  <w:num w:numId="26" w16cid:durableId="246809360">
    <w:abstractNumId w:val="18"/>
  </w:num>
  <w:num w:numId="27" w16cid:durableId="769279070">
    <w:abstractNumId w:val="3"/>
  </w:num>
  <w:num w:numId="28" w16cid:durableId="155344578">
    <w:abstractNumId w:val="11"/>
  </w:num>
  <w:num w:numId="29" w16cid:durableId="1882353181">
    <w:abstractNumId w:val="23"/>
  </w:num>
  <w:num w:numId="30" w16cid:durableId="668480821">
    <w:abstractNumId w:val="5"/>
  </w:num>
  <w:num w:numId="31" w16cid:durableId="1585842918">
    <w:abstractNumId w:val="32"/>
  </w:num>
  <w:num w:numId="32" w16cid:durableId="1306273533">
    <w:abstractNumId w:val="26"/>
  </w:num>
  <w:num w:numId="33" w16cid:durableId="24789445">
    <w:abstractNumId w:val="33"/>
  </w:num>
  <w:num w:numId="34" w16cid:durableId="1370106434">
    <w:abstractNumId w:val="9"/>
  </w:num>
  <w:num w:numId="35" w16cid:durableId="1673217981">
    <w:abstractNumId w:val="45"/>
  </w:num>
  <w:num w:numId="36" w16cid:durableId="1416046922">
    <w:abstractNumId w:val="41"/>
  </w:num>
  <w:num w:numId="37" w16cid:durableId="754984536">
    <w:abstractNumId w:val="4"/>
  </w:num>
  <w:num w:numId="38" w16cid:durableId="871848196">
    <w:abstractNumId w:val="6"/>
  </w:num>
  <w:num w:numId="39" w16cid:durableId="1216090527">
    <w:abstractNumId w:val="35"/>
  </w:num>
  <w:num w:numId="40" w16cid:durableId="982927360">
    <w:abstractNumId w:val="30"/>
  </w:num>
  <w:num w:numId="41" w16cid:durableId="2097550292">
    <w:abstractNumId w:val="1"/>
  </w:num>
  <w:num w:numId="42" w16cid:durableId="56175520">
    <w:abstractNumId w:val="19"/>
  </w:num>
  <w:num w:numId="43" w16cid:durableId="1511022865">
    <w:abstractNumId w:val="27"/>
  </w:num>
  <w:num w:numId="44" w16cid:durableId="93961011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54B1"/>
    <w:rsid w:val="00045DB8"/>
    <w:rsid w:val="0004621D"/>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52F9"/>
    <w:rsid w:val="0009748E"/>
    <w:rsid w:val="000A07E4"/>
    <w:rsid w:val="000A0B9A"/>
    <w:rsid w:val="000A2291"/>
    <w:rsid w:val="000A4AA1"/>
    <w:rsid w:val="000A4B4D"/>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6EC9"/>
    <w:rsid w:val="000F7D61"/>
    <w:rsid w:val="00100291"/>
    <w:rsid w:val="00100D7C"/>
    <w:rsid w:val="00101FBA"/>
    <w:rsid w:val="00102289"/>
    <w:rsid w:val="0011362F"/>
    <w:rsid w:val="00113633"/>
    <w:rsid w:val="00113838"/>
    <w:rsid w:val="0012297D"/>
    <w:rsid w:val="00125311"/>
    <w:rsid w:val="001264FF"/>
    <w:rsid w:val="00130117"/>
    <w:rsid w:val="00133D60"/>
    <w:rsid w:val="00133FBC"/>
    <w:rsid w:val="00136D57"/>
    <w:rsid w:val="00140E5F"/>
    <w:rsid w:val="00141C0D"/>
    <w:rsid w:val="0014222D"/>
    <w:rsid w:val="00146202"/>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63C"/>
    <w:rsid w:val="001B58CC"/>
    <w:rsid w:val="001B65BE"/>
    <w:rsid w:val="001B72BD"/>
    <w:rsid w:val="001C29DC"/>
    <w:rsid w:val="001C2C98"/>
    <w:rsid w:val="001C4911"/>
    <w:rsid w:val="001C5685"/>
    <w:rsid w:val="001C56AC"/>
    <w:rsid w:val="001D4400"/>
    <w:rsid w:val="001D5140"/>
    <w:rsid w:val="001D60BA"/>
    <w:rsid w:val="001D60C9"/>
    <w:rsid w:val="001D661B"/>
    <w:rsid w:val="001D6CBE"/>
    <w:rsid w:val="001E3EBD"/>
    <w:rsid w:val="001E42E7"/>
    <w:rsid w:val="001E5D11"/>
    <w:rsid w:val="001F282C"/>
    <w:rsid w:val="001F3A2D"/>
    <w:rsid w:val="001F505C"/>
    <w:rsid w:val="001F510B"/>
    <w:rsid w:val="00203D7B"/>
    <w:rsid w:val="002049E5"/>
    <w:rsid w:val="00204AA6"/>
    <w:rsid w:val="00205F25"/>
    <w:rsid w:val="00206776"/>
    <w:rsid w:val="00206D78"/>
    <w:rsid w:val="00212378"/>
    <w:rsid w:val="002126C6"/>
    <w:rsid w:val="002136C4"/>
    <w:rsid w:val="00213EE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5884"/>
    <w:rsid w:val="002959C7"/>
    <w:rsid w:val="002962D8"/>
    <w:rsid w:val="002A00E6"/>
    <w:rsid w:val="002A4364"/>
    <w:rsid w:val="002A44F6"/>
    <w:rsid w:val="002A52A5"/>
    <w:rsid w:val="002A6450"/>
    <w:rsid w:val="002A6EA7"/>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6E1B"/>
    <w:rsid w:val="003571B2"/>
    <w:rsid w:val="00362133"/>
    <w:rsid w:val="00362299"/>
    <w:rsid w:val="003630F1"/>
    <w:rsid w:val="00367A85"/>
    <w:rsid w:val="003705A4"/>
    <w:rsid w:val="003712B6"/>
    <w:rsid w:val="003723B3"/>
    <w:rsid w:val="0037361F"/>
    <w:rsid w:val="00374683"/>
    <w:rsid w:val="00375167"/>
    <w:rsid w:val="0038326A"/>
    <w:rsid w:val="00384BA4"/>
    <w:rsid w:val="00387F5A"/>
    <w:rsid w:val="003910FD"/>
    <w:rsid w:val="0039209F"/>
    <w:rsid w:val="00394E0E"/>
    <w:rsid w:val="003A446A"/>
    <w:rsid w:val="003A4ED0"/>
    <w:rsid w:val="003A7F68"/>
    <w:rsid w:val="003B142A"/>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D7B83"/>
    <w:rsid w:val="003E1C47"/>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4DB2"/>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14C"/>
    <w:rsid w:val="00537CA4"/>
    <w:rsid w:val="00541F4E"/>
    <w:rsid w:val="005452D9"/>
    <w:rsid w:val="0055087C"/>
    <w:rsid w:val="00551AD4"/>
    <w:rsid w:val="00552089"/>
    <w:rsid w:val="00553384"/>
    <w:rsid w:val="00554DAD"/>
    <w:rsid w:val="00555BD9"/>
    <w:rsid w:val="0056013C"/>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595E"/>
    <w:rsid w:val="005E5F73"/>
    <w:rsid w:val="005E6193"/>
    <w:rsid w:val="005E6AF9"/>
    <w:rsid w:val="005F08B9"/>
    <w:rsid w:val="005F2EE0"/>
    <w:rsid w:val="005F4A3E"/>
    <w:rsid w:val="005F50C0"/>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3292F"/>
    <w:rsid w:val="0063490A"/>
    <w:rsid w:val="0063592D"/>
    <w:rsid w:val="00636616"/>
    <w:rsid w:val="006411BE"/>
    <w:rsid w:val="006412C5"/>
    <w:rsid w:val="006418BA"/>
    <w:rsid w:val="00643DE1"/>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7FF7"/>
    <w:rsid w:val="00695B18"/>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5291"/>
    <w:rsid w:val="006E598D"/>
    <w:rsid w:val="006E7AE0"/>
    <w:rsid w:val="006F2D69"/>
    <w:rsid w:val="006F6A8A"/>
    <w:rsid w:val="00701425"/>
    <w:rsid w:val="00701EE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6D47"/>
    <w:rsid w:val="00737C8B"/>
    <w:rsid w:val="00745565"/>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7B35"/>
    <w:rsid w:val="00787C7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1764B"/>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67A83"/>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2B1C"/>
    <w:rsid w:val="00982D95"/>
    <w:rsid w:val="00983152"/>
    <w:rsid w:val="0098322C"/>
    <w:rsid w:val="009853C8"/>
    <w:rsid w:val="00985BD8"/>
    <w:rsid w:val="009919C7"/>
    <w:rsid w:val="009954D2"/>
    <w:rsid w:val="00995F4F"/>
    <w:rsid w:val="00996757"/>
    <w:rsid w:val="009974B3"/>
    <w:rsid w:val="00997AF9"/>
    <w:rsid w:val="009A5742"/>
    <w:rsid w:val="009A5B12"/>
    <w:rsid w:val="009A7FC7"/>
    <w:rsid w:val="009B07EA"/>
    <w:rsid w:val="009B3E9F"/>
    <w:rsid w:val="009B53CA"/>
    <w:rsid w:val="009B6DE5"/>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46462"/>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BD7"/>
    <w:rsid w:val="00AB7F1F"/>
    <w:rsid w:val="00AC37C5"/>
    <w:rsid w:val="00AC3C5A"/>
    <w:rsid w:val="00AC6FA5"/>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450"/>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530A"/>
    <w:rsid w:val="00B35B7F"/>
    <w:rsid w:val="00B3682D"/>
    <w:rsid w:val="00B439D9"/>
    <w:rsid w:val="00B47B43"/>
    <w:rsid w:val="00B47D2F"/>
    <w:rsid w:val="00B55356"/>
    <w:rsid w:val="00B5693E"/>
    <w:rsid w:val="00B637ED"/>
    <w:rsid w:val="00B63E4B"/>
    <w:rsid w:val="00B662AE"/>
    <w:rsid w:val="00B668E6"/>
    <w:rsid w:val="00B7041C"/>
    <w:rsid w:val="00B72838"/>
    <w:rsid w:val="00B748B1"/>
    <w:rsid w:val="00B8154E"/>
    <w:rsid w:val="00B82359"/>
    <w:rsid w:val="00B84A93"/>
    <w:rsid w:val="00B94961"/>
    <w:rsid w:val="00B97D8C"/>
    <w:rsid w:val="00BA1362"/>
    <w:rsid w:val="00BA69C2"/>
    <w:rsid w:val="00BA7E91"/>
    <w:rsid w:val="00BB082D"/>
    <w:rsid w:val="00BB2319"/>
    <w:rsid w:val="00BB2A59"/>
    <w:rsid w:val="00BB3552"/>
    <w:rsid w:val="00BB3E56"/>
    <w:rsid w:val="00BB3FF2"/>
    <w:rsid w:val="00BB469E"/>
    <w:rsid w:val="00BB62C3"/>
    <w:rsid w:val="00BC07DB"/>
    <w:rsid w:val="00BC3B96"/>
    <w:rsid w:val="00BC3C92"/>
    <w:rsid w:val="00BC4F13"/>
    <w:rsid w:val="00BC572D"/>
    <w:rsid w:val="00BD42C4"/>
    <w:rsid w:val="00BD4C1F"/>
    <w:rsid w:val="00BD59E8"/>
    <w:rsid w:val="00BD5FA8"/>
    <w:rsid w:val="00BD651A"/>
    <w:rsid w:val="00BD6EF7"/>
    <w:rsid w:val="00BD7953"/>
    <w:rsid w:val="00BE18F4"/>
    <w:rsid w:val="00BE29B5"/>
    <w:rsid w:val="00BE2E5C"/>
    <w:rsid w:val="00BE6C68"/>
    <w:rsid w:val="00BE77F6"/>
    <w:rsid w:val="00BE7A0A"/>
    <w:rsid w:val="00BF0C27"/>
    <w:rsid w:val="00BF3161"/>
    <w:rsid w:val="00BF3F6E"/>
    <w:rsid w:val="00BF5D6B"/>
    <w:rsid w:val="00C00478"/>
    <w:rsid w:val="00C029D2"/>
    <w:rsid w:val="00C04310"/>
    <w:rsid w:val="00C06671"/>
    <w:rsid w:val="00C06AC7"/>
    <w:rsid w:val="00C076C1"/>
    <w:rsid w:val="00C111C4"/>
    <w:rsid w:val="00C16F7C"/>
    <w:rsid w:val="00C21058"/>
    <w:rsid w:val="00C32073"/>
    <w:rsid w:val="00C35C36"/>
    <w:rsid w:val="00C37DD8"/>
    <w:rsid w:val="00C409E8"/>
    <w:rsid w:val="00C40BCE"/>
    <w:rsid w:val="00C4146B"/>
    <w:rsid w:val="00C41973"/>
    <w:rsid w:val="00C44643"/>
    <w:rsid w:val="00C469E4"/>
    <w:rsid w:val="00C50E66"/>
    <w:rsid w:val="00C5391D"/>
    <w:rsid w:val="00C56785"/>
    <w:rsid w:val="00C5779E"/>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0125"/>
    <w:rsid w:val="00D021A2"/>
    <w:rsid w:val="00D0257D"/>
    <w:rsid w:val="00D11BCD"/>
    <w:rsid w:val="00D12508"/>
    <w:rsid w:val="00D13187"/>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5474"/>
    <w:rsid w:val="00D373ED"/>
    <w:rsid w:val="00D37816"/>
    <w:rsid w:val="00D42791"/>
    <w:rsid w:val="00D42EE1"/>
    <w:rsid w:val="00D449DE"/>
    <w:rsid w:val="00D46039"/>
    <w:rsid w:val="00D5040A"/>
    <w:rsid w:val="00D57786"/>
    <w:rsid w:val="00D57950"/>
    <w:rsid w:val="00D57B83"/>
    <w:rsid w:val="00D57D51"/>
    <w:rsid w:val="00D608A6"/>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3551"/>
    <w:rsid w:val="00DA6D89"/>
    <w:rsid w:val="00DB027E"/>
    <w:rsid w:val="00DB1302"/>
    <w:rsid w:val="00DB270E"/>
    <w:rsid w:val="00DB5E22"/>
    <w:rsid w:val="00DC0BFE"/>
    <w:rsid w:val="00DC4F65"/>
    <w:rsid w:val="00DD19FD"/>
    <w:rsid w:val="00DD231C"/>
    <w:rsid w:val="00DD262A"/>
    <w:rsid w:val="00DD2B2E"/>
    <w:rsid w:val="00DD646A"/>
    <w:rsid w:val="00DE03B5"/>
    <w:rsid w:val="00DE2283"/>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6E7E"/>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0F02"/>
    <w:rsid w:val="00F876D6"/>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0C19"/>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rsid w:val="00AC6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45279028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03072193">
      <w:bodyDiv w:val="1"/>
      <w:marLeft w:val="0"/>
      <w:marRight w:val="0"/>
      <w:marTop w:val="0"/>
      <w:marBottom w:val="0"/>
      <w:divBdr>
        <w:top w:val="none" w:sz="0" w:space="0" w:color="auto"/>
        <w:left w:val="none" w:sz="0" w:space="0" w:color="auto"/>
        <w:bottom w:val="none" w:sz="0" w:space="0" w:color="auto"/>
        <w:right w:val="none" w:sz="0" w:space="0" w:color="auto"/>
      </w:divBdr>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16105236">
      <w:bodyDiv w:val="1"/>
      <w:marLeft w:val="0"/>
      <w:marRight w:val="0"/>
      <w:marTop w:val="0"/>
      <w:marBottom w:val="0"/>
      <w:divBdr>
        <w:top w:val="none" w:sz="0" w:space="0" w:color="auto"/>
        <w:left w:val="none" w:sz="0" w:space="0" w:color="auto"/>
        <w:bottom w:val="none" w:sz="0" w:space="0" w:color="auto"/>
        <w:right w:val="none" w:sz="0" w:space="0" w:color="auto"/>
      </w:divBdr>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komorniki.pl/komorniki/biuletyn-informacji-publicznej/ochrona-danych-osobowy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9861</Words>
  <Characters>59169</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68893</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Joanna Laskowska</cp:lastModifiedBy>
  <cp:revision>14</cp:revision>
  <cp:lastPrinted>2024-03-21T10:01:00Z</cp:lastPrinted>
  <dcterms:created xsi:type="dcterms:W3CDTF">2024-04-23T06:27:00Z</dcterms:created>
  <dcterms:modified xsi:type="dcterms:W3CDTF">2024-10-07T10:39:00Z</dcterms:modified>
</cp:coreProperties>
</file>