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Opis mebli:</w:t>
      </w:r>
    </w:p>
    <w:p>
      <w:pPr>
        <w:pStyle w:val="BodyText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1. Pokój pielęgniarki oddziałowej - 100.P.01</w:t>
      </w:r>
    </w:p>
    <w:p>
      <w:pPr>
        <w:pStyle w:val="Normal"/>
        <w:jc w:val="both"/>
        <w:rPr>
          <w:rFonts w:ascii="Calibri" w:hAnsi="Calibri" w:asciiTheme="minorHAnsi" w:hAnsiTheme="minorHAnsi"/>
          <w:b/>
          <w:smallCaps/>
          <w:sz w:val="20"/>
          <w:szCs w:val="20"/>
        </w:rPr>
      </w:pPr>
      <w:r>
        <w:rPr>
          <w:rFonts w:asciiTheme="minorHAnsi" w:hAnsiTheme="minorHAnsi" w:ascii="Calibri" w:hAnsi="Calibri"/>
          <w:b/>
          <w:smallCaps/>
          <w:sz w:val="20"/>
          <w:szCs w:val="20"/>
        </w:rPr>
      </w:r>
    </w:p>
    <w:tbl>
      <w:tblPr>
        <w:tblW w:w="8790" w:type="dxa"/>
        <w:jc w:val="left"/>
        <w:tblInd w:w="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8"/>
        <w:gridCol w:w="508"/>
        <w:gridCol w:w="4255"/>
        <w:gridCol w:w="1477"/>
        <w:gridCol w:w="2492"/>
      </w:tblGrid>
      <w:tr>
        <w:trPr>
          <w:trHeight w:val="780" w:hRule="atLeast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wymagany 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oferowany </w:t>
            </w:r>
          </w:p>
        </w:tc>
      </w:tr>
      <w:tr>
        <w:trPr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1.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 xml:space="preserve">Zestaw mebli kuchennych wykonanych z materiałów łatwo zmywalnych, nienasiąkliwych, odpornych na działanie środków dezynfekcyjnych z wbudowanym zlewem 1 komorowym ( jednouchwytowa bateria kuchenna) </w:t>
              <w:br/>
              <w:t xml:space="preserve">z blatem gr.38mm montowane 15cm nad podłogą, z wbudowaną lodówką 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>Fronty i korpusy płyta wiórowa laminowana, blat hpl 38mm.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 w:asciiTheme="minorHAnsi" w:hAnsiTheme="minorHAnsi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W skład zabudowy wchodzi: zabudowa dolna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dolna  1 drzwiowa pod zlew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dolna  1 drzwiowa  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stojąca z szufladami - Wymiary: 600x600x910 mm – szt. 1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zabudowa lodówki   - Wymiary: 600x600x8910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w wbudowanym pojemnikiem na odpady - Wymiary: 600x600x910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Zabudowa górna wisząca : szafka z półką 1 drzwiowa 600x370x720 – 5 szt.</w:t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Fronty szafek  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Korpus szafek-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Prowadnice: łożyskowe z hamulcem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Zawiasy: z hamulcem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5.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Blat hpl gr. 38 mm w kolorze i strukturze  do ustalenia z Zamawiającym po wyborze oferenta ( wymagany atest lub inny dokument świadczący o właściwościach antybakteryjnych i odporności na chemikalia).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0"/>
                <w:szCs w:val="20"/>
              </w:rPr>
              <w:t>Biurko 160x70x76 na stelażu metalowym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blat wykonany z trójwarstwowej płyty meblowej obustronnie melaminowanej w klasie higieniczności E1 o grubości 36 mm, płaszczyzny zabezpieczone obrzeżem z tworzywa sztucznego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stelaż metalowy malowany proszkowo – kolor do wyboru przez zamawiającego,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rodzaj nogi – typu „L”,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biurko wyposażone w osłonę czołową malowaną proszkowo w kolorze blatu, o wysokości 40 - 45 cm,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biurko posiada przepust kablowy o średnicy fi 60 mm wykonany z tworzywa sztucznego w kolorze do wyboru przez zamawiającego,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kolor blatu – do uzgodnienia z zamawiającym.</w:t>
            </w:r>
            <w:r>
              <w:rPr>
                <w:rFonts w:cs="Calibri" w:ascii="Calibri" w:hAnsi="Calibri" w:cstheme="minorHAnsi"/>
                <w:i/>
                <w:iCs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Kontener 4 szufladowy 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korpus, plecy, front i wieniec dolny z płyty meblowej trójwarstwowej w klasie higieniczności E1 obustronnie melaminowanej o grubości 18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wieniec górny z płyty meblowej trójwarstwowej w klasie higieniczności E1 obustronnie melaminowanej o grubości 36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wszystkie krawędzie wykończone obrzeżem PCV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kontener posiada cztery szuflady o wkładach z płyty meblowej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kontener posiada zamek centralny z dwoma kluczami łamanymi – montowany we froncie,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 xml:space="preserve">- szuflady na prowadnicach łożyskowych, z pełnym wysuwem, z cichym systemem samodomykania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kontener posiada cztery kółka jezdne, w tym co najmniej dwa posiadają hamulec, kółka nie rysujące podłogi,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szuflady wyposażone w chwyty stalowe, kolor oraz rodzaj uchwytu do uzgodnienia z zamawiającym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Fotel obrotowy: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Wymiary: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wysokość całkowita: 100 – 120 cm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 w:cs="Calibri" w:cs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Opis: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szerokie, komfortowe siedzisko i ergonomicznie wyprofilowane oparcie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miękkie, tapicerowane siedzisko i oparcie z eko-skóry – kolor do uzgodnienia z zamawiającym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oparcie odchylające się synchronicznie z siedziskiem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możliwość blokady siedziska i oparcia w różnych pozycjach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 xml:space="preserve">- regulacja siły oporu oparcia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ścieralność tkaniny: minimum 300 000 cykli Martindale’a.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zabezpieczenie przed uderzeniem oparcia w plecy użytkownika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regulacja głębokości siedziska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płynna regulacja wysokości krzesła za pomocą podnośnika pneumatycznego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podłokietniki: regulowane z miękkimi nakładkami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kółka: samohamowne</w:t>
            </w:r>
          </w:p>
          <w:p>
            <w:pPr>
              <w:pStyle w:val="ListParagraph"/>
              <w:widowControl w:val="false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Szafka wisząca nad biurkiem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Wymiary zewnętrzne (wys. x szer. x gł.): 75x100x35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Szafka wisząca z 1 półką przestawną. Przestrzeń zamknięta niezależnie otwieranymi drzwiami pełnymi.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Wykonanie szafy: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korpus i fronty z płyty meblowej trójwarstwowej w klasie higieniczności E1 obustronnie melaminowanej o grubości 18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wszystkie krawędzie wykończone obrzeżem PCV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wnętrze szafy posiada nawiercenia do regulacji półek na całej wysokości,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półki płytowe, wykonane z płyty meblowej trójwarstwowej w klasie higieniczności E1 obustronnie melaminowanej o grubości 18 mm,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półki wyposażone w podpórki typu „secura” zapobiegające przypadkowemu wysunięciu półki,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elementy mebla łączone za pomocą mimośrodów (nie dopuszcza się łączenia za pomocą kleju),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ściany tylne szafek wykonane z płyty HDF o grubości 3 mm jednostronnie lakierowanej na kolor biały z systemowym stalowym wzmocnieniem,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zawiasy puszkowe z cichym systemem samodomykania, o kącie otwarcia minimum 100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  <w:vertAlign w:val="superscript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, z regulacją w trzech płaszczyznach,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uchylne drzwi szafy wyposażone w zamki jednopunktowe, każdy zamek w komplecie z dwoma kluczami łamanymi i możliwością zastosowania klucza matki tzw. "master-key",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Szafa aktowa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Wymiary zewnętrzne (wys. x szer. x gł.): 200 x 60 x 45 cm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Szafa w środku 2 półki stałe i 2 półki przesuwne..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Wykonanie szafy: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korpus z płyty meblowej trójwarstwowej w klasie higieniczności E1 obustronnie melaminowanej o grubości 18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wszystkie krawędzie wykończone obrzeżem PCV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wnętrze szafy posiada nawiercenia do regulacji półek na całej wysokości,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półki płytowe, wykonane z płyty meblowej trójwarstwowej w klasie higieniczności E1 obustronnie melaminowanej o grubości 18 mm,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półki wyposażone w podpórki typu „secura” zapobiegające przypadkowemu wysunięciu półki,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elementy mebla łączone za pomocą mimośrodów (nie dopuszcza się łączenia za pomocą kleju),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ściany tylne szafek wykonane z płyty HDF o grubości 3 mm jednostronnie lakierowanej na kolor biały z systemowym stalowym wzmocnieniem,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cokolik szafek dolnych demontowalny na klipsach.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  <w:tr>
        <w:trPr>
          <w:cantSplit w:val="true"/>
        </w:trPr>
        <w:tc>
          <w:tcPr>
            <w:tcW w:w="58" w:type="dxa"/>
            <w:tcBorders/>
            <w:shd w:fill="CCCCCC" w:val="clear"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II.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144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Pozostałe warunki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Gwarancja min. 24 miesiące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  <w:r>
        <w:br w:type="page"/>
      </w:r>
    </w:p>
    <w:p>
      <w:pPr>
        <w:pStyle w:val="BodyText3"/>
        <w:spacing w:before="0"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2. Pokój lekarski - 100.P.02</w:t>
      </w:r>
    </w:p>
    <w:p>
      <w:pPr>
        <w:pStyle w:val="Normal"/>
        <w:jc w:val="both"/>
        <w:rPr>
          <w:rFonts w:ascii="Calibri" w:hAnsi="Calibri" w:asciiTheme="minorHAnsi" w:hAnsiTheme="minorHAnsi"/>
          <w:b/>
          <w:smallCaps/>
          <w:sz w:val="20"/>
          <w:szCs w:val="20"/>
        </w:rPr>
      </w:pPr>
      <w:r>
        <w:rPr>
          <w:rFonts w:asciiTheme="minorHAnsi" w:hAnsiTheme="minorHAnsi" w:ascii="Calibri" w:hAnsi="Calibri"/>
          <w:b/>
          <w:smallCaps/>
          <w:sz w:val="20"/>
          <w:szCs w:val="20"/>
        </w:rPr>
      </w:r>
    </w:p>
    <w:tbl>
      <w:tblPr>
        <w:tblW w:w="8790" w:type="dxa"/>
        <w:jc w:val="left"/>
        <w:tblInd w:w="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8"/>
        <w:gridCol w:w="508"/>
        <w:gridCol w:w="4255"/>
        <w:gridCol w:w="1477"/>
        <w:gridCol w:w="2492"/>
      </w:tblGrid>
      <w:tr>
        <w:trPr>
          <w:trHeight w:val="780" w:hRule="atLeast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wymagany 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oferowany </w:t>
            </w:r>
          </w:p>
        </w:tc>
      </w:tr>
      <w:tr>
        <w:trPr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1.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 xml:space="preserve">Zestaw mebli kuchennych wykonanych z materiałów łatwo zmywalnych, nienasiąkliwych, odpornych na działanie środków dezynfekcyjnych z wbudowanym zlewem 1 komorowym ( jednouchwytowa bateria kuchenna) </w:t>
              <w:br/>
              <w:t xml:space="preserve">z blatem gr.38mm montowane 15cm nad podłogą, z wbudowaną lodówką 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>Fronty i korpusy płyta wiórowa laminowana, blat hpl 38mm.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 w:asciiTheme="minorHAnsi" w:hAnsiTheme="minorHAnsi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W skład zabudowy wchodzi: zabudowa dolna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dolna  1 drzwiowa pod zlew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dolna  1 drzwiowa  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stojąca z szufladami - Wymiary: 600x600x910 mm – szt. 1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zabudowa lodówki   - Wymiary: 600x600x8910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w wbudowanym pojemnikiem na odpady - Wymiary: 600x600x910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Zabudowa górna wisząca : szafka z półką 1 drzwiowa 600x370x720 – 5 szt.</w:t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Fronty szafek  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Korpus szafek-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Prowadnice: łożyskowe z hamulcem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Zawiasy: z hamulcem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5.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Blat hpl gr. 38 mm w kolorze i strukturze  do ustalenia z Zamawiającym po wyborze oferenta ( wymagany atest lub inny dokument świadczący o właściwościach antybakteryjnych i odporności na chemikalia).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0"/>
                <w:szCs w:val="20"/>
              </w:rPr>
              <w:t>Biurko 160x70x76 na stelażu metalowym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blat wykonany z trójwarstwowej płyty meblowej obustronnie melaminowanej w klasie higieniczności E1 o grubości 36 mm, płaszczyzny zabezpieczone obrzeżem z tworzywa sztucznego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stelaż metalowy malowany proszkowo – kolor do wyboru przez zamawiającego,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rodzaj nogi – typu „L”,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biurko wyposażone w osłonę czołową malowaną proszkowo w kolorze blatu, o wysokości 40 - 45 cm,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biurko posiada przepust kablowy o średnicy fi 60 mm wykonany z tworzywa sztucznego w kolorze do wyboru przez zamawiającego,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kolor blatu – do uzgodnienia z zamawiającym.</w:t>
            </w:r>
            <w:r>
              <w:rPr>
                <w:rFonts w:cs="Calibri" w:ascii="Calibri" w:hAnsi="Calibri" w:cstheme="minorHAnsi"/>
                <w:i/>
                <w:iCs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Kontener 4 szufladowy 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korpus, plecy, front i wieniec dolny z płyty meblowej trójwarstwowej w klasie higieniczności E1 obustronnie melaminowanej o grubości 18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wieniec górny z płyty meblowej trójwarstwowej w klasie higieniczności E1 obustronnie melaminowanej o grubości 36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wszystkie krawędzie wykończone obrzeżem PCV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kontener posiada cztery szuflady o wkładach z płyty meblowej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kontener posiada zamek centralny z dwoma kluczami łamanymi – montowany we froncie,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 xml:space="preserve">- szuflady na prowadnicach łożyskowych, z pełnym wysuwem, z cichym systemem samodomykania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kontener posiada cztery kółka jezdne, w tym co najmniej dwa posiadają hamulec, kółka nie rysujące podłogi,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szuflady wyposażone w chwyty stalowe, kolor oraz rodzaj uchwytu do uzgodnienia z zamawiającym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Fotel obrotowy: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Wymiary: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wysokość całkowita: 100 – 120 cm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 w:cs="Calibri" w:cs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Opis: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szerokie, komfortowe siedzisko i ergonomicznie wyprofilowane oparcie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miękkie, tapicerowane siedzisko i oparcie z eko-skóry – kolor do uzgodnienia z zamawiającym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oparcie odchylające się synchronicznie z siedziskiem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możliwość blokady siedziska i oparcia w różnych pozycjach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 xml:space="preserve">- regulacja siły oporu oparcia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ścieralność tkaniny: minimum 300 000 cykli Martindale’a.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zabezpieczenie przed uderzeniem oparcia w plecy użytkownika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regulacja głębokości siedziska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płynna regulacja wysokości krzesła za pomocą podnośnika pneumatycznego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podłokietniki: regulowane z miękkimi nakładkami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kółka: samohamowne</w:t>
            </w:r>
          </w:p>
          <w:p>
            <w:pPr>
              <w:pStyle w:val="ListParagraph"/>
              <w:widowControl w:val="false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Szafka wisząca nad biurkiem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Wymiary zewnętrzne (wys. x szer. x gł.): 75x100x35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Szafka wisząca z 1 półką przestawną. Przestrzeń zamknięta niezależnie otwieranymi drzwiami pełnymi.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Wykonanie szafy: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korpus i fronty z płyty meblowej trójwarstwowej w klasie higieniczności E1 obustronnie melaminowanej o grubości 18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wszystkie krawędzie wykończone obrzeżem PCV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wnętrze szafy posiada nawiercenia do regulacji półek na całej wysokości,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półki płytowe, wykonane z płyty meblowej trójwarstwowej w klasie higieniczności E1 obustronnie melaminowanej o grubości 18 mm,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półki wyposażone w podpórki typu „secura” zapobiegające przypadkowemu wysunięciu półki,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elementy mebla łączone za pomocą mimośrodów (nie dopuszcza się łączenia za pomocą kleju),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ściany tylne szafek wykonane z płyty HDF o grubości 3 mm jednostronnie lakierowanej na kolor biały z systemowym stalowym wzmocnieniem,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zawiasy puszkowe z cichym systemem samodomykania, o kącie otwarcia minimum 100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  <w:vertAlign w:val="superscript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, z regulacją w trzech płaszczyznach,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uchylne drzwi szafy wyposażone w zamki jednopunktowe, każdy zamek w komplecie z dwoma kluczami łamanymi i możliwością zastosowania klucza matki tzw. "master-key",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Szafa aktowa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Wymiary zewnętrzne (wys. x szer. x gł.): 200 x 60 x 45 cm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Szafa w środku 2 półki stałe i 2 półki przesuwne..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Wykonanie szafy: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korpus z płyty meblowej trójwarstwowej w klasie higieniczności E1 obustronnie melaminowanej o grubości 18 mm,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wszystkie krawędzie wykończone obrzeżem PCV o grubości 2 mm w kolorze płyty, krawędzie obrzeża zaokrąglone,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wnętrze szafy posiada nawiercenia do regulacji półek na całej wysokości,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półki płytowe, wykonane z płyty meblowej trójwarstwowej w klasie higieniczności E1 obustronnie melaminowanej o grubości 18 mm,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półki wyposażone w podpórki typu „secura” zapobiegające przypadkowemu wysunięciu półki,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- elementy mebla łączone za pomocą mimośrodów (nie dopuszcza się łączenia za pomocą kleju),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ściany tylne szafek wykonane z płyty HDF o grubości 3 mm jednostronnie lakierowanej na kolor biały z systemowym stalowym wzmocnieniem,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- cokolik szafek dolnych demontowalny na klipsach.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11.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Sofa rozkładana 3 -osobowa – tapicerka zmywalna dł. 210cm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II.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144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Pozostałe warunki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Gwarancja min. 24 miesiące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</w:tbl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3. Punkt pielęgniarki - 100.P.03</w:t>
      </w:r>
    </w:p>
    <w:p>
      <w:pPr>
        <w:pStyle w:val="Normal"/>
        <w:jc w:val="both"/>
        <w:rPr>
          <w:rFonts w:ascii="Calibri" w:hAnsi="Calibri" w:asciiTheme="minorHAnsi" w:hAnsiTheme="minorHAnsi"/>
          <w:b/>
          <w:smallCaps/>
          <w:sz w:val="20"/>
          <w:szCs w:val="20"/>
        </w:rPr>
      </w:pPr>
      <w:r>
        <w:rPr>
          <w:rFonts w:asciiTheme="minorHAnsi" w:hAnsiTheme="minorHAnsi" w:ascii="Calibri" w:hAnsi="Calibri"/>
          <w:b/>
          <w:smallCaps/>
          <w:sz w:val="20"/>
          <w:szCs w:val="20"/>
        </w:rPr>
      </w:r>
    </w:p>
    <w:tbl>
      <w:tblPr>
        <w:tblW w:w="8790" w:type="dxa"/>
        <w:jc w:val="left"/>
        <w:tblInd w:w="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8"/>
        <w:gridCol w:w="508"/>
        <w:gridCol w:w="4255"/>
        <w:gridCol w:w="1477"/>
        <w:gridCol w:w="2492"/>
      </w:tblGrid>
      <w:tr>
        <w:trPr>
          <w:trHeight w:val="780" w:hRule="atLeast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wymagany 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oferowany </w:t>
            </w:r>
          </w:p>
        </w:tc>
      </w:tr>
      <w:tr>
        <w:trPr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  <w:shd w:fill="auto" w:val="clear"/>
              </w:rPr>
              <w:t xml:space="preserve">1.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ahoma" w:ascii="Calibri" w:hAnsi="Calibri"/>
                <w:sz w:val="20"/>
                <w:szCs w:val="20"/>
                <w:shd w:fill="auto" w:val="clear"/>
              </w:rPr>
              <w:t>Blat hpl gr. 38 mm w kolorze i strukturze  do ustalenia z Zamawiającym po wyborze oferenta ( wymagany atest lub inny dokument świadczący o właściwościach antybakteryjnych i odporności na chemikalia).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Fotel obrotowy: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Wymiary: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wysokość całkowita: 100 – 120 cm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 w:cs="Calibri" w:cs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Opis: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szerokie, komfortowe siedzisko i ergonomicznie wyprofilowane oparcie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miękkie, tapicerowane siedzisko i oparcie z eko-skóry – kolor do uzgodnienia z zamawiającym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oparcie odchylające się synchronicznie z siedziskiem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możliwość blokady siedziska i oparcia w różnych pozycjach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 xml:space="preserve">- regulacja siły oporu oparcia 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ścieralność tkaniny: minimum 300 000 cykli Martindale’a.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zabezpieczenie przed uderzeniem oparcia w plecy użytkownika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regulacja głębokości siedziska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płynna regulacja wysokości krzesła za pomocą podnośnika pneumatycznego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podłokietniki: regulowane z miękkimi nakładkami</w:t>
            </w:r>
          </w:p>
          <w:p>
            <w:pPr>
              <w:pStyle w:val="NoSpacing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sz w:val="20"/>
                <w:szCs w:val="20"/>
              </w:rPr>
              <w:t>- kółka: samohamowne</w:t>
            </w:r>
          </w:p>
          <w:p>
            <w:pPr>
              <w:pStyle w:val="ListParagraph"/>
              <w:widowControl w:val="false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II.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144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Pozostałe warunki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Gwarancja min. 24 miesiące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</w:tbl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  <w:br/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</w:rPr>
      </w:pPr>
      <w:r>
        <w:rPr>
          <w:rFonts w:asciiTheme="minorHAnsi" w:hAnsiTheme="minorHAnsi" w:ascii="Calibri" w:hAnsi="Calibri"/>
          <w:b/>
        </w:rPr>
      </w:r>
    </w:p>
    <w:p>
      <w:pPr>
        <w:pStyle w:val="BodyText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6. Pomieszczenie socjalne dla pielęgniarek - 100.P.04</w:t>
      </w:r>
    </w:p>
    <w:p>
      <w:pPr>
        <w:pStyle w:val="Normal"/>
        <w:jc w:val="both"/>
        <w:rPr>
          <w:rFonts w:ascii="Calibri" w:hAnsi="Calibri" w:asciiTheme="minorHAnsi" w:hAnsiTheme="minorHAnsi"/>
          <w:b/>
          <w:smallCaps/>
          <w:sz w:val="20"/>
          <w:szCs w:val="20"/>
        </w:rPr>
      </w:pPr>
      <w:r>
        <w:rPr>
          <w:rFonts w:asciiTheme="minorHAnsi" w:hAnsiTheme="minorHAnsi" w:ascii="Calibri" w:hAnsi="Calibri"/>
          <w:b/>
          <w:smallCaps/>
          <w:sz w:val="20"/>
          <w:szCs w:val="20"/>
        </w:rPr>
      </w:r>
    </w:p>
    <w:tbl>
      <w:tblPr>
        <w:tblW w:w="8790" w:type="dxa"/>
        <w:jc w:val="left"/>
        <w:tblInd w:w="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8"/>
        <w:gridCol w:w="508"/>
        <w:gridCol w:w="4255"/>
        <w:gridCol w:w="1477"/>
        <w:gridCol w:w="2492"/>
      </w:tblGrid>
      <w:tr>
        <w:trPr>
          <w:trHeight w:val="780" w:hRule="atLeast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wymagany 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oferowany </w:t>
            </w:r>
          </w:p>
        </w:tc>
      </w:tr>
      <w:tr>
        <w:trPr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1.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 xml:space="preserve">Zestaw mebli kuchennych wykonanych z materiałów łatwo zmywalnych, nienasiąkliwych, odpornych na działanie środków dezynfekcyjnych z wbudowanym zlewem 1 komorowym ( jednouchwytowa bateria kuchenna) </w:t>
              <w:br/>
              <w:t xml:space="preserve">z blatem gr.38mm montowane 15cm nad podłogą, z wbudowaną lodówką 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>Fronty i korpusy płyta wiórowa laminowana, blat hpl 38mm.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 w:asciiTheme="minorHAnsi" w:hAnsiTheme="minorHAnsi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W skład zabudowy wchodzi: zabudowa dolna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dolna  1 drzwiowa pod zlew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dolna  1 drzwiowa  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stojąca z szufladami - Wymiary: 600x600x910 mm – szt. 1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zabudowa lodówki   - Wymiary: 600x600x8910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w wbudowanym pojemnikiem na odpady - Wymiary: 600x600x910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Zabudowa górna wisząca : szafka z półką 1 drzwiowa 600x370x720 – 5 szt.</w:t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Fronty szafek  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Korpus szafek-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Prowadnice: łożyskowe z hamulcem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Zawiasy: z hamulcem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5.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Blat hpl gr. 38 mm w kolorze i strukturze  do ustalenia z Zamawiającym po wyborze oferenta ( wymagany atest lub inny dokument świadczący o właściwościach antybakteryjnych i odporności na chemikalia).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6. 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Stolik o śr. 80cm na metalowej kolumnowej podstawie w kolorze do ustalenia + 4 krzesła z polipropylenu ( do ustalenia)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II.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144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Pozostałe warunki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Gwarancja min. 24 miesiące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</w:tbl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  <w:r>
        <w:br w:type="page"/>
      </w:r>
    </w:p>
    <w:p>
      <w:pPr>
        <w:pStyle w:val="BodyText3"/>
        <w:spacing w:before="0" w:after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4. Kuchenka oddziałowa - 100.T.01</w:t>
      </w:r>
    </w:p>
    <w:p>
      <w:pPr>
        <w:pStyle w:val="Normal"/>
        <w:jc w:val="both"/>
        <w:rPr>
          <w:rFonts w:ascii="Calibri" w:hAnsi="Calibri" w:asciiTheme="minorHAnsi" w:hAnsiTheme="minorHAnsi"/>
          <w:b/>
          <w:smallCaps/>
          <w:sz w:val="20"/>
          <w:szCs w:val="20"/>
        </w:rPr>
      </w:pPr>
      <w:r>
        <w:rPr>
          <w:rFonts w:asciiTheme="minorHAnsi" w:hAnsiTheme="minorHAnsi" w:ascii="Calibri" w:hAnsi="Calibri"/>
          <w:b/>
          <w:smallCaps/>
          <w:sz w:val="20"/>
          <w:szCs w:val="20"/>
        </w:rPr>
      </w:r>
    </w:p>
    <w:tbl>
      <w:tblPr>
        <w:tblW w:w="8790" w:type="dxa"/>
        <w:jc w:val="left"/>
        <w:tblInd w:w="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8"/>
        <w:gridCol w:w="508"/>
        <w:gridCol w:w="4255"/>
        <w:gridCol w:w="1477"/>
        <w:gridCol w:w="2492"/>
      </w:tblGrid>
      <w:tr>
        <w:trPr>
          <w:trHeight w:val="780" w:hRule="atLeast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wymagany 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oferowany </w:t>
            </w:r>
          </w:p>
        </w:tc>
      </w:tr>
      <w:tr>
        <w:trPr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1.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 xml:space="preserve">Zestaw mebli kuchennych wykonanych z materiałów łatwo zmywalnych, nienasiąkliwych, odpornych na działanie środków dezynfekcyjnych z wbudowanym zlewem 1 komorowym ( jednouchwytowa bateria kuchenna) </w:t>
              <w:br/>
              <w:t xml:space="preserve">z blatem gr.38mm montowane 15cm nad podłogą, z wbudowaną lodówką 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>Fronty i korpusy płyta wiórowa laminowana, blat hpl 38mm.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 w:asciiTheme="minorHAnsi" w:hAnsiTheme="minorHAnsi"/>
                <w:sz w:val="20"/>
                <w:szCs w:val="20"/>
              </w:rPr>
            </w:pPr>
            <w:r>
              <w:rPr>
                <w:rFonts w:cs="Arial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W skład zabudowy wchodzi: zabudowa dolna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dolna  1 drzwiowa pod zlew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dolna  1 drzwiowa  Wymiary: 600x600x910 mm – szt.1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stojąca z szufladami - Wymiary: 600x600x910 mm – szt. 1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zabudowa lodówki   - Wymiary: 600x600x8910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w wbudowanym pojemnikiem na odpady - Wymiary: 600x600x910 mm – 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Zabudowa górna wisząca : szafka z półką 1 drzwiowa 600x370x720 – 5 szt.</w:t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425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Fronty szafek  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Korpus szafek-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odporność na wysoką temperaturę  wystawione przez lub dla producenta płyt.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Prowadnice: łożyskowe z hamulcem</w:t>
            </w:r>
          </w:p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Zawiasy: z hamulcem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5.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Blat hpl gr. 38 mm w kolorze i strukturze  do ustalenia z Zamawiającym po wyborze oferenta ( wymagany atest lub inny dokument świadczący o właściwościach antybakteryjnych i odporności na chemikalia).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II.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144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Pozostałe warunki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58" w:type="dxa"/>
            <w:tcBorders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Gwarancja min. 24 miesiące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Tak. Gwarancja 24 miesięcy</w:t>
            </w:r>
          </w:p>
        </w:tc>
      </w:tr>
    </w:tbl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BodyText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Zabudowa meblowa:</w:t>
      </w:r>
    </w:p>
    <w:p>
      <w:pPr>
        <w:pStyle w:val="BodyText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b/>
          <w:sz w:val="20"/>
          <w:szCs w:val="20"/>
        </w:rPr>
        <w:t>1. Gabinet diagnostyczno-zabiegowy - 100.G.01</w:t>
      </w:r>
    </w:p>
    <w:tbl>
      <w:tblPr>
        <w:tblW w:w="8790" w:type="dxa"/>
        <w:jc w:val="left"/>
        <w:tblInd w:w="14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6"/>
        <w:gridCol w:w="4255"/>
        <w:gridCol w:w="1479"/>
        <w:gridCol w:w="2489"/>
      </w:tblGrid>
      <w:tr>
        <w:trPr>
          <w:trHeight w:val="780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wymagany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 xml:space="preserve">Parametr oferowany 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 w:ascii="Calibri" w:hAnsi="Calibri" w:asciiTheme="minorHAnsi" w:hAnsiTheme="minorHAnsi"/>
                <w:sz w:val="20"/>
                <w:szCs w:val="20"/>
              </w:rPr>
              <w:t>Zestaw mebli medycznych wykonanych z materiałów łatwo zmywalnych, nienasiąkliwych, odpornych na działanie środków dezynfekcyjnych z wbudowanym zlewem 1 komorowym i umywalką  i lodówką podblatową z blatem gr.30 mm montowane 15cm nad podłogą.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W skład zabudowy wchodzi: zabudowa dolna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dolna  1 drzwiowa pod umywalkę  Wymiary: 600x600x910 mm – szt.1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dolna  1 drzwiowa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Wymiary: 600x600x910 mm – szt.1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1 drzwiowa zabudowa lodówki   - Wymiary: 600x600x8910 mm – szt. 1 </w:t>
            </w:r>
          </w:p>
          <w:p>
            <w:pPr>
              <w:pStyle w:val="ListParagraph"/>
              <w:widowControl w:val="false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Szafka stojąca z szufladami - Wymiary: 600x600x910 mm –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szt. 1 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Szafka dolna  1 drzwiowa pod zlew  Wymiary: 600x600x910 mm – szt.1</w:t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60" w:after="60"/>
              <w:ind w:hanging="0" w:left="720"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Zabudowa górna wisząca : szafka z półką 1 drzwiowa 600x370x720 – 5 szt.</w:t>
            </w:r>
          </w:p>
          <w:p>
            <w:pPr>
              <w:pStyle w:val="ListParagraph"/>
              <w:widowControl w:val="false"/>
              <w:spacing w:before="0" w:after="200"/>
              <w:contextualSpacing/>
              <w:rPr>
                <w:rFonts w:ascii="Calibri" w:hAnsi="Calibri" w:cs="Tahoma" w:asciiTheme="minorHAnsi" w:hAnsiTheme="minorHAnsi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Fronty szafek  - płyta mdf lakierowana w kolorze do ustalenia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Korpus szafek- płyta wiórowa o podwyższonym standardzie ścieralności</w:t>
            </w:r>
            <w:r>
              <w:rPr>
                <w:rFonts w:cs="Arial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 xml:space="preserve"> </w:t>
            </w:r>
            <w:r>
              <w:rPr>
                <w:rFonts w:cs="Tahoma" w:ascii="Calibri" w:hAnsi="Calibri" w:asciiTheme="minorHAnsi" w:hAnsiTheme="minorHAnsi"/>
                <w:color w:val="666666"/>
                <w:sz w:val="20"/>
                <w:szCs w:val="20"/>
                <w:shd w:fill="F6F6F6" w:val="clear"/>
              </w:rPr>
              <w:t>norma EN14322</w:t>
            </w: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 xml:space="preserve"> kolor do ustalenia z Zamawiającym po wyborze oferenta. Dokument potwierdzający klasyfikację ogniową i odporność  i  odpornośc na wysoką temperaturę  wystawione przez lub dla producenta płyt.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trHeight w:val="195" w:hRule="atLeast"/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5.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 w:asciiTheme="minorHAnsi" w:hAnsiTheme="minorHAnsi"/>
                <w:sz w:val="20"/>
                <w:szCs w:val="20"/>
              </w:rPr>
              <w:t>Blat konglomerat o gr. 30mm w kolorze do ustalenia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Tak. Zgodnie z kolumną 2 /Parametry Techniczne/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II.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right="14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  <w:szCs w:val="20"/>
              </w:rPr>
              <w:t>Pozostałe warunki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CCCCCC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ascii="Calibri" w:hAnsi="Calibri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120" w:after="120"/>
              <w:ind w:hanging="0" w:left="20" w:right="-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 xml:space="preserve">Gwarancja min. </w:t>
            </w:r>
            <w:r>
              <w:rPr>
                <w:rFonts w:cs="Calibri" w:ascii="Calibri" w:hAnsi="Calibri" w:cstheme="minorHAnsi"/>
                <w:sz w:val="20"/>
                <w:szCs w:val="20"/>
              </w:rPr>
              <w:t>24 miesiące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asciiTheme="minorHAnsi" w:hAnsiTheme="minorHAnsi"/>
                <w:sz w:val="20"/>
                <w:szCs w:val="20"/>
              </w:rPr>
              <w:t>Tak. Gwarancja 48 miesięcy</w:t>
            </w:r>
          </w:p>
        </w:tc>
      </w:tr>
    </w:tbl>
    <w:p>
      <w:pPr>
        <w:pStyle w:val="BodyText"/>
        <w:jc w:val="both"/>
        <w:rPr>
          <w:rFonts w:ascii="Calibri" w:hAnsi="Calibri" w:asciiTheme="minorHAnsi" w:hAnsiTheme="minorHAnsi"/>
          <w:b/>
          <w:sz w:val="20"/>
          <w:szCs w:val="20"/>
        </w:rPr>
      </w:pPr>
      <w:r>
        <w:rPr>
          <w:rFonts w:asciiTheme="minorHAnsi" w:hAnsiTheme="minorHAnsi" w:ascii="Calibri" w:hAnsi="Calibri"/>
          <w:b/>
          <w:sz w:val="20"/>
          <w:szCs w:val="20"/>
        </w:rPr>
      </w:r>
    </w:p>
    <w:p>
      <w:pPr>
        <w:pStyle w:val="Normal"/>
        <w:spacing w:lineRule="auto" w:line="252" w:before="0" w:after="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sectPr>
      <w:headerReference w:type="default" r:id="rId2"/>
      <w:type w:val="nextPage"/>
      <w:pgSz w:w="11906" w:h="16838"/>
      <w:pgMar w:left="1417" w:right="1417" w:gutter="0" w:header="1417" w:top="2002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Calibri" w:hAnsi="Calibri"/>
        <w:i/>
        <w:i/>
        <w:iCs/>
        <w:sz w:val="20"/>
        <w:szCs w:val="20"/>
      </w:rPr>
    </w:pPr>
    <w:r>
      <w:rPr>
        <w:rFonts w:ascii="Calibri" w:hAnsi="Calibri"/>
        <w:i/>
        <w:iCs/>
        <w:sz w:val="20"/>
        <w:szCs w:val="20"/>
      </w:rPr>
      <w:t>S</w:t>
    </w:r>
    <w:r>
      <w:drawing>
        <wp:anchor behindDoc="1" distT="0" distB="0" distL="0" distR="0" simplePos="0" locked="0" layoutInCell="0" allowOverlap="1" relativeHeight="18">
          <wp:simplePos x="0" y="0"/>
          <wp:positionH relativeFrom="column">
            <wp:posOffset>5482590</wp:posOffset>
          </wp:positionH>
          <wp:positionV relativeFrom="paragraph">
            <wp:posOffset>-307340</wp:posOffset>
          </wp:positionV>
          <wp:extent cx="505460" cy="4781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478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i/>
        <w:iCs/>
        <w:sz w:val="20"/>
        <w:szCs w:val="20"/>
      </w:rPr>
      <w:t>ALA HYBRYDOWA WSS nr 5, SOSNOWIEC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4136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841369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Tekstpodstawowy3Znak" w:customStyle="1">
    <w:name w:val="Tekst podstawowy 3 Znak"/>
    <w:basedOn w:val="DefaultParagraphFont"/>
    <w:link w:val="BodyText3"/>
    <w:semiHidden/>
    <w:qFormat/>
    <w:rsid w:val="00841369"/>
    <w:rPr>
      <w:rFonts w:ascii="Times New Roman" w:hAnsi="Times New Roman" w:eastAsia="Times New Roman" w:cs="Times New Roman"/>
      <w:kern w:val="0"/>
      <w:sz w:val="16"/>
      <w:szCs w:val="16"/>
      <w:lang w:eastAsia="pl-PL"/>
      <w14:ligatures w14:val="none"/>
    </w:rPr>
  </w:style>
  <w:style w:type="character" w:styleId="BezodstpwZnak" w:customStyle="1">
    <w:name w:val="Bez odstępów Znak"/>
    <w:basedOn w:val="DefaultParagraphFont"/>
    <w:link w:val="NoSpacing"/>
    <w:uiPriority w:val="1"/>
    <w:qFormat/>
    <w:locked/>
    <w:rsid w:val="00841369"/>
    <w:rPr>
      <w:rFonts w:ascii="Times New Roman" w:hAnsi="Times New Roman" w:cs="Times New Roman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locked/>
    <w:rsid w:val="00841369"/>
    <w:rPr>
      <w:rFonts w:ascii="Calibri" w:hAnsi="Calibri" w:eastAsia="Calibri" w:cs="Times New Roma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841369"/>
    <w:pPr>
      <w:spacing w:before="0" w:after="12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BodyText3">
    <w:name w:val="Body Text 3"/>
    <w:basedOn w:val="Normal"/>
    <w:link w:val="Tekstpodstawowy3Znak"/>
    <w:semiHidden/>
    <w:unhideWhenUsed/>
    <w:qFormat/>
    <w:rsid w:val="00841369"/>
    <w:pPr>
      <w:spacing w:before="0" w:after="120"/>
    </w:pPr>
    <w:rPr>
      <w:sz w:val="16"/>
      <w:szCs w:val="16"/>
    </w:rPr>
  </w:style>
  <w:style w:type="paragraph" w:styleId="NoSpacing">
    <w:name w:val="No Spacing"/>
    <w:link w:val="BezodstpwZnak"/>
    <w:uiPriority w:val="1"/>
    <w:qFormat/>
    <w:rsid w:val="0084136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ListParagraph">
    <w:name w:val="List Paragraph"/>
    <w:basedOn w:val="Normal"/>
    <w:link w:val="AkapitzlistZnak"/>
    <w:uiPriority w:val="34"/>
    <w:qFormat/>
    <w:rsid w:val="00841369"/>
    <w:pPr>
      <w:spacing w:lineRule="auto" w:line="276" w:before="0" w:after="200"/>
      <w:ind w:hanging="0" w:left="720"/>
      <w:contextualSpacing/>
    </w:pPr>
    <w:rPr>
      <w:rFonts w:ascii="Calibri" w:hAnsi="Calibri" w:eastAsia="Calibri"/>
      <w:kern w:val="2"/>
      <w:sz w:val="22"/>
      <w:szCs w:val="22"/>
      <w:lang w:eastAsia="en-US"/>
      <w14:ligatures w14:val="standardContextua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LibreOffice/7.6.0.3$Windows_X86_64 LibreOffice_project/69edd8b8ebc41d00b4de3915dc82f8f0fc3b6265</Application>
  <AppVersion>15.0000</AppVersion>
  <Pages>17</Pages>
  <Words>2986</Words>
  <Characters>17430</Characters>
  <CharactersWithSpaces>20172</CharactersWithSpaces>
  <Paragraphs>404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2024-04-04T14:08:00Z</dcterms:created>
  <dc:creator>Grażyna Kostrz</dc:creator>
  <dc:description/>
  <dc:language>pl-PL</dc:language>
  <cp:lastModifiedBy>ITO</cp:lastModifiedBy>
  <dcterms:modified xsi:type="dcterms:W3CDTF">2024-11-12T14:52:40Z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