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12E1" w:rsidRDefault="008D2D42">
      <w:pPr>
        <w:spacing w:after="179" w:line="259" w:lineRule="auto"/>
        <w:ind w:left="108" w:right="0" w:firstLine="0"/>
        <w:jc w:val="left"/>
      </w:pPr>
      <w:r>
        <w:rPr>
          <w:sz w:val="20"/>
        </w:rPr>
        <w:t xml:space="preserve"> </w:t>
      </w:r>
    </w:p>
    <w:p w:rsidR="00ED12E1" w:rsidRDefault="008D2D42">
      <w:pPr>
        <w:spacing w:after="571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D12E1" w:rsidRDefault="008D2D42">
      <w:pPr>
        <w:spacing w:after="0" w:line="259" w:lineRule="auto"/>
        <w:ind w:left="0" w:right="6" w:firstLine="0"/>
        <w:jc w:val="center"/>
      </w:pPr>
      <w:r>
        <w:rPr>
          <w:b/>
          <w:sz w:val="24"/>
        </w:rPr>
        <w:t xml:space="preserve">OPIS PRZEDMIOTU ZAMÓWIENIA </w:t>
      </w:r>
    </w:p>
    <w:p w:rsidR="00ED12E1" w:rsidRDefault="008D2D4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41" w:line="259" w:lineRule="auto"/>
        <w:ind w:left="-29" w:right="-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26810" cy="9144"/>
                <wp:effectExtent l="0" t="0" r="0" b="0"/>
                <wp:docPr id="8299" name="Group 8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9144"/>
                          <a:chOff x="0" y="0"/>
                          <a:chExt cx="6226810" cy="9144"/>
                        </a:xfrm>
                      </wpg:grpSpPr>
                      <wps:wsp>
                        <wps:cNvPr id="9722" name="Shape 9722"/>
                        <wps:cNvSpPr/>
                        <wps:spPr>
                          <a:xfrm>
                            <a:off x="0" y="0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99" style="width:490.3pt;height:0.719971pt;mso-position-horizontal-relative:char;mso-position-vertical-relative:line" coordsize="62268,91">
                <v:shape id="Shape 9723" style="position:absolute;width:62268;height:91;left:0;top:0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12E1" w:rsidRDefault="008D2D42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17" w:line="259" w:lineRule="auto"/>
        <w:ind w:left="-5" w:right="0"/>
        <w:jc w:val="left"/>
        <w:rPr>
          <w:b/>
        </w:rPr>
      </w:pPr>
      <w:r>
        <w:rPr>
          <w:b/>
        </w:rPr>
        <w:t xml:space="preserve">Nazwa zadania:  </w:t>
      </w:r>
    </w:p>
    <w:p w:rsidR="00016C9C" w:rsidRDefault="00016C9C">
      <w:pPr>
        <w:spacing w:after="17" w:line="259" w:lineRule="auto"/>
        <w:ind w:left="-5" w:right="0"/>
        <w:jc w:val="left"/>
      </w:pPr>
      <w:r w:rsidRPr="00016C9C">
        <w:t>Rewitalizacja dawnego Ogrodu Jordanowskiego (kompleksu parkowo-rekreacyjnego) w rejonie ulic Sikorskiego i Harcerskiej w Świętochłowicach na cele rekreacyjno-społeczne.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>Przedmiot zamówienia</w:t>
      </w:r>
      <w:r>
        <w:t xml:space="preserve">:  </w:t>
      </w:r>
    </w:p>
    <w:p w:rsidR="00ED12E1" w:rsidRDefault="00016C9C">
      <w:pPr>
        <w:ind w:left="-5" w:right="0"/>
      </w:pPr>
      <w:r>
        <w:t xml:space="preserve">Usługi - </w:t>
      </w:r>
      <w:bookmarkStart w:id="0" w:name="_Hlk128135378"/>
      <w:r>
        <w:t>o</w:t>
      </w:r>
      <w:r w:rsidRPr="00016C9C">
        <w:t>pracowanie wielobranżowej dokumentacji projektowej  rewitalizacji dawnego ogrodu jordanowskiego (kompleksu parkowo-rekreacyjnego) w rejonie ulic Sikorskiego i Harcerskiej w Świętochłowicach.</w:t>
      </w:r>
      <w:r w:rsidR="008D2D42">
        <w:t xml:space="preserve"> </w:t>
      </w:r>
    </w:p>
    <w:bookmarkEnd w:id="0"/>
    <w:p w:rsidR="00ED12E1" w:rsidRDefault="008D2D4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41" w:line="259" w:lineRule="auto"/>
        <w:ind w:left="-29" w:right="-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26810" cy="27432"/>
                <wp:effectExtent l="0" t="0" r="0" b="0"/>
                <wp:docPr id="8302" name="Group 8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27432"/>
                          <a:chOff x="0" y="0"/>
                          <a:chExt cx="6226810" cy="27432"/>
                        </a:xfrm>
                      </wpg:grpSpPr>
                      <wps:wsp>
                        <wps:cNvPr id="9724" name="Shape 9724"/>
                        <wps:cNvSpPr/>
                        <wps:spPr>
                          <a:xfrm>
                            <a:off x="0" y="18288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" name="Shape 9725"/>
                        <wps:cNvSpPr/>
                        <wps:spPr>
                          <a:xfrm>
                            <a:off x="0" y="0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02" style="width:490.3pt;height:2.15997pt;mso-position-horizontal-relative:char;mso-position-vertical-relative:line" coordsize="62268,274">
                <v:shape id="Shape 9726" style="position:absolute;width:62268;height:91;left:0;top:182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  <v:shape id="Shape 9727" style="position:absolute;width:62268;height:91;left:0;top:0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12E1" w:rsidRDefault="008D2D42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 xml:space="preserve">Adres obiektu (działka/obręb):  </w:t>
      </w:r>
    </w:p>
    <w:p w:rsidR="00F7594A" w:rsidRDefault="00F7594A">
      <w:pPr>
        <w:ind w:left="-5" w:right="0"/>
      </w:pPr>
      <w:r w:rsidRPr="00F7594A">
        <w:t xml:space="preserve">Teren kompleksu parkowo - rekreacyjnego położony jest w dzielnicy Centrum miasta Świętochłowice. Od północy teren ogranicza przebiegająca w bezpośrednim sąsiedztwie Drogowa Trasa Średnicowa, od wschodu i częściowo południa ulica Harcerska oraz budynek Przedszkola Miejskiego nr 3 i Miejskiego Domu Kultury, a od zachodu linia kolejowa PKP Katowice Gliwice, a od południa ulica Sikorskiego.   </w:t>
      </w:r>
    </w:p>
    <w:p w:rsidR="00ED12E1" w:rsidRDefault="008D2D42">
      <w:pPr>
        <w:ind w:left="-5" w:right="0"/>
      </w:pPr>
      <w:r>
        <w:t>Działki o nr ew.</w:t>
      </w:r>
      <w:r w:rsidR="00540A21">
        <w:t xml:space="preserve"> 1114/132, 1116/124, 1061/131, 1058/130, 1055/130, 1104/127, 1108/67, 1110/100</w:t>
      </w:r>
      <w:r w:rsidR="0069496C">
        <w:t xml:space="preserve">, 1101/129, </w:t>
      </w:r>
      <w:r w:rsidR="006A7574">
        <w:t xml:space="preserve">1111/100, 1103/127, 1100/129, 1138/128, 1139/128 (kapliczka), 4372 </w:t>
      </w:r>
      <w:bookmarkStart w:id="1" w:name="_Hlk128137392"/>
      <w:r w:rsidR="006A7574">
        <w:t xml:space="preserve">( staw Zacisze), </w:t>
      </w:r>
      <w:bookmarkEnd w:id="1"/>
      <w:r w:rsidR="006A7574">
        <w:t>852/67</w:t>
      </w:r>
      <w:r w:rsidR="006A7574" w:rsidRPr="006A7574">
        <w:t xml:space="preserve">( staw Zacisze), </w:t>
      </w:r>
      <w:r w:rsidR="006A7574">
        <w:t xml:space="preserve">4370 </w:t>
      </w:r>
      <w:r w:rsidR="006A7574" w:rsidRPr="006A7574">
        <w:t xml:space="preserve">( staw Zacisze), </w:t>
      </w:r>
      <w:r w:rsidR="006A7574">
        <w:t xml:space="preserve">1095/67 </w:t>
      </w:r>
      <w:r w:rsidR="00540A21">
        <w:t xml:space="preserve"> </w:t>
      </w:r>
      <w:r w:rsidR="006A7574" w:rsidRPr="006A7574">
        <w:t xml:space="preserve">( staw Zacisze), </w:t>
      </w:r>
      <w:r w:rsidR="006A7574">
        <w:t>973/67</w:t>
      </w:r>
      <w:r w:rsidR="006A7574" w:rsidRPr="006A7574">
        <w:t xml:space="preserve">( staw Zacisze), </w:t>
      </w:r>
      <w:r w:rsidR="006A7574">
        <w:t>242/113, 243/115, 865/113, 999/100, 1112/100</w:t>
      </w:r>
      <w:r w:rsidR="00540A21">
        <w:t xml:space="preserve"> </w:t>
      </w:r>
      <w:r>
        <w:t xml:space="preserve">; obręb: 0003 Świętochłowice </w:t>
      </w:r>
      <w:r w:rsidR="00FE50B6">
        <w:t xml:space="preserve"> </w:t>
      </w:r>
    </w:p>
    <w:p w:rsidR="006726D3" w:rsidRDefault="006726D3">
      <w:pPr>
        <w:ind w:left="-5" w:right="0"/>
      </w:pPr>
    </w:p>
    <w:p w:rsidR="00ED12E1" w:rsidRDefault="008D2D42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  <w:r w:rsidR="006726D3">
        <w:rPr>
          <w:b/>
          <w:noProof/>
        </w:rPr>
        <w:drawing>
          <wp:inline distT="0" distB="0" distL="0" distR="0" wp14:anchorId="51DA6E75">
            <wp:extent cx="2956560" cy="23044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26D3">
        <w:rPr>
          <w:b/>
          <w:noProof/>
        </w:rPr>
        <w:drawing>
          <wp:inline distT="0" distB="0" distL="0" distR="0" wp14:anchorId="0CD053BD">
            <wp:extent cx="3108960" cy="23044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EAE" w:rsidRDefault="00570EAE">
      <w:pPr>
        <w:spacing w:after="17" w:line="259" w:lineRule="auto"/>
        <w:ind w:left="-5" w:right="0"/>
        <w:jc w:val="left"/>
        <w:rPr>
          <w:b/>
        </w:rPr>
      </w:pP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 xml:space="preserve">Kody i nazwy wg Wspólnego Słownika Zamówień: </w:t>
      </w:r>
    </w:p>
    <w:p w:rsidR="00FE50B6" w:rsidRDefault="00FE50B6" w:rsidP="0069496C">
      <w:pPr>
        <w:spacing w:after="16" w:line="259" w:lineRule="auto"/>
        <w:ind w:left="0" w:right="0" w:firstLine="0"/>
        <w:jc w:val="left"/>
      </w:pPr>
      <w:r w:rsidRPr="00FE50B6">
        <w:t xml:space="preserve">71000000-8 Usługi architektoniczne, budowlane, inżynieryjne i kontrolne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71220000-6 Usługi projektowania architektonicznego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71240000-2 Usługi architektoniczne, inżynieryjne i planowania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71242000-6 Przygotowanie przedsięwzięcia i projektu, oszacowanie kosztów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71245000-7 Plany zatwierdzające, rysunki robocze i specyfikacje </w:t>
      </w:r>
    </w:p>
    <w:p w:rsidR="00ED12E1" w:rsidRDefault="0069496C" w:rsidP="0069496C">
      <w:pPr>
        <w:spacing w:after="16" w:line="259" w:lineRule="auto"/>
        <w:ind w:left="0" w:right="0" w:firstLine="0"/>
        <w:jc w:val="left"/>
      </w:pPr>
      <w:r>
        <w:t>71246000-4 Określenie i spisanie ilości do budowy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lastRenderedPageBreak/>
        <w:t xml:space="preserve">Zamawiający:  </w:t>
      </w:r>
    </w:p>
    <w:p w:rsidR="00ED12E1" w:rsidRDefault="008D2D42">
      <w:pPr>
        <w:ind w:left="-5" w:right="0"/>
      </w:pPr>
      <w:r>
        <w:t xml:space="preserve">Gmina Świętochłowice ul. Katowicka 54, 41-600 Świętochłowice NIP: 627-27-48-738  </w:t>
      </w:r>
    </w:p>
    <w:p w:rsidR="00ED12E1" w:rsidRDefault="008D2D42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41" w:line="259" w:lineRule="auto"/>
        <w:ind w:left="-29" w:right="-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26810" cy="9144"/>
                <wp:effectExtent l="0" t="0" r="0" b="0"/>
                <wp:docPr id="8305" name="Group 8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9144"/>
                          <a:chOff x="0" y="0"/>
                          <a:chExt cx="6226810" cy="9144"/>
                        </a:xfrm>
                      </wpg:grpSpPr>
                      <wps:wsp>
                        <wps:cNvPr id="9728" name="Shape 9728"/>
                        <wps:cNvSpPr/>
                        <wps:spPr>
                          <a:xfrm>
                            <a:off x="0" y="0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05" style="width:490.3pt;height:0.719971pt;mso-position-horizontal-relative:char;mso-position-vertical-relative:line" coordsize="62268,91">
                <v:shape id="Shape 9729" style="position:absolute;width:62268;height:91;left:0;top:0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12E1" w:rsidRDefault="008D2D42">
      <w:pPr>
        <w:spacing w:after="19" w:line="259" w:lineRule="auto"/>
        <w:ind w:left="0" w:right="6" w:firstLine="0"/>
        <w:jc w:val="center"/>
      </w:pPr>
      <w:r>
        <w:rPr>
          <w:b/>
        </w:rPr>
        <w:t xml:space="preserve">SZCZEGÓŁOWY OPIS PRZEDMIOTU ZAMÓWIENIA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numPr>
          <w:ilvl w:val="0"/>
          <w:numId w:val="1"/>
        </w:numPr>
        <w:spacing w:after="50" w:line="259" w:lineRule="auto"/>
        <w:ind w:right="0" w:hanging="425"/>
        <w:jc w:val="left"/>
      </w:pPr>
      <w:r>
        <w:rPr>
          <w:b/>
        </w:rPr>
        <w:t xml:space="preserve">Przedmiot zamówienia publicznego </w:t>
      </w:r>
    </w:p>
    <w:p w:rsidR="00ED12E1" w:rsidRDefault="008D2D42">
      <w:pPr>
        <w:numPr>
          <w:ilvl w:val="1"/>
          <w:numId w:val="1"/>
        </w:numPr>
        <w:spacing w:after="69"/>
        <w:ind w:right="0" w:hanging="425"/>
      </w:pPr>
      <w:r>
        <w:t xml:space="preserve">Przedmiot zamówienia publicznego – usługi </w:t>
      </w:r>
    </w:p>
    <w:p w:rsidR="00ED12E1" w:rsidRDefault="008D2D42">
      <w:pPr>
        <w:ind w:left="-5" w:right="0"/>
      </w:pPr>
      <w:r>
        <w:t xml:space="preserve">Przedmiotem zamówienia jest </w:t>
      </w:r>
      <w:r w:rsidR="00FE50B6" w:rsidRPr="00FE50B6">
        <w:t>opracowanie wielobranżowej dokumentacji projektowej  rewitalizacji dawnego ogrodu jordanowskiego (kompleksu parkowo-rekreacyjnego) w rejonie ulic Sikorskiego i Harcerskiej w Świętochłowicach.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E50B6" w:rsidRDefault="008D2D42" w:rsidP="00FE50B6">
      <w:pPr>
        <w:numPr>
          <w:ilvl w:val="1"/>
          <w:numId w:val="1"/>
        </w:numPr>
        <w:spacing w:after="69"/>
        <w:ind w:left="720" w:right="0" w:firstLine="0"/>
      </w:pPr>
      <w:r>
        <w:t xml:space="preserve">Nazwa nadana zamówieniu </w:t>
      </w:r>
    </w:p>
    <w:p w:rsidR="00FE50B6" w:rsidRDefault="00FE50B6" w:rsidP="00FE50B6">
      <w:pPr>
        <w:spacing w:after="69"/>
        <w:ind w:left="720" w:right="0" w:firstLine="0"/>
      </w:pPr>
      <w:r>
        <w:t>O</w:t>
      </w:r>
      <w:r w:rsidRPr="00FE50B6">
        <w:t>pracowanie wielobranżowej dokumentacji projektowej  rewitalizacji dawnego ogrodu jordanowskiego (kompleksu parkowo-rekreacyjnego) w rejonie ulic Sikorskiego i Harcerskiej w Świętochłowicach.</w:t>
      </w:r>
    </w:p>
    <w:p w:rsidR="00ED12E1" w:rsidRDefault="008D2D42">
      <w:pPr>
        <w:numPr>
          <w:ilvl w:val="1"/>
          <w:numId w:val="1"/>
        </w:numPr>
        <w:spacing w:after="40"/>
        <w:ind w:right="0" w:hanging="425"/>
      </w:pPr>
      <w:r>
        <w:t xml:space="preserve">Oznaczenie przedmiotu zamówienia według kodu Wspólnego Słownika Zamówień CPV </w:t>
      </w:r>
    </w:p>
    <w:p w:rsidR="00ED12E1" w:rsidRDefault="008D2D42">
      <w:pPr>
        <w:numPr>
          <w:ilvl w:val="2"/>
          <w:numId w:val="1"/>
        </w:numPr>
        <w:spacing w:after="69"/>
        <w:ind w:right="0" w:hanging="708"/>
      </w:pPr>
      <w:r>
        <w:t xml:space="preserve">przedmiot główny: </w:t>
      </w:r>
    </w:p>
    <w:p w:rsidR="00ED12E1" w:rsidRDefault="008D2D42">
      <w:pPr>
        <w:spacing w:after="42"/>
        <w:ind w:left="577" w:right="0"/>
      </w:pPr>
      <w:bookmarkStart w:id="2" w:name="_Hlk128135509"/>
      <w:r>
        <w:t xml:space="preserve">71000000-8 Usługi architektoniczne, budowlane, inżynieryjne i kontrolne </w:t>
      </w:r>
    </w:p>
    <w:bookmarkEnd w:id="2"/>
    <w:p w:rsidR="00ED12E1" w:rsidRPr="00923A23" w:rsidRDefault="008D2D42">
      <w:pPr>
        <w:numPr>
          <w:ilvl w:val="2"/>
          <w:numId w:val="1"/>
        </w:numPr>
        <w:spacing w:after="67"/>
        <w:ind w:right="0" w:hanging="708"/>
        <w:rPr>
          <w:color w:val="auto"/>
        </w:rPr>
      </w:pPr>
      <w:r w:rsidRPr="00923A23">
        <w:rPr>
          <w:color w:val="auto"/>
        </w:rPr>
        <w:t xml:space="preserve">dodatkowe kody CPV: </w:t>
      </w:r>
    </w:p>
    <w:p w:rsidR="00ED12E1" w:rsidRDefault="008D2D42">
      <w:pPr>
        <w:ind w:left="577" w:right="0"/>
      </w:pPr>
      <w:r>
        <w:t xml:space="preserve">71200000-0 Usługi architektoniczne i podobne </w:t>
      </w:r>
    </w:p>
    <w:p w:rsidR="00ED12E1" w:rsidRDefault="008D2D42">
      <w:pPr>
        <w:ind w:left="577" w:right="0"/>
      </w:pPr>
      <w:r>
        <w:t xml:space="preserve">71220000-6 Usługi projektowania architektonicznego </w:t>
      </w:r>
    </w:p>
    <w:p w:rsidR="00ED12E1" w:rsidRDefault="008D2D42">
      <w:pPr>
        <w:ind w:left="577" w:right="0"/>
      </w:pPr>
      <w:r>
        <w:t xml:space="preserve">71240000-2 Usługi architektoniczne, inżynieryjne i planowania </w:t>
      </w:r>
    </w:p>
    <w:p w:rsidR="00ED12E1" w:rsidRDefault="008D2D42">
      <w:pPr>
        <w:ind w:left="577" w:right="0"/>
      </w:pPr>
      <w:r>
        <w:t xml:space="preserve">71242000-6 Przygotowanie przedsięwzięcia i projektu, oszacowanie kosztów </w:t>
      </w:r>
    </w:p>
    <w:p w:rsidR="00ED12E1" w:rsidRDefault="008D2D42">
      <w:pPr>
        <w:spacing w:after="65"/>
        <w:ind w:left="577" w:right="2333"/>
      </w:pPr>
      <w:r>
        <w:t xml:space="preserve">71245000-7 Plany zatwierdzające, rysunki robocze i specyfikacje 71246000-4 Określenie i spisanie ilości do budowy 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numPr>
          <w:ilvl w:val="0"/>
          <w:numId w:val="1"/>
        </w:numPr>
        <w:spacing w:after="79" w:line="259" w:lineRule="auto"/>
        <w:ind w:right="0" w:hanging="425"/>
        <w:jc w:val="left"/>
      </w:pPr>
      <w:r>
        <w:rPr>
          <w:b/>
        </w:rPr>
        <w:t xml:space="preserve">Charakterystyka stanu istniejącego i dane wyjściowe do projektowania </w:t>
      </w:r>
    </w:p>
    <w:p w:rsidR="006726D3" w:rsidRDefault="006726D3" w:rsidP="006726D3">
      <w:pPr>
        <w:spacing w:after="52" w:line="259" w:lineRule="auto"/>
        <w:ind w:left="0" w:right="0" w:firstLine="0"/>
      </w:pPr>
      <w:r>
        <w:t xml:space="preserve">Teren kompleksu parkowo - rekreacyjnego o powierzchni około 14,35 ha położony jest w dzielnicy Centrum miasta Świętochłowice. Od północy teren ogranicza przebiegająca w bezpośrednim sąsiedztwie Drogowa Trasa Średnicowa, od wschodu i częściowo południa ulica Harcerska oraz budynek Przedszkola Miejskiego nr 3 i Miejskiego Domu Kultury, a od zachodu linia kolejowa PKP Katowice Gliwice, a od południa ulica Sikorskiego.  Kompleks parkowo-rekreacyjny zlokalizowany jest na działkach nr 1114/132, 1116/124, 1061/131, 1058/130, 1055/130, 1104/127, 1108/67, 1110/100, 1101/129, 1111/100 (staw Matylda) , 1103/127, 1100/129, 1138/128, 1139/128 (kapliczka), 4372 ( staw Zacisze/Magiera), 852/67( staw Zacisze/Magiera), 4370 ( staw Zacisze/Magiera), 1095/67 ( staw Zacisze/Magiera), 973/67( staw Zacisze/Magiera), 242/113, 243/115, 865/113, 999/100, 1112/100. </w:t>
      </w:r>
    </w:p>
    <w:p w:rsidR="006726D3" w:rsidRDefault="004D407B" w:rsidP="004D407B">
      <w:pPr>
        <w:spacing w:after="52" w:line="259" w:lineRule="auto"/>
        <w:ind w:left="0" w:right="0" w:firstLine="0"/>
      </w:pPr>
      <w:r>
        <w:t>Obecnie na terenie objętym zakresem projektu znajdują się pozostałości dawnego zagospodarowania małą architekturą, schody terenowe ruiny ściany będącej tłem dla dawnej sceny, a także kapliczka z zagospodarowaniem wokół niej oraz ruiny pasażu prowadzącego do stawu Zacisze(Magiera). Na przedmiotowym terenie znajduje się Staw Zacisze ( Magiera) od zachodu połączony kanałem z mniejszym stawem Matylda, którego nazwa jest pamiątką po nieistniejącym już szybie górniczym, który znajdował się w tej okolicy. Oba stawy są pochodzenia antropologicznego. Zdecydowanie różnią się jednak linią brzegową. Staw Magiera (Zacisze) oprócz stromego północnego brzegu pozostałe ma łagodne i płaskie. Matylda natomiast linię brzegową ma bardzo urozmaiconą z licznymi zatoczkami rozdzielonymi półwyspami o stromych brzegach.</w:t>
      </w:r>
    </w:p>
    <w:p w:rsidR="00ED12E1" w:rsidRDefault="00ED12E1" w:rsidP="006726D3">
      <w:pPr>
        <w:spacing w:after="52" w:line="259" w:lineRule="auto"/>
        <w:ind w:left="0" w:right="0" w:firstLine="0"/>
      </w:pPr>
    </w:p>
    <w:p w:rsidR="006726D3" w:rsidRDefault="006726D3">
      <w:pPr>
        <w:tabs>
          <w:tab w:val="center" w:pos="2343"/>
        </w:tabs>
        <w:spacing w:after="76" w:line="259" w:lineRule="auto"/>
        <w:ind w:left="-15" w:right="0" w:firstLine="0"/>
        <w:jc w:val="left"/>
        <w:rPr>
          <w:b/>
        </w:rPr>
      </w:pPr>
    </w:p>
    <w:p w:rsidR="00ED12E1" w:rsidRDefault="008D2D42">
      <w:pPr>
        <w:tabs>
          <w:tab w:val="center" w:pos="2343"/>
        </w:tabs>
        <w:spacing w:after="76" w:line="259" w:lineRule="auto"/>
        <w:ind w:left="-15" w:right="0" w:firstLine="0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Szczegółowy opis przedmiotu zamówienia </w:t>
      </w:r>
    </w:p>
    <w:p w:rsidR="00E8204C" w:rsidRDefault="00C5693F" w:rsidP="00C5693F">
      <w:pPr>
        <w:spacing w:after="52"/>
        <w:ind w:left="-5" w:right="0"/>
      </w:pPr>
      <w:r>
        <w:t>Przedmiotem zamówienia jest opracowanie wielobranżowej dokumentacji projektowej rewitalizacji dawnego ogrodu jordanowskiego (kompleksu parkowo-rekreacyjnego) w rejonie ulic Sikorskiego i Harcerskiej w Świętochłowicach</w:t>
      </w:r>
      <w:r w:rsidRPr="00C5693F">
        <w:t xml:space="preserve"> umożliwiającego etapową realizację inwestycji.  </w:t>
      </w:r>
      <w:r w:rsidR="00E8204C" w:rsidRPr="00E8204C">
        <w:t xml:space="preserve">Przedmiotem projektu będzie odtworzenie przedwojennego pasażu nad stawem Magiera, który respektuje dawną oś urbanistyczną na którą składały się schody terenowe i ruiny dawnej sceny. Nowy pasaż ma być miejscem słonecznym z miejscami siedzącymi i ciągiem pieszym.  Przeprojektowany ma zostać teren wokół kapliczki, lecz sama kapliczka nie podlega modernizacji. Wokół kapliczki należy zaprojektować nowy trakt schodowy oraz elementy małej architektury jak ławeczki. Wokół stawu </w:t>
      </w:r>
      <w:r w:rsidR="00E8204C">
        <w:t>M</w:t>
      </w:r>
      <w:r w:rsidR="00E8204C" w:rsidRPr="00E8204C">
        <w:t xml:space="preserve">agiera należy zaprojektować również stanowiska dla wędkarzy oraz zaproponować nowy obiekt o lekkiej konstrukcji w miejsce starej </w:t>
      </w:r>
      <w:proofErr w:type="spellStart"/>
      <w:r w:rsidR="00E8204C" w:rsidRPr="00E8204C">
        <w:t>rybaczówki</w:t>
      </w:r>
      <w:proofErr w:type="spellEnd"/>
      <w:r w:rsidR="00E8204C" w:rsidRPr="00E8204C">
        <w:t xml:space="preserve">, który może być również miejscem do przechowywania sprzętu wodnego. Ponadto rewitalizacji wymaga druga część obiektu  znajdującego się </w:t>
      </w:r>
      <w:bookmarkStart w:id="3" w:name="_Hlk128143015"/>
      <w:r w:rsidR="00E8204C" w:rsidRPr="00E8204C">
        <w:t xml:space="preserve">pomiędzy modernistycznym budynkiem Młodzieżowego Domu Kultury, a stawem Magiera. </w:t>
      </w:r>
      <w:bookmarkEnd w:id="3"/>
      <w:r w:rsidR="00E8204C" w:rsidRPr="00E8204C">
        <w:t xml:space="preserve">W tej części planuje się odtworzenie  alejek parkowych, oświetlenia i elementów małej architektury jak ławeczki, klomby  oraz miejsca dla małej gastronomii jak np. </w:t>
      </w:r>
      <w:proofErr w:type="spellStart"/>
      <w:r w:rsidR="00E8204C" w:rsidRPr="00E8204C">
        <w:t>foodtruck</w:t>
      </w:r>
      <w:proofErr w:type="spellEnd"/>
      <w:r w:rsidR="00E8204C" w:rsidRPr="00E8204C">
        <w:t xml:space="preserve"> lub innych obiektów gastronomicznych, które pozwolą Gminie Świętochłowice na czerpanie dochodów z dzierżawy w/w miejsc przeznaczonych na działalność komercyjną. Pracami projektowymi należy również objąć teren wokół stawu Matylda. W trakcie prac projektowych należy rozważyć możliwość umiejscowienia tężni na przedmiotowym terenie.</w:t>
      </w:r>
    </w:p>
    <w:p w:rsidR="00C5693F" w:rsidRDefault="00C5693F" w:rsidP="00C5693F">
      <w:pPr>
        <w:spacing w:after="52"/>
        <w:ind w:left="-5" w:right="0"/>
      </w:pPr>
      <w:r>
        <w:t xml:space="preserve">Zakres przedmiotu zamówienia obejmuje w szczególności: inwentaryzację stanu istniejącego wraz z propozycją zachowania bądź likwidacji istniejących obiektów i innych elementów zagospodarowania, inwentaryzację drzew i krzewów, przygotowanie koncepcji zagospodarowania terenu do akceptacji Zamawiającego, która będzie podstawą do opracowania projektu, opracowanie projektu zielni niskiej i wysokiej, opracowanie kosztorysów inwestorskich i przedmiarów, opracowanie Specyfikacji technicznej odbioru i wykonania robót budowlanych oraz przeprowadzenie uzgodnień branżowych, jeżeli projekt będzie tego wymagał. </w:t>
      </w:r>
    </w:p>
    <w:p w:rsidR="00ED12E1" w:rsidRDefault="008D2D42">
      <w:pPr>
        <w:spacing w:after="52"/>
        <w:ind w:left="-5" w:right="0"/>
      </w:pPr>
      <w:r>
        <w:t>Przedmiot zamówienia obejmuje również uzyskanie w imieniu i na rzecz Zamawiającego wszelkich decyzji administracyjnych oraz uzgodnień niezbędnych do rozpoczęcia i zrealizowania</w:t>
      </w:r>
      <w:r w:rsidR="00C5693F">
        <w:t xml:space="preserve"> prac</w:t>
      </w:r>
      <w:r>
        <w:t xml:space="preserve">. Przedmiot zamówienia należy wykonać m.in. zgodnie z zasadami wiedzy technicznej i obowiązującymi na dzień wykonania przepisami prawa, w tym w szczególności z: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ustawą z dnia 7 lipca 1994 r. Prawo budowlane; 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ustawą z dnia 19 lipca 2019 r. o zapewnianiu dostępności osobom ze szczególnymi potrzebami;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ustawą z dnia 11 września 2019 r. Prawo zamówień publicznych; </w:t>
      </w:r>
    </w:p>
    <w:p w:rsidR="00E8204C" w:rsidRDefault="00E8204C" w:rsidP="00E8204C">
      <w:pPr>
        <w:numPr>
          <w:ilvl w:val="0"/>
          <w:numId w:val="2"/>
        </w:numPr>
        <w:ind w:right="0" w:hanging="360"/>
      </w:pPr>
      <w:r>
        <w:t>ustawą z dnia 16 kwietnia 2004 roku o ochronie przyrody;</w:t>
      </w:r>
    </w:p>
    <w:p w:rsidR="00E8204C" w:rsidRDefault="00E8204C" w:rsidP="00E8204C">
      <w:pPr>
        <w:numPr>
          <w:ilvl w:val="0"/>
          <w:numId w:val="2"/>
        </w:numPr>
        <w:ind w:right="0" w:hanging="360"/>
      </w:pPr>
      <w:r>
        <w:t xml:space="preserve">ustawą z dnia 20 lipca 2017 roku prawo wodne; 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Infrastruktury z dnia 12 kwietnia 2002 r. w sprawie warunków technicznych, jakim powinny odpowiadać budynki i ich usytuowanie;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Rozwoju z dnia 11 września 2020 r. w sprawie szczegółowego zakresu i formy projektu budowlanego;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Spraw Wewnętrznych i Administracji z dnia 17 września 2021 r. w sprawie uzgadniania projektu zagospodarowania działki lub terenu, projektu architektoniczno-budowlanego, projektu technicznego oraz projektu urządzenia przeciwpożarowego pod względem zgodności z wymaganiami ochrony przeciwpożarowej;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Infrastruktury z dnia 23 czerwca 2003 r. w sprawie informacji dotyczącej bezpieczeństwa i ochrony zdrowia oraz planu bezpieczeństwa i ochrony zdrowia;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lastRenderedPageBreak/>
        <w:t xml:space="preserve">rozporządzeniem Ministra Rozwoju i Technologii z dnia 20 grudnia 2021r. w sprawie szczegółowego zakresu i formy dokumentacji projektowej, specyfikacji technicznych wykonania i odbioru robót budowlanych oraz programu funkcjonalno-użytkowego;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Rozwoju i Technologii z dnia 20 grudnia 2021r. w sprawie określenia metod i podstaw sporządzania kosztorysu inwestorskiego, obliczania planowanych kosztów prac projektowych oraz planowanych kosztów robót budowlanych określonych w programie funkcjonalno-użytkowym, </w:t>
      </w:r>
    </w:p>
    <w:p w:rsidR="00ED12E1" w:rsidRDefault="00ED12E1">
      <w:pPr>
        <w:spacing w:after="52" w:line="259" w:lineRule="auto"/>
        <w:ind w:left="0" w:right="0" w:firstLine="0"/>
        <w:jc w:val="left"/>
      </w:pP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>3.1.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Szczegółowy zakres opracowania wielobranżowej dokumentacji projektowej </w:t>
      </w:r>
    </w:p>
    <w:p w:rsidR="00ED12E1" w:rsidRDefault="008D2D42">
      <w:pPr>
        <w:spacing w:after="52"/>
        <w:ind w:left="-5" w:right="0"/>
      </w:pPr>
      <w:r>
        <w:t xml:space="preserve">Przed wykonaniem projektu budowlanego należy dokonać inwentaryzacji  w stopniu uszczegółowienia niezbędnym dla prawidłowego zaprojektowania i wykonania całego zakresu przedmiotu zamówienia, zawierającej co najmniej: </w:t>
      </w:r>
    </w:p>
    <w:p w:rsidR="00F93B21" w:rsidRDefault="00F93B21" w:rsidP="00F93B21">
      <w:pPr>
        <w:pStyle w:val="Akapitzlist"/>
        <w:numPr>
          <w:ilvl w:val="0"/>
          <w:numId w:val="9"/>
        </w:numPr>
        <w:spacing w:after="52"/>
        <w:ind w:right="0"/>
      </w:pPr>
      <w:r>
        <w:t xml:space="preserve">inwentaryzację drzew i krzewów; </w:t>
      </w:r>
    </w:p>
    <w:p w:rsidR="00F93B21" w:rsidRDefault="00F93B21" w:rsidP="00F93B21">
      <w:pPr>
        <w:pStyle w:val="Akapitzlist"/>
        <w:numPr>
          <w:ilvl w:val="0"/>
          <w:numId w:val="9"/>
        </w:numPr>
        <w:spacing w:after="52"/>
        <w:ind w:right="0"/>
      </w:pPr>
      <w:r>
        <w:t>inwentaryzacje istniejących obiektów budowlanych i obiektów małej architektury;</w:t>
      </w:r>
    </w:p>
    <w:p w:rsidR="00F93B21" w:rsidRDefault="00F93B21" w:rsidP="00F93B21">
      <w:pPr>
        <w:pStyle w:val="Akapitzlist"/>
        <w:numPr>
          <w:ilvl w:val="0"/>
          <w:numId w:val="9"/>
        </w:numPr>
        <w:spacing w:after="52"/>
        <w:ind w:right="0"/>
      </w:pPr>
      <w:r>
        <w:t>inwentaryzację istniejącej sieci wodno-kanalizacyjnej i elektro energetycznej</w:t>
      </w:r>
      <w:r w:rsidR="000F0279">
        <w:t xml:space="preserve"> w celu zasilania obiektów projektowanych; </w:t>
      </w:r>
      <w:r>
        <w:t xml:space="preserve">  </w:t>
      </w:r>
    </w:p>
    <w:p w:rsidR="00ED12E1" w:rsidRDefault="008D2D42">
      <w:pPr>
        <w:spacing w:after="52"/>
        <w:ind w:left="-5" w:right="0"/>
      </w:pPr>
      <w:r>
        <w:t xml:space="preserve">Wykonawca w ramach realizacji przedmiotu zamówienia zobowiązany jest m.in. do opracowania, sporządzenia i/lub pozyskania staraniem własnym dokumentacji </w:t>
      </w:r>
      <w:r w:rsidR="003C1611">
        <w:t>projektowej zagospodarowania kompleksu parkowo-</w:t>
      </w:r>
      <w:proofErr w:type="spellStart"/>
      <w:r w:rsidR="003C1611">
        <w:t>rekereacyjnego</w:t>
      </w:r>
      <w:proofErr w:type="spellEnd"/>
      <w:r>
        <w:t xml:space="preserve">, a także wszelkich: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warunków, opinii, pozwoleń, decyzji i uzgodnień i innych (w tym m.in. od gestorów sieci, organów administracji architektoniczno-budowlanej), niezbędnych do realizacji planowanej inwestycji wraz z przygotowaniem stosownych dokumentów do wniosków i opracowaniem wniosków wymaganych przez poszczególne podmioty w powyższym zakresie;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innych opracowań (w tym kartograficznych, ekspertyz i ocen oraz inwentaryzacji) wynikających z przepisów prawa lub z wytycznych podmiotów biorących udział w wydawaniu ww. warunków, opinii, pozwoleń, decyzji i uzgodnień, niezbędnych do realizacji planowanej inwestycji. </w:t>
      </w:r>
    </w:p>
    <w:p w:rsidR="00ED12E1" w:rsidRDefault="008D2D42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0D3F73" w:rsidRDefault="008D2D42">
      <w:pPr>
        <w:spacing w:after="55"/>
        <w:ind w:left="-5" w:right="0"/>
      </w:pPr>
      <w:r>
        <w:t xml:space="preserve">Dokumentacja projektowa </w:t>
      </w:r>
      <w:r w:rsidR="000D3F73">
        <w:t xml:space="preserve">powinna być wykonana w taki sposób aby zapewnić Zamawiającemu możliwość realizacji inwestycji w etapach:  </w:t>
      </w:r>
    </w:p>
    <w:p w:rsidR="00ED12E1" w:rsidRDefault="000D3F73" w:rsidP="000D3F73">
      <w:pPr>
        <w:pStyle w:val="Akapitzlist"/>
        <w:numPr>
          <w:ilvl w:val="0"/>
          <w:numId w:val="10"/>
        </w:numPr>
        <w:spacing w:after="55"/>
        <w:ind w:right="0"/>
      </w:pPr>
      <w:r>
        <w:t xml:space="preserve">I etap – rewitalizacja terenu </w:t>
      </w:r>
      <w:r w:rsidRPr="000D3F73">
        <w:t>pomiędzy modernistycznym budynkiem Młodzieżowego Domu Kultury, a stawem Magiera.</w:t>
      </w:r>
    </w:p>
    <w:p w:rsidR="000D3F73" w:rsidRDefault="000D3F73" w:rsidP="000D3F73">
      <w:pPr>
        <w:pStyle w:val="Akapitzlist"/>
        <w:numPr>
          <w:ilvl w:val="0"/>
          <w:numId w:val="10"/>
        </w:numPr>
        <w:spacing w:after="55"/>
        <w:ind w:right="0"/>
      </w:pPr>
      <w:r>
        <w:t xml:space="preserve">II etap – rewitalizacja terenu wokół stawu Magiera (Zacisze) wraz z otoczeniem kapliczki. </w:t>
      </w:r>
    </w:p>
    <w:p w:rsidR="000D3F73" w:rsidRDefault="000D3F73" w:rsidP="000D3F73">
      <w:pPr>
        <w:pStyle w:val="Akapitzlist"/>
        <w:numPr>
          <w:ilvl w:val="0"/>
          <w:numId w:val="10"/>
        </w:numPr>
        <w:spacing w:after="55"/>
        <w:ind w:right="0"/>
      </w:pPr>
      <w:r>
        <w:t xml:space="preserve">III etap – rewitalizacja i zagospodarowanie terenu wokół stawu Matylda.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projekt architektoniczno-budowlany wraz z projektem zagospodarowania działki/terenu sporządzonym na aktualnej mapie do celów projektowych oraz z opiniami, uzgodnieniami, pozwoleniami i innymi dokumentami, których obowiązek dołączenia wynika z przepisów, a także wielobranżowy projekt techniczny – 5 </w:t>
      </w:r>
      <w:proofErr w:type="spellStart"/>
      <w:r>
        <w:t>kpl</w:t>
      </w:r>
      <w:proofErr w:type="spellEnd"/>
      <w:r>
        <w:t xml:space="preserve">., 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projekty wykonawcze wielobranżowe – 4 </w:t>
      </w:r>
      <w:proofErr w:type="spellStart"/>
      <w:r>
        <w:t>kpl</w:t>
      </w:r>
      <w:proofErr w:type="spellEnd"/>
      <w:r>
        <w:t xml:space="preserve">.,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przedmiar robót (w tym robót podstawowych i tymczasowych oraz pomocniczych, przygotowawczych i zabezpieczających) - 2 </w:t>
      </w:r>
      <w:proofErr w:type="spellStart"/>
      <w:r>
        <w:t>kpl</w:t>
      </w:r>
      <w:proofErr w:type="spellEnd"/>
      <w:r>
        <w:t xml:space="preserve">., Ponadto należy opracować: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informację dotyczącą bezpieczeństwa i ochrony zdrowia – 5 </w:t>
      </w:r>
      <w:proofErr w:type="spellStart"/>
      <w:r>
        <w:t>kpl</w:t>
      </w:r>
      <w:proofErr w:type="spellEnd"/>
      <w:r>
        <w:t xml:space="preserve">.,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specyfikacje techniczne wykonania i odbioru robót budowlanych – 3 </w:t>
      </w:r>
      <w:proofErr w:type="spellStart"/>
      <w:r>
        <w:t>kpl</w:t>
      </w:r>
      <w:proofErr w:type="spellEnd"/>
      <w:r>
        <w:t xml:space="preserve">.,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kosztorys inwestorski – 2 </w:t>
      </w:r>
      <w:proofErr w:type="spellStart"/>
      <w:r>
        <w:t>kpl</w:t>
      </w:r>
      <w:proofErr w:type="spellEnd"/>
      <w:r>
        <w:t xml:space="preserve">. </w:t>
      </w:r>
    </w:p>
    <w:p w:rsidR="00ED12E1" w:rsidRDefault="008D2D42">
      <w:pPr>
        <w:ind w:left="-5" w:right="0"/>
      </w:pPr>
      <w:r>
        <w:t xml:space="preserve">We wszystkich ww. opracowaniach należy wyodrębnić w sposób jednoznaczny i czytelny zakres prac obejmujący </w:t>
      </w:r>
      <w:r w:rsidR="00C25C8A">
        <w:t>podział na trzy etapy</w:t>
      </w:r>
      <w:r>
        <w:t>, w sposób umożliwiający jej odrębną wycenę i realizację</w:t>
      </w:r>
      <w:r w:rsidR="00C25C8A">
        <w:t xml:space="preserve">. </w:t>
      </w:r>
      <w:r>
        <w:t xml:space="preserve"> </w:t>
      </w:r>
    </w:p>
    <w:p w:rsidR="00ED12E1" w:rsidRDefault="008D2D42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ED12E1" w:rsidRDefault="00ED12E1">
      <w:pPr>
        <w:ind w:left="-5" w:right="0"/>
      </w:pP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50" w:line="259" w:lineRule="auto"/>
        <w:ind w:left="-5" w:right="0"/>
        <w:jc w:val="left"/>
      </w:pPr>
      <w:r>
        <w:rPr>
          <w:b/>
        </w:rPr>
        <w:t>3.2.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Pozostałe wymagania realizacyjne. </w:t>
      </w:r>
    </w:p>
    <w:p w:rsidR="00ED12E1" w:rsidRDefault="008D2D42">
      <w:pPr>
        <w:numPr>
          <w:ilvl w:val="0"/>
          <w:numId w:val="3"/>
        </w:numPr>
        <w:spacing w:after="39"/>
        <w:ind w:right="0" w:hanging="428"/>
      </w:pPr>
      <w:r>
        <w:t xml:space="preserve">Wykonawca  zobowiązany jest do realizacji zamówienia w zorganizowany i sprawny sposób z należytą starannością wynikającą z zawodowego charakteru prowadzonej działalności. </w:t>
      </w:r>
    </w:p>
    <w:p w:rsidR="00ED12E1" w:rsidRDefault="008D2D42">
      <w:pPr>
        <w:numPr>
          <w:ilvl w:val="0"/>
          <w:numId w:val="3"/>
        </w:numPr>
        <w:spacing w:after="39"/>
        <w:ind w:right="0" w:hanging="428"/>
      </w:pPr>
      <w:r>
        <w:t xml:space="preserve">Wykonawca zobowiązany jest do zapewnienia stałej dyspozycyjności osób wchodzących w skład personelu wykonawcy (projektantów poszczególnych branż), w zakresie kontaktu telefonicznego oraz drogą elektroniczną (e-mail). Wykonawca zobowiązany będzie dostosować godziny pracy swoje i swojego personelu (projektantów) do godzin pracy Zamawiającego. </w:t>
      </w:r>
    </w:p>
    <w:p w:rsidR="00ED12E1" w:rsidRDefault="008D2D42">
      <w:pPr>
        <w:numPr>
          <w:ilvl w:val="0"/>
          <w:numId w:val="3"/>
        </w:numPr>
        <w:spacing w:after="53"/>
        <w:ind w:right="0" w:hanging="428"/>
      </w:pPr>
      <w:r>
        <w:t xml:space="preserve">Przed przystąpieniem do opracowywania dokumentacji Wykonawca zobowiązany jest do: </w:t>
      </w:r>
    </w:p>
    <w:p w:rsidR="00ED12E1" w:rsidRDefault="008D2D42">
      <w:pPr>
        <w:numPr>
          <w:ilvl w:val="0"/>
          <w:numId w:val="4"/>
        </w:numPr>
        <w:ind w:right="0" w:hanging="360"/>
      </w:pPr>
      <w:r>
        <w:t xml:space="preserve">uzgodnienia zakresu prac z przedstawicielami Zamawiającego, </w:t>
      </w:r>
    </w:p>
    <w:p w:rsidR="00ED12E1" w:rsidRDefault="008D2D42">
      <w:pPr>
        <w:numPr>
          <w:ilvl w:val="0"/>
          <w:numId w:val="4"/>
        </w:numPr>
        <w:ind w:right="0" w:hanging="360"/>
      </w:pPr>
      <w:r>
        <w:t xml:space="preserve">zapoznania się ze stanem istniejącym zagospodarowaniem terenu w zakresie odpowiadającym planowanym pracom projektowym. </w:t>
      </w:r>
    </w:p>
    <w:p w:rsidR="00ED12E1" w:rsidRDefault="008D2D42">
      <w:pPr>
        <w:numPr>
          <w:ilvl w:val="0"/>
          <w:numId w:val="5"/>
        </w:numPr>
        <w:spacing w:after="40"/>
        <w:ind w:right="0" w:hanging="428"/>
      </w:pPr>
      <w:r>
        <w:t xml:space="preserve">Projekty wykonawcze winny zawierać rysunki (rzuty, przekroje, widoki i rozwinięcia) w skali uwzględniającej specyfikę zamawianych robót wraz z wyjaśnieniami opisowymi, które dotyczą części obiektu, rozwiązań budowlano-konstrukcyjnych i materiałowych, detali architektonicznych oraz urządzeń budowlanych, instalacji i wyposażenia technicznego. Dokumentacja projektowa winna posiadać wymagane zestawienia (w tym m.in. elementów instalacji, osprzętu elektrycznego i opraw oświetleniowych, urządzeń, wyposażenia itp.). </w:t>
      </w:r>
    </w:p>
    <w:p w:rsidR="00ED12E1" w:rsidRDefault="008D2D42">
      <w:pPr>
        <w:numPr>
          <w:ilvl w:val="0"/>
          <w:numId w:val="5"/>
        </w:numPr>
        <w:ind w:right="0" w:hanging="428"/>
      </w:pPr>
      <w:r>
        <w:t xml:space="preserve">Wykonawca na potrzeby odbioru przedmiotu zamówienia lub jego części zobowiązuje się do złożenia oświadczenia, że dokumentacja projektowa, będąca przedmiotem zamówienia, stanowi przedmiot jego wyłącznych praw autorskich, w rozumieniu przepisów ustawy z dnia 4 lutego 1994 r. o prawie autorskim  i prawach pokrewnych. Wykonawca oświadcza i gwarantuje, że dokumentacja stanowiąca przedmiot zamówienia, będzie wolna od jakichkolwiek praw osób trzecich, zaś prawo Wykonawcy do rozporządzania tą dokumentacją nie będzie w jakikolwiek sposób ograniczone. W razie naruszenia powyższego zobowiązania Wykonawca będzie odpowiedzialny za wszelkie poniesione przez Zamawiającego szkody. 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79" w:line="259" w:lineRule="auto"/>
        <w:ind w:left="-5" w:right="0"/>
        <w:jc w:val="left"/>
      </w:pPr>
      <w:r>
        <w:rPr>
          <w:b/>
        </w:rPr>
        <w:t>3.3.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Pozostałe wymagania formalno-prawne. </w:t>
      </w:r>
    </w:p>
    <w:p w:rsidR="00ED12E1" w:rsidRDefault="008D2D42">
      <w:pPr>
        <w:ind w:left="-5" w:right="0"/>
      </w:pPr>
      <w:r>
        <w:t xml:space="preserve">Zabrania się Wykonawcy stosowania w dokumentacji nazw własnych, wskazania marki lub znaków towarowych, patentów lub pochodzenia, źródła lub szczególnego procesu, który charakteryzuje produkty lub usługi dostarczane przez konkretnego wykonawcę. Wszelkie materiały i urządzenia należy opisać poprzez wskazanie minimalnych wymagań, co do ich parametrów technicznych i eksploatacyjnych, bądź użytkowych jakie winny one spełniać. </w:t>
      </w:r>
    </w:p>
    <w:p w:rsidR="00ED12E1" w:rsidRDefault="008D2D42">
      <w:pPr>
        <w:ind w:left="-5" w:right="0"/>
      </w:pPr>
      <w:r>
        <w:t xml:space="preserve">Dokumentacja projektowa oraz pozostałe opracowania wchodzące w skład przedmiotu zamówienia, należy wykonać zgodnie z wymaganiami Zamawiającego oraz zgodnie z aktualnymi na dzień ich sporządzania, obowiązującymi przepisami prawa, przepisami techniczno-budowlanymi i normami oraz zasadami wiedzy technicznej, w sposób pozwalający na uzyskanie pozwolenia na prowadzenie robót budowlanych i/lub braku sprzeciwu do zgłoszenia zamiaru ich wykonywania, a także gwarantujący prawidłową wycenę i realizację robót budowlanych, które będą wykonywane w oparciu o nie. </w:t>
      </w:r>
    </w:p>
    <w:p w:rsidR="00ED12E1" w:rsidRDefault="008D2D42">
      <w:pPr>
        <w:ind w:left="-5" w:right="0"/>
      </w:pPr>
      <w:r>
        <w:t xml:space="preserve">W rozwiązaniach projektowych należy zachować zasadę uniwersalnego projektowania - rozwiązania architektoniczne i funkcjonalne należy przyjmować z uwzględnieniem zasady równości szans i niedyskryminacji, w tym dostępności dla osób z niepełnosprawnościami oraz zasady równości szans kobiet i mężczyzn – należy stosować się do wytycznych Ministerstwa Rozwoju opublikowanych pod adresem internetowym:  </w:t>
      </w:r>
    </w:p>
    <w:p w:rsidR="00ED12E1" w:rsidRDefault="004A5D23">
      <w:pPr>
        <w:spacing w:after="17" w:line="259" w:lineRule="auto"/>
        <w:ind w:left="0" w:right="0" w:firstLine="0"/>
        <w:jc w:val="left"/>
      </w:pPr>
      <w:hyperlink r:id="rId9">
        <w:r w:rsidR="008D2D42">
          <w:rPr>
            <w:color w:val="0563C1"/>
            <w:u w:val="single" w:color="0563C1"/>
          </w:rPr>
          <w:t>https://budowlaneabc.gov.pl/standardy</w:t>
        </w:r>
      </w:hyperlink>
      <w:hyperlink r:id="rId10">
        <w:r w:rsidR="008D2D42">
          <w:rPr>
            <w:color w:val="0563C1"/>
            <w:u w:val="single" w:color="0563C1"/>
          </w:rPr>
          <w:t>-</w:t>
        </w:r>
      </w:hyperlink>
      <w:hyperlink r:id="rId11">
        <w:r w:rsidR="008D2D42">
          <w:rPr>
            <w:color w:val="0563C1"/>
            <w:u w:val="single" w:color="0563C1"/>
          </w:rPr>
          <w:t>projektowania</w:t>
        </w:r>
      </w:hyperlink>
      <w:hyperlink r:id="rId12">
        <w:r w:rsidR="008D2D42">
          <w:rPr>
            <w:color w:val="0563C1"/>
            <w:u w:val="single" w:color="0563C1"/>
          </w:rPr>
          <w:t>-</w:t>
        </w:r>
      </w:hyperlink>
      <w:hyperlink r:id="rId13">
        <w:r w:rsidR="008D2D42">
          <w:rPr>
            <w:color w:val="0563C1"/>
            <w:u w:val="single" w:color="0563C1"/>
          </w:rPr>
          <w:t>budynkow</w:t>
        </w:r>
      </w:hyperlink>
      <w:hyperlink r:id="rId14">
        <w:r w:rsidR="008D2D42">
          <w:rPr>
            <w:color w:val="0563C1"/>
            <w:u w:val="single" w:color="0563C1"/>
          </w:rPr>
          <w:t>-</w:t>
        </w:r>
      </w:hyperlink>
      <w:hyperlink r:id="rId15">
        <w:r w:rsidR="008D2D42">
          <w:rPr>
            <w:color w:val="0563C1"/>
            <w:u w:val="single" w:color="0563C1"/>
          </w:rPr>
          <w:t>dla</w:t>
        </w:r>
      </w:hyperlink>
      <w:hyperlink r:id="rId16">
        <w:r w:rsidR="008D2D42">
          <w:rPr>
            <w:color w:val="0563C1"/>
            <w:u w:val="single" w:color="0563C1"/>
          </w:rPr>
          <w:t>-</w:t>
        </w:r>
      </w:hyperlink>
      <w:hyperlink r:id="rId17">
        <w:r w:rsidR="008D2D42">
          <w:rPr>
            <w:color w:val="0563C1"/>
            <w:u w:val="single" w:color="0563C1"/>
          </w:rPr>
          <w:t>osob</w:t>
        </w:r>
      </w:hyperlink>
      <w:hyperlink r:id="rId18">
        <w:r w:rsidR="008D2D42">
          <w:rPr>
            <w:color w:val="0563C1"/>
            <w:u w:val="single" w:color="0563C1"/>
          </w:rPr>
          <w:t>-</w:t>
        </w:r>
      </w:hyperlink>
      <w:hyperlink r:id="rId19">
        <w:r w:rsidR="008D2D42">
          <w:rPr>
            <w:color w:val="0563C1"/>
            <w:u w:val="single" w:color="0563C1"/>
          </w:rPr>
          <w:t>niepelnosprawnych/</w:t>
        </w:r>
      </w:hyperlink>
      <w:hyperlink r:id="rId20">
        <w:r w:rsidR="008D2D42">
          <w:t xml:space="preserve"> </w:t>
        </w:r>
      </w:hyperlink>
      <w:r w:rsidR="008D2D42">
        <w:t xml:space="preserve"> </w:t>
      </w:r>
    </w:p>
    <w:p w:rsidR="00ED12E1" w:rsidRDefault="008D2D42">
      <w:pPr>
        <w:ind w:left="-5" w:right="0"/>
      </w:pPr>
      <w:r>
        <w:t xml:space="preserve">Przed złożeniem przez Wykonawcę wniosku o wydanie decyzji zatwierdzającej projekt budowlany i zezwalającej na budowę lub przed zgłoszeniem zamiaru wykonywania robót niewymagających pozwolenia na </w:t>
      </w:r>
      <w:r>
        <w:lastRenderedPageBreak/>
        <w:t xml:space="preserve">budowę, Wykonawca zobowiązany jest przedłożyć Zamawiającemu do zaopiniowania opracowany projekt budowlany w 1 egzemplarzu w wersji papierowej i tożsamej wersji elektronicznej. Akceptacja przez Zamawiającego ww. dokumentacji nie zwalnia Wykonawcy z odpowiedzialności za prawidłową realizację całości przedmiotu zamówienia, w tym m.in. za jego jakość i terminowość oraz za ewentualne jego wady. Dokumentację projektową należy sporządzić w formie pisemnej w wersji papierowej w wymaganej liczbie egzemplarzy wskazanej w opisie przedmiotu zamówienia oraz w dwóch egzemplarzach w wersji elektronicznej tożsamej z wersją papierową (po jednym egzemplarzu odpowiednio na nośniku CD/DVD  i urządzeniu elektronicznym przenośnym typu plug and </w:t>
      </w:r>
      <w:proofErr w:type="spellStart"/>
      <w:r>
        <w:t>play</w:t>
      </w:r>
      <w:proofErr w:type="spellEnd"/>
      <w:r>
        <w:t xml:space="preserve"> zawierającym pamięć nieulotną typu </w:t>
      </w:r>
      <w:proofErr w:type="spellStart"/>
      <w:r>
        <w:t>flash</w:t>
      </w:r>
      <w:proofErr w:type="spellEnd"/>
      <w:r>
        <w:t>, przeznaczonym do współpracy z komputerem przez port USB co najmniej 2.0.) w formacie *.pdf oraz  w formatach edytowalnych np. *.</w:t>
      </w:r>
      <w:proofErr w:type="spellStart"/>
      <w:r>
        <w:t>doc</w:t>
      </w:r>
      <w:proofErr w:type="spellEnd"/>
      <w:r>
        <w:t xml:space="preserve"> lub *.rtf, *.</w:t>
      </w:r>
      <w:proofErr w:type="spellStart"/>
      <w:r>
        <w:t>dwg</w:t>
      </w:r>
      <w:proofErr w:type="spellEnd"/>
      <w:r>
        <w:t xml:space="preserve"> lub *.</w:t>
      </w:r>
      <w:proofErr w:type="spellStart"/>
      <w:r>
        <w:t>dxf</w:t>
      </w:r>
      <w:proofErr w:type="spellEnd"/>
      <w:r>
        <w:t xml:space="preserve">. Wykonawca winien przedłożyć Zamawiającemu wraz z dokumentacją projektową pozostałe wymagane opracowania, a także wszelkie pozyskane lub wytworzone w trakcie i/lub na potrzeby realizacji przedmiotu zamówienia: opinie, decyzje pozwolenia, uzgodnienia itp. dokumenty, w tym obrazujące przebieg toczącego się procesu projektowania oraz niezbędne do jego prawidłowego wykonania. Dokumenty te należy przekazać Zamawiającemu w oryginałach oraz ich kopie potwierdzone za zgodność z oryginałem. Powyższe dotyczy również przekazywanych części dokumentacji. Wykonawca zobowiązany jest do zaopatrzenia każdej części dokumentacji projektowej, stanowiącej odrębną część całości, w wykaz opracowań oraz pisemne oświadczenie, że jest ona wykonana zgodnie z umową, obowiązującymi przepisami prawa, w tym techniczno-budowlanymi i normami oraz zasadami wiedzy technicznej, w sposób gwarantujący prawidłową wycenę i realizację robót budowlanych oraz że zostaje wydana w stanie kompletnym z punktu widzenia celu, któremu ma służyć.  </w:t>
      </w:r>
    </w:p>
    <w:p w:rsidR="00ED12E1" w:rsidRDefault="008D2D42">
      <w:pPr>
        <w:ind w:left="-5" w:right="0"/>
      </w:pPr>
      <w:r>
        <w:t xml:space="preserve">Zamawiający udzieli Wykonawcy pełnomocnictwa do wystąpienia w jego imieniu w celu uzyskania potrzebnych opinii, uzgodnień, zezwoleń i decyzji administracyjnych umożliwiających zatwierdzenie opracowanej dokumentacji projektowej i prawidłową realizację prac projektowych. Wykonawca przygotuje propozycję zakresu wymaganego pełnomocnictwa i wystąpi o jego udzielenie.  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>3.4.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Wymagania ekonomiczne. </w:t>
      </w:r>
    </w:p>
    <w:p w:rsidR="00ED12E1" w:rsidRDefault="008D2D42">
      <w:pPr>
        <w:ind w:left="-5" w:right="0"/>
      </w:pPr>
      <w:r>
        <w:t xml:space="preserve">W rozwiązaniach projektowych należy przewidzieć najbardziej współczesne i równocześnie wysoce ekonomiczne oraz funkcjonalne rozwiązania konstrukcyjno-materiałowe, zapewniające ich wieloletnią trwałość oraz odpowiednio wysoką jakość. Rozwiązania projektowe należy dobierać w sposób celowy i oszczędny, z zachowaniem zasad uzyskiwania najlepszych efektów z danych nakładów oraz optymalnego doboru metod i środków służących osiągnięciu założonych celów.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Pr="00923A23" w:rsidRDefault="008D2D42">
      <w:pPr>
        <w:tabs>
          <w:tab w:val="center" w:pos="1752"/>
        </w:tabs>
        <w:spacing w:after="17" w:line="259" w:lineRule="auto"/>
        <w:ind w:left="-15" w:right="0" w:firstLine="0"/>
        <w:jc w:val="left"/>
        <w:rPr>
          <w:color w:val="auto"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Pr="00923A23">
        <w:rPr>
          <w:b/>
          <w:color w:val="auto"/>
        </w:rPr>
        <w:t xml:space="preserve">Termin realizacji zamówienia  </w:t>
      </w:r>
    </w:p>
    <w:p w:rsidR="00ED12E1" w:rsidRDefault="008D2D42">
      <w:pPr>
        <w:spacing w:after="43"/>
        <w:ind w:left="-5" w:right="0"/>
      </w:pPr>
      <w:r>
        <w:t>Wykonawca zobowiązany jest wykonać przedmiot zamówienia w następujących terminach:</w:t>
      </w:r>
      <w:r>
        <w:rPr>
          <w:b/>
        </w:rPr>
        <w:t xml:space="preserve"> </w:t>
      </w:r>
    </w:p>
    <w:p w:rsidR="00ED12E1" w:rsidRDefault="008D2D42">
      <w:pPr>
        <w:numPr>
          <w:ilvl w:val="0"/>
          <w:numId w:val="6"/>
        </w:numPr>
        <w:spacing w:after="57"/>
        <w:ind w:right="0" w:hanging="360"/>
      </w:pPr>
      <w:r>
        <w:t xml:space="preserve">opracowanie całości dokumentacji projektowej wraz z uzyskaniem w imieniu i na rzecz Zamawiającego wszelkich decyzji administracyjnych oraz zgód niezbędnych do rozpoczęcia i zrealizowania robót budowlanych – do </w:t>
      </w:r>
      <w:r w:rsidR="00327E7C">
        <w:t>30 listopada 2023 roku</w:t>
      </w:r>
      <w:r>
        <w:t>, w tym: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D12E1" w:rsidRPr="00327E7C" w:rsidRDefault="008D2D42">
      <w:pPr>
        <w:ind w:left="1080" w:right="0" w:hanging="360"/>
        <w:rPr>
          <w:color w:val="auto"/>
        </w:rPr>
      </w:pPr>
      <w:r>
        <w:rPr>
          <w:rFonts w:ascii="Times New Roman" w:eastAsia="Times New Roman" w:hAnsi="Times New Roman" w:cs="Times New Roman"/>
          <w:sz w:val="24"/>
        </w:rPr>
        <w:t>a.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opracowanie </w:t>
      </w:r>
      <w:r w:rsidR="00D32E00">
        <w:t xml:space="preserve">koncepcji zagospodarowania kompleksu parkowo-rekreacyjnego będącej podstawą do opracowania dokumentacji projektowej  </w:t>
      </w:r>
      <w:r>
        <w:t xml:space="preserve">wraz z projektem zagospodarowania terenu sporządzonym na aktualnej mapie do celów projektowych, a także zbiorczego zestawienia kosztów - do </w:t>
      </w:r>
      <w:r w:rsidRPr="00327E7C">
        <w:rPr>
          <w:color w:val="auto"/>
        </w:rPr>
        <w:t>3 miesięcy od daty zawarcia umowy.</w:t>
      </w:r>
      <w:r w:rsidRPr="00327E7C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ED12E1" w:rsidRDefault="008D2D42">
      <w:pPr>
        <w:numPr>
          <w:ilvl w:val="0"/>
          <w:numId w:val="6"/>
        </w:numPr>
        <w:ind w:right="0" w:hanging="360"/>
      </w:pPr>
      <w:r>
        <w:t xml:space="preserve">aktualizacja kosztorysów inwestorskich – do 14 dni od otrzymania wezwania od Zamawiającego w okresie udzielonej gwarancji jakości.  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tabs>
          <w:tab w:val="center" w:pos="1872"/>
        </w:tabs>
        <w:spacing w:after="53" w:line="259" w:lineRule="auto"/>
        <w:ind w:left="-15" w:right="0" w:firstLine="0"/>
        <w:jc w:val="left"/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Odpowiedzialność Wykonawcy.  </w:t>
      </w:r>
    </w:p>
    <w:p w:rsidR="00ED12E1" w:rsidRDefault="008D2D42">
      <w:pPr>
        <w:numPr>
          <w:ilvl w:val="0"/>
          <w:numId w:val="7"/>
        </w:numPr>
        <w:spacing w:after="37"/>
        <w:ind w:right="0" w:hanging="360"/>
      </w:pPr>
      <w:r>
        <w:t xml:space="preserve">Wykonawca jest odpowiedzialny wobec Zamawiającego za wady dokumentacji projektowej, jeżeli wady te zmniejszają jej wartość lub użyteczność ze względu na cel oznaczony w umowie. </w:t>
      </w:r>
    </w:p>
    <w:p w:rsidR="00ED12E1" w:rsidRDefault="008D2D42">
      <w:pPr>
        <w:numPr>
          <w:ilvl w:val="0"/>
          <w:numId w:val="7"/>
        </w:numPr>
        <w:ind w:right="0" w:hanging="360"/>
      </w:pPr>
      <w:r>
        <w:lastRenderedPageBreak/>
        <w:t xml:space="preserve">Zamawiającemu, w przypadku otrzymania wadliwie opracowanej dokumentacji projektowej, przysługuje prawo żądania od Wykonawcy: </w:t>
      </w:r>
    </w:p>
    <w:p w:rsidR="00ED12E1" w:rsidRDefault="008D2D42">
      <w:pPr>
        <w:numPr>
          <w:ilvl w:val="1"/>
          <w:numId w:val="7"/>
        </w:numPr>
        <w:spacing w:after="39"/>
        <w:ind w:right="0" w:hanging="360"/>
      </w:pPr>
      <w:r>
        <w:t xml:space="preserve">wymiany dokumentacji na wolną od wad lub usunięcia wady w wyznaczonym terminie bez względu na wysokość związanych z tym kosztów, </w:t>
      </w:r>
    </w:p>
    <w:p w:rsidR="00ED12E1" w:rsidRDefault="008D2D42">
      <w:pPr>
        <w:numPr>
          <w:ilvl w:val="1"/>
          <w:numId w:val="7"/>
        </w:numPr>
        <w:spacing w:after="43"/>
        <w:ind w:right="0" w:hanging="360"/>
      </w:pPr>
      <w:r>
        <w:t xml:space="preserve">obniżenia wynagrodzenia wykonawcy, </w:t>
      </w:r>
    </w:p>
    <w:p w:rsidR="00ED12E1" w:rsidRDefault="008D2D42">
      <w:pPr>
        <w:numPr>
          <w:ilvl w:val="1"/>
          <w:numId w:val="7"/>
        </w:numPr>
        <w:spacing w:after="40"/>
        <w:ind w:right="0" w:hanging="360"/>
      </w:pPr>
      <w:r>
        <w:t xml:space="preserve">odstąpienia od umowy, gdy wada jest istotna i uniemożliwia realizację inwestycji na podstawie wykonanej dokumentacji projektowej. </w:t>
      </w:r>
    </w:p>
    <w:p w:rsidR="00ED12E1" w:rsidRDefault="008D2D42">
      <w:pPr>
        <w:numPr>
          <w:ilvl w:val="0"/>
          <w:numId w:val="7"/>
        </w:numPr>
        <w:spacing w:after="39"/>
        <w:ind w:right="0" w:hanging="360"/>
      </w:pPr>
      <w:r>
        <w:t xml:space="preserve">Wykonawca ponosi pełną odpowiedzialność za wady dokumentacji projektowej, obejmującej odpowiedzialność za wady robót budowlanych (obiektu budowlanego) wykonanych na jej podstawie. </w:t>
      </w:r>
    </w:p>
    <w:p w:rsidR="00ED12E1" w:rsidRDefault="008D2D42">
      <w:pPr>
        <w:numPr>
          <w:ilvl w:val="0"/>
          <w:numId w:val="7"/>
        </w:numPr>
        <w:spacing w:after="40"/>
        <w:ind w:right="0" w:hanging="360"/>
      </w:pPr>
      <w:r>
        <w:t xml:space="preserve">Wykonawca ponosi pełną odpowiedzialność finansową za skutki wad dokumentacji projektowej powstałych z jego winy, a powodujących dodatkowe nieuzasadnione koszty związane z prawidłową realizacją inwestycji. </w:t>
      </w:r>
    </w:p>
    <w:p w:rsidR="00ED12E1" w:rsidRDefault="008D2D42">
      <w:pPr>
        <w:numPr>
          <w:ilvl w:val="0"/>
          <w:numId w:val="7"/>
        </w:numPr>
        <w:spacing w:after="40"/>
        <w:ind w:right="0" w:hanging="360"/>
      </w:pPr>
      <w:r>
        <w:t xml:space="preserve">Wykonawca ponosi pełną odpowiedzialność za prawidłowe przygotowanie dokumentacji projektowej stanowiącej dla Zamawiających podstawę do dokonania opisu przedmiotu zamówienia publicznego  w postępowaniu na wykonanie robót budowlanych  </w:t>
      </w:r>
    </w:p>
    <w:p w:rsidR="00ED12E1" w:rsidRDefault="008D2D42">
      <w:pPr>
        <w:numPr>
          <w:ilvl w:val="0"/>
          <w:numId w:val="7"/>
        </w:numPr>
        <w:spacing w:after="40"/>
        <w:ind w:right="0" w:hanging="360"/>
      </w:pPr>
      <w:r>
        <w:t xml:space="preserve">Wykonawca ponosi pełną odpowiedzialność za prawidłowe sporządzenie kosztorysu inwestorskiego stanowiącego dla Zamawiających podstawę do ustalenia wartości szacunkowej zamówienia publicznego w planowanych, przyszłych postępowaniach na wykonanie robót budowlanych </w:t>
      </w:r>
    </w:p>
    <w:p w:rsidR="00ED12E1" w:rsidRDefault="008D2D42">
      <w:pPr>
        <w:numPr>
          <w:ilvl w:val="0"/>
          <w:numId w:val="7"/>
        </w:numPr>
        <w:ind w:right="0" w:hanging="360"/>
      </w:pPr>
      <w:r>
        <w:t xml:space="preserve">Wykonawca zobowiązany jest do wyjaśniania wątpliwości dotyczących części dokumentacji projektowych i zawartych w nich rozwiązań.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numPr>
          <w:ilvl w:val="0"/>
          <w:numId w:val="8"/>
        </w:numPr>
        <w:spacing w:after="17" w:line="259" w:lineRule="auto"/>
        <w:ind w:right="0" w:hanging="425"/>
        <w:jc w:val="left"/>
      </w:pPr>
      <w:r>
        <w:rPr>
          <w:b/>
        </w:rPr>
        <w:t xml:space="preserve">Uwagi końcowe </w:t>
      </w:r>
    </w:p>
    <w:p w:rsidR="00ED12E1" w:rsidRDefault="008D2D42">
      <w:pPr>
        <w:ind w:left="-5" w:right="0"/>
      </w:pPr>
      <w:r>
        <w:t xml:space="preserve">Koszt wszelkich powyższych czynności, opracowań i obowiązków wymienionych w niniejszym opisie przedmiotu zamówienia stanowi koszt jego Wykonawcy i winien być ujęty w cenie zamówienia. </w:t>
      </w:r>
    </w:p>
    <w:p w:rsidR="00ED12E1" w:rsidRDefault="008D2D42">
      <w:pPr>
        <w:spacing w:after="49" w:line="259" w:lineRule="auto"/>
        <w:ind w:left="0" w:right="0" w:firstLine="0"/>
        <w:jc w:val="left"/>
      </w:pPr>
      <w:r>
        <w:t xml:space="preserve"> </w:t>
      </w:r>
    </w:p>
    <w:sectPr w:rsidR="00ED12E1">
      <w:footerReference w:type="even" r:id="rId21"/>
      <w:footerReference w:type="default" r:id="rId22"/>
      <w:footerReference w:type="first" r:id="rId23"/>
      <w:pgSz w:w="11906" w:h="16838"/>
      <w:pgMar w:top="467" w:right="1075" w:bottom="1530" w:left="108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1A2C" w:rsidRDefault="008D2D42">
      <w:pPr>
        <w:spacing w:after="0" w:line="240" w:lineRule="auto"/>
      </w:pPr>
      <w:r>
        <w:separator/>
      </w:r>
    </w:p>
  </w:endnote>
  <w:endnote w:type="continuationSeparator" w:id="0">
    <w:p w:rsidR="00961A2C" w:rsidRDefault="008D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2E1" w:rsidRDefault="008D2D42">
    <w:pPr>
      <w:spacing w:after="0" w:line="259" w:lineRule="auto"/>
      <w:ind w:left="0" w:right="363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6081395</wp:posOffset>
              </wp:positionH>
              <wp:positionV relativeFrom="page">
                <wp:posOffset>10164876</wp:posOffset>
              </wp:positionV>
              <wp:extent cx="574675" cy="635"/>
              <wp:effectExtent l="0" t="0" r="0" b="0"/>
              <wp:wrapSquare wrapText="bothSides"/>
              <wp:docPr id="9448" name="Group 9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675" cy="635"/>
                        <a:chOff x="0" y="0"/>
                        <a:chExt cx="574675" cy="635"/>
                      </a:xfrm>
                    </wpg:grpSpPr>
                    <wps:wsp>
                      <wps:cNvPr id="9449" name="Shape 9449"/>
                      <wps:cNvSpPr/>
                      <wps:spPr>
                        <a:xfrm>
                          <a:off x="0" y="0"/>
                          <a:ext cx="574675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75" h="635">
                              <a:moveTo>
                                <a:pt x="0" y="0"/>
                              </a:moveTo>
                              <a:lnTo>
                                <a:pt x="574675" y="635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48" style="width:45.25pt;height:0.0499878pt;position:absolute;mso-position-horizontal-relative:page;mso-position-horizontal:absolute;margin-left:478.85pt;mso-position-vertical-relative:page;margin-top:800.384pt;" coordsize="5746,6">
              <v:shape id="Shape 9449" style="position:absolute;width:5746;height:6;left:0;top:0;" coordsize="574675,635" path="m0,0l574675,635">
                <v:stroke weight="0.14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6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6"/>
      </w:rPr>
      <w:t>2</w:t>
    </w:r>
    <w:r>
      <w:rPr>
        <w:b/>
        <w:sz w:val="16"/>
      </w:rPr>
      <w:fldChar w:fldCharType="end"/>
    </w:r>
    <w:r>
      <w:rPr>
        <w:sz w:val="16"/>
      </w:rPr>
      <w:t xml:space="preserve"> z </w:t>
    </w:r>
    <w:r w:rsidR="004A5D23">
      <w:fldChar w:fldCharType="begin"/>
    </w:r>
    <w:r w:rsidR="004A5D23">
      <w:instrText xml:space="preserve"> NUMPAGES   \* MERGEFORMAT </w:instrText>
    </w:r>
    <w:r w:rsidR="004A5D23">
      <w:fldChar w:fldCharType="separate"/>
    </w:r>
    <w:r>
      <w:rPr>
        <w:sz w:val="16"/>
      </w:rPr>
      <w:t>8</w:t>
    </w:r>
    <w:r w:rsidR="004A5D23">
      <w:rPr>
        <w:sz w:val="16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2E1" w:rsidRDefault="008D2D42">
    <w:pPr>
      <w:spacing w:after="0" w:line="259" w:lineRule="auto"/>
      <w:ind w:left="0" w:right="363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6081395</wp:posOffset>
              </wp:positionH>
              <wp:positionV relativeFrom="page">
                <wp:posOffset>10164876</wp:posOffset>
              </wp:positionV>
              <wp:extent cx="574675" cy="635"/>
              <wp:effectExtent l="0" t="0" r="0" b="0"/>
              <wp:wrapSquare wrapText="bothSides"/>
              <wp:docPr id="9435" name="Group 9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675" cy="635"/>
                        <a:chOff x="0" y="0"/>
                        <a:chExt cx="574675" cy="635"/>
                      </a:xfrm>
                    </wpg:grpSpPr>
                    <wps:wsp>
                      <wps:cNvPr id="9436" name="Shape 9436"/>
                      <wps:cNvSpPr/>
                      <wps:spPr>
                        <a:xfrm>
                          <a:off x="0" y="0"/>
                          <a:ext cx="574675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75" h="635">
                              <a:moveTo>
                                <a:pt x="0" y="0"/>
                              </a:moveTo>
                              <a:lnTo>
                                <a:pt x="574675" y="635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35" style="width:45.25pt;height:0.0499878pt;position:absolute;mso-position-horizontal-relative:page;mso-position-horizontal:absolute;margin-left:478.85pt;mso-position-vertical-relative:page;margin-top:800.384pt;" coordsize="5746,6">
              <v:shape id="Shape 9436" style="position:absolute;width:5746;height:6;left:0;top:0;" coordsize="574675,635" path="m0,0l574675,635">
                <v:stroke weight="0.14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6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6"/>
      </w:rPr>
      <w:t>2</w:t>
    </w:r>
    <w:r>
      <w:rPr>
        <w:b/>
        <w:sz w:val="16"/>
      </w:rPr>
      <w:fldChar w:fldCharType="end"/>
    </w:r>
    <w:r>
      <w:rPr>
        <w:sz w:val="16"/>
      </w:rPr>
      <w:t xml:space="preserve"> z </w:t>
    </w:r>
    <w:r w:rsidR="004A5D23">
      <w:fldChar w:fldCharType="begin"/>
    </w:r>
    <w:r w:rsidR="004A5D23">
      <w:instrText xml:space="preserve"> NUMPAGES   \* MERGEFORMAT </w:instrText>
    </w:r>
    <w:r w:rsidR="004A5D23">
      <w:fldChar w:fldCharType="separate"/>
    </w:r>
    <w:r>
      <w:rPr>
        <w:sz w:val="16"/>
      </w:rPr>
      <w:t>8</w:t>
    </w:r>
    <w:r w:rsidR="004A5D23">
      <w:rPr>
        <w:sz w:val="16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2E1" w:rsidRDefault="00ED12E1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1A2C" w:rsidRDefault="008D2D42">
      <w:pPr>
        <w:spacing w:after="0" w:line="240" w:lineRule="auto"/>
      </w:pPr>
      <w:r>
        <w:separator/>
      </w:r>
    </w:p>
  </w:footnote>
  <w:footnote w:type="continuationSeparator" w:id="0">
    <w:p w:rsidR="00961A2C" w:rsidRDefault="008D2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4ABF"/>
    <w:multiLevelType w:val="hybridMultilevel"/>
    <w:tmpl w:val="998CFA80"/>
    <w:lvl w:ilvl="0" w:tplc="93CC8182">
      <w:start w:val="1"/>
      <w:numFmt w:val="decimal"/>
      <w:lvlText w:val="%1)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F0E1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C48B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5C7A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22CC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B46DE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E6BD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DC07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B490D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5C73FF"/>
    <w:multiLevelType w:val="hybridMultilevel"/>
    <w:tmpl w:val="805CACD0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2D2948F8"/>
    <w:multiLevelType w:val="hybridMultilevel"/>
    <w:tmpl w:val="1F7ADEF2"/>
    <w:lvl w:ilvl="0" w:tplc="65C246E0">
      <w:start w:val="1"/>
      <w:numFmt w:val="decimal"/>
      <w:lvlText w:val="%1)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36DD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0E301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EA9C0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10C4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4653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9A0CB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28B2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6AD1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C27D8D"/>
    <w:multiLevelType w:val="hybridMultilevel"/>
    <w:tmpl w:val="BE52FC68"/>
    <w:lvl w:ilvl="0" w:tplc="EB5CA71E">
      <w:start w:val="1"/>
      <w:numFmt w:val="decimal"/>
      <w:lvlText w:val="%1)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420DA">
      <w:start w:val="1"/>
      <w:numFmt w:val="lowerLetter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1CA3D4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74EAE2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9648A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6C892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70BDE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9235A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346F9C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0E38FD"/>
    <w:multiLevelType w:val="hybridMultilevel"/>
    <w:tmpl w:val="FECA58AC"/>
    <w:lvl w:ilvl="0" w:tplc="32F66D48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98F51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E8E66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D0BC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56CC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2CD1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2880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1275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1A483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E6062F"/>
    <w:multiLevelType w:val="hybridMultilevel"/>
    <w:tmpl w:val="BB30AE58"/>
    <w:lvl w:ilvl="0" w:tplc="0B4E0410">
      <w:start w:val="4"/>
      <w:numFmt w:val="decimal"/>
      <w:lvlText w:val="%1)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38C3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92BD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425C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06F01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587B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B09C9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E1F0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621A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5327E5"/>
    <w:multiLevelType w:val="multilevel"/>
    <w:tmpl w:val="5BC87182"/>
    <w:lvl w:ilvl="0">
      <w:start w:val="1"/>
      <w:numFmt w:val="decimal"/>
      <w:lvlText w:val="%1."/>
      <w:lvlJc w:val="left"/>
      <w:pPr>
        <w:ind w:left="4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1AA2BD4"/>
    <w:multiLevelType w:val="hybridMultilevel"/>
    <w:tmpl w:val="2612FE32"/>
    <w:lvl w:ilvl="0" w:tplc="4DE49A68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8EEA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6814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B28D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4ECBF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D6DBD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AC5F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C09D9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942B5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95F7D82"/>
    <w:multiLevelType w:val="hybridMultilevel"/>
    <w:tmpl w:val="8996B9D4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79BA3021"/>
    <w:multiLevelType w:val="hybridMultilevel"/>
    <w:tmpl w:val="19F4FD16"/>
    <w:lvl w:ilvl="0" w:tplc="CEF631D4">
      <w:start w:val="6"/>
      <w:numFmt w:val="decimal"/>
      <w:lvlText w:val="%1."/>
      <w:lvlJc w:val="left"/>
      <w:pPr>
        <w:ind w:left="4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5887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6E5F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08C1C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C8D6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287BA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E28F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10871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8251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67866334">
    <w:abstractNumId w:val="6"/>
  </w:num>
  <w:num w:numId="2" w16cid:durableId="768433984">
    <w:abstractNumId w:val="7"/>
  </w:num>
  <w:num w:numId="3" w16cid:durableId="1727608266">
    <w:abstractNumId w:val="2"/>
  </w:num>
  <w:num w:numId="4" w16cid:durableId="1026715529">
    <w:abstractNumId w:val="4"/>
  </w:num>
  <w:num w:numId="5" w16cid:durableId="1530608010">
    <w:abstractNumId w:val="5"/>
  </w:num>
  <w:num w:numId="6" w16cid:durableId="350111397">
    <w:abstractNumId w:val="0"/>
  </w:num>
  <w:num w:numId="7" w16cid:durableId="1502892654">
    <w:abstractNumId w:val="3"/>
  </w:num>
  <w:num w:numId="8" w16cid:durableId="180053701">
    <w:abstractNumId w:val="9"/>
  </w:num>
  <w:num w:numId="9" w16cid:durableId="2002849378">
    <w:abstractNumId w:val="8"/>
  </w:num>
  <w:num w:numId="10" w16cid:durableId="94061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E1"/>
    <w:rsid w:val="00016C9C"/>
    <w:rsid w:val="000D3F73"/>
    <w:rsid w:val="000F0279"/>
    <w:rsid w:val="00225C4C"/>
    <w:rsid w:val="00327E7C"/>
    <w:rsid w:val="003C1611"/>
    <w:rsid w:val="004D407B"/>
    <w:rsid w:val="004E4C52"/>
    <w:rsid w:val="00540A21"/>
    <w:rsid w:val="00570EAE"/>
    <w:rsid w:val="006726D3"/>
    <w:rsid w:val="0069496C"/>
    <w:rsid w:val="006A7574"/>
    <w:rsid w:val="008D2D42"/>
    <w:rsid w:val="00923A23"/>
    <w:rsid w:val="00961A2C"/>
    <w:rsid w:val="00C25C8A"/>
    <w:rsid w:val="00C5693F"/>
    <w:rsid w:val="00D32E00"/>
    <w:rsid w:val="00E8204C"/>
    <w:rsid w:val="00ED12E1"/>
    <w:rsid w:val="00F7594A"/>
    <w:rsid w:val="00F93B21"/>
    <w:rsid w:val="00FE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9FEE4"/>
  <w15:docId w15:val="{397274D8-82EF-443A-BA18-9A2BAC9E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" w:line="270" w:lineRule="auto"/>
      <w:ind w:left="10" w:right="1115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93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udowlaneabc.gov.pl/standardy-projektowania-budynkow-dla-osob-niepelnosprawnych/" TargetMode="External"/><Relationship Id="rId18" Type="http://schemas.openxmlformats.org/officeDocument/2006/relationships/hyperlink" Target="https://budowlaneabc.gov.pl/standardy-projektowania-budynkow-dla-osob-niepelnosprawnych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budowlaneabc.gov.pl/standardy-projektowania-budynkow-dla-osob-niepelnosprawnych/" TargetMode="External"/><Relationship Id="rId17" Type="http://schemas.openxmlformats.org/officeDocument/2006/relationships/hyperlink" Target="https://budowlaneabc.gov.pl/standardy-projektowania-budynkow-dla-osob-niepelnosprawnych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udowlaneabc.gov.pl/standardy-projektowania-budynkow-dla-osob-niepelnosprawnych/" TargetMode="External"/><Relationship Id="rId20" Type="http://schemas.openxmlformats.org/officeDocument/2006/relationships/hyperlink" Target="https://budowlaneabc.gov.pl/standardy-projektowania-budynkow-dla-osob-niepelnosprawnyc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udowlaneabc.gov.pl/standardy-projektowania-budynkow-dla-osob-niepelnosprawnych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udowlaneabc.gov.pl/standardy-projektowania-budynkow-dla-osob-niepelnosprawnych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budowlaneabc.gov.pl/standardy-projektowania-budynkow-dla-osob-niepelnosprawnych/" TargetMode="External"/><Relationship Id="rId19" Type="http://schemas.openxmlformats.org/officeDocument/2006/relationships/hyperlink" Target="https://budowlaneabc.gov.pl/standardy-projektowania-budynkow-dla-osob-niepelnosprawnyc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udowlaneabc.gov.pl/standardy-projektowania-budynkow-dla-osob-niepelnosprawnych/" TargetMode="External"/><Relationship Id="rId14" Type="http://schemas.openxmlformats.org/officeDocument/2006/relationships/hyperlink" Target="https://budowlaneabc.gov.pl/standardy-projektowania-budynkow-dla-osob-niepelnosprawnych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3132</Words>
  <Characters>18798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</vt:lpstr>
    </vt:vector>
  </TitlesOfParts>
  <Company/>
  <LinksUpToDate>false</LinksUpToDate>
  <CharactersWithSpaces>21887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</dc:title>
  <dc:subject/>
  <dc:creator>vista</dc:creator>
  <cp:keywords/>
  <cp:lastModifiedBy>Beata Grzelec-Spetruk</cp:lastModifiedBy>
  <cp:revision>17</cp:revision>
  <dcterms:created xsi:type="dcterms:W3CDTF">2023-02-03T14:25:00Z</dcterms:created>
  <dcterms:modified xsi:type="dcterms:W3CDTF">2023-03-13T10:04:00Z</dcterms:modified>
</cp:coreProperties>
</file>