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1E4F4C">
        <w:rPr>
          <w:rFonts w:ascii="Arial" w:hAnsi="Arial" w:cs="Arial"/>
          <w:b/>
          <w:sz w:val="20"/>
        </w:rPr>
        <w:t>4</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1E4F4C" w:rsidP="00500207">
      <w:pPr>
        <w:jc w:val="center"/>
        <w:rPr>
          <w:rFonts w:ascii="Arial" w:hAnsi="Arial" w:cs="Arial"/>
          <w:b/>
          <w:szCs w:val="20"/>
        </w:rPr>
      </w:pPr>
      <w:r>
        <w:rPr>
          <w:rFonts w:ascii="Arial" w:hAnsi="Arial" w:cs="Arial"/>
          <w:b/>
        </w:rPr>
        <w:t>przy ul. Kilińskiego</w:t>
      </w:r>
      <w:r w:rsidR="00CA5C51">
        <w:rPr>
          <w:rFonts w:ascii="Arial" w:hAnsi="Arial" w:cs="Arial"/>
          <w:b/>
        </w:rPr>
        <w:t xml:space="preserve"> </w:t>
      </w:r>
      <w:r w:rsidR="00500207" w:rsidRPr="00A91038">
        <w:rPr>
          <w:rFonts w:ascii="Arial" w:hAnsi="Arial" w:cs="Arial"/>
          <w:b/>
        </w:rPr>
        <w:t xml:space="preserve">w </w:t>
      </w:r>
      <w:r w:rsidR="00CA5C51">
        <w:rPr>
          <w:rFonts w:ascii="Arial" w:hAnsi="Arial" w:cs="Arial"/>
          <w:b/>
        </w:rPr>
        <w:t>Rabce-Zdroju</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734424">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734424">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734424">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20</w:t>
        </w:r>
        <w:r w:rsidRPr="005B4CF2">
          <w:rPr>
            <w:rFonts w:ascii="Arial" w:hAnsi="Arial" w:cs="Arial"/>
            <w:noProof/>
            <w:webHidden/>
            <w:sz w:val="20"/>
          </w:rPr>
          <w:fldChar w:fldCharType="end"/>
        </w:r>
      </w:hyperlink>
    </w:p>
    <w:p w:rsidR="005B4CF2" w:rsidRDefault="00734424">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636721">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734424">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734424"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6A1E98">
        <w:rPr>
          <w:rFonts w:ascii="Arial" w:hAnsi="Arial" w:cs="Arial"/>
          <w:b/>
          <w:sz w:val="20"/>
          <w:szCs w:val="20"/>
        </w:rPr>
        <w:t>54</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6A1E98">
        <w:rPr>
          <w:rFonts w:ascii="Arial" w:hAnsi="Arial" w:cs="Arial"/>
          <w:b/>
          <w:sz w:val="20"/>
          <w:szCs w:val="20"/>
        </w:rPr>
        <w:t>przy ul. Kilińskiego</w:t>
      </w:r>
      <w:r w:rsidR="00827EFE">
        <w:rPr>
          <w:rFonts w:ascii="Arial" w:hAnsi="Arial" w:cs="Arial"/>
          <w:b/>
          <w:sz w:val="20"/>
          <w:szCs w:val="20"/>
        </w:rPr>
        <w:t xml:space="preserve">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F53514">
        <w:rPr>
          <w:b/>
          <w:sz w:val="20"/>
        </w:rPr>
        <w:t xml:space="preserve">przy </w:t>
      </w:r>
      <w:r w:rsidR="00AB65E4">
        <w:rPr>
          <w:b/>
          <w:sz w:val="20"/>
        </w:rPr>
        <w:br/>
      </w:r>
      <w:r w:rsidR="00F53514">
        <w:rPr>
          <w:b/>
          <w:sz w:val="20"/>
        </w:rPr>
        <w:t xml:space="preserve">ul. Kilińskiego </w:t>
      </w:r>
      <w:r w:rsidR="005042AC">
        <w:rPr>
          <w:b/>
          <w:sz w:val="20"/>
        </w:rPr>
        <w:t>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z Kierownictwem</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zorganizować wszystkie prace związane z realizacją przedmiotu zamówienia w sposób nie narażający pracowników pracujących w budynku na niebezpieczeństwa 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lastRenderedPageBreak/>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 xml:space="preserve">W zakresie rękojmi zastosowanie mają przepisy ustawy z dnia 23 kwietnia 1964 r. Kodeks Cywilny (t.j.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z późn.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pkt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1320 z późn.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i odtworzeniowe, ślusarka okienna i drzwiowa, remont balkonów, docieplanie stropodachu, docieplanie przegród zewnętrznych i roboty towarzyszące, docieplenie dachu wraz z robotami towarzyszącymi, roboty blacharskie, malarskie dachu i posadzek, roboty wykończeniowe po robotach elektrycznych,</w:t>
      </w:r>
      <w:r w:rsidR="007D1B03">
        <w:rPr>
          <w:i/>
          <w:sz w:val="20"/>
        </w:rPr>
        <w:t xml:space="preserve"> instalacje fotowoltaiczne, instalacje elektryczne,</w:t>
      </w:r>
      <w:r w:rsidR="00F6247F">
        <w:rPr>
          <w:i/>
          <w:sz w:val="20"/>
        </w:rPr>
        <w:t xml:space="preserve"> instalacja odgromowa,</w:t>
      </w:r>
      <w:r w:rsidR="001D7564" w:rsidRPr="001D7564">
        <w:rPr>
          <w:i/>
          <w:sz w:val="20"/>
        </w:rPr>
        <w:t xml:space="preserve"> 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B2F02">
        <w:rPr>
          <w:b/>
          <w:color w:val="FF0000"/>
          <w:sz w:val="20"/>
        </w:rPr>
        <w:t>9</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w spółce jawnej lub partnerskiej albo komplementariusza w spółce komandytowej lub komandytowo-akcyjnej lub prokurenta prawomocnie skazano za przestępstwo, o którym mowa w pkt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pkt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pkt 3 ustawy z dnia 13 kwietnia 2022 r. o szczególnych rozwiązaniach </w:t>
      </w:r>
      <w:r>
        <w:rPr>
          <w:b/>
          <w:sz w:val="20"/>
        </w:rPr>
        <w:br/>
      </w:r>
      <w:r w:rsidRPr="00C9131E">
        <w:rPr>
          <w:b/>
          <w:sz w:val="20"/>
        </w:rPr>
        <w:t xml:space="preserve">w zakresie przeciwdziałania wspieraniu agresji na Ukrainę oraz służących ochronie bezpieczeństwa narodowego (t.j.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086D82">
        <w:rPr>
          <w:b/>
          <w:sz w:val="20"/>
        </w:rPr>
        <w:br/>
      </w:r>
      <w:r w:rsidRPr="00C9131E">
        <w:rPr>
          <w:b/>
          <w:sz w:val="20"/>
        </w:rPr>
        <w:t>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lastRenderedPageBreak/>
        <w:t xml:space="preserve">1) wykonawcę oraz uczestnika konkursu wymienionego w wykazach określonych </w:t>
      </w:r>
      <w:r>
        <w:rPr>
          <w:b/>
          <w:sz w:val="20"/>
        </w:rPr>
        <w:br/>
      </w:r>
      <w:r w:rsidRPr="00C9131E">
        <w:rPr>
          <w:b/>
          <w:sz w:val="20"/>
        </w:rPr>
        <w:t>w rozporządzeniu 765/2006 i rozporządzeniu 269/2014 albo wpisanego na listę na podstawie decyzji w sprawie wpisu na listę rozstrzygającej o zastosowaniu środka, o którym mowa w art. 1 pkt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w sprawie wpisu na listę rozstrzygającej o zastosowaniu środka, o którym mowa w art. 1 pkt 3 ustawy o przeciwdziałaniu agresji;</w:t>
      </w:r>
    </w:p>
    <w:p w:rsidR="00C9131E" w:rsidRPr="00C9131E" w:rsidRDefault="00C9131E" w:rsidP="00C9131E">
      <w:pPr>
        <w:pStyle w:val="Nagwek2"/>
        <w:rPr>
          <w:b/>
          <w:sz w:val="20"/>
        </w:rPr>
      </w:pPr>
      <w:r w:rsidRPr="00C9131E">
        <w:rPr>
          <w:b/>
          <w:sz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pkt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lastRenderedPageBreak/>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lastRenderedPageBreak/>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kb/s,</w:t>
      </w:r>
    </w:p>
    <w:p w:rsidR="00060E95" w:rsidRPr="00020372" w:rsidRDefault="00060E95" w:rsidP="00886955">
      <w:pPr>
        <w:pStyle w:val="Nagwek2"/>
        <w:rPr>
          <w:sz w:val="20"/>
        </w:rPr>
      </w:pPr>
      <w:r w:rsidRPr="00020372">
        <w:rPr>
          <w:sz w:val="20"/>
        </w:rPr>
        <w:lastRenderedPageBreak/>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JavaScript,</w:t>
      </w:r>
    </w:p>
    <w:p w:rsidR="0089730C" w:rsidRPr="00020372" w:rsidRDefault="0089730C" w:rsidP="00886955">
      <w:pPr>
        <w:pStyle w:val="Nagwek2"/>
        <w:rPr>
          <w:sz w:val="20"/>
        </w:rPr>
      </w:pPr>
      <w:r w:rsidRPr="00020372">
        <w:rPr>
          <w:sz w:val="20"/>
        </w:rPr>
        <w:t>5) zainstalowany program Adobe Acrobat Reader lub inny obsługujący</w:t>
      </w:r>
      <w:r w:rsidR="00060E95" w:rsidRPr="00020372">
        <w:rPr>
          <w:sz w:val="20"/>
        </w:rPr>
        <w:tab/>
      </w:r>
      <w:r w:rsidRPr="00020372">
        <w:rPr>
          <w:sz w:val="20"/>
        </w:rPr>
        <w:t>format plików .pdf,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(hh:mm:ss)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734424"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C528AB">
        <w:rPr>
          <w:b/>
          <w:sz w:val="20"/>
        </w:rPr>
        <w:t>15</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C528AB">
        <w:rPr>
          <w:b/>
          <w:sz w:val="20"/>
        </w:rPr>
        <w:t>piętnaście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pkt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pkt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695EF4">
        <w:rPr>
          <w:b/>
          <w:sz w:val="20"/>
        </w:rPr>
        <w:t>4</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pkt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B57643">
        <w:rPr>
          <w:color w:val="FF0000"/>
          <w:sz w:val="20"/>
        </w:rPr>
        <w:t>06</w:t>
      </w:r>
      <w:r w:rsidR="00F1197B" w:rsidRPr="00020372">
        <w:rPr>
          <w:color w:val="FF0000"/>
          <w:sz w:val="20"/>
        </w:rPr>
        <w:t>.0</w:t>
      </w:r>
      <w:r w:rsidR="005A570D">
        <w:rPr>
          <w:color w:val="FF0000"/>
          <w:sz w:val="20"/>
        </w:rPr>
        <w:t>9</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B57643">
        <w:rPr>
          <w:color w:val="FF0000"/>
          <w:sz w:val="20"/>
        </w:rPr>
        <w:t>08</w:t>
      </w:r>
      <w:r w:rsidR="002C694C" w:rsidRPr="00020372">
        <w:rPr>
          <w:color w:val="FF0000"/>
          <w:sz w:val="20"/>
        </w:rPr>
        <w:t>.0</w:t>
      </w:r>
      <w:r w:rsidR="00256F9F">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w:t>
      </w:r>
      <w:r w:rsidR="0040646A" w:rsidRPr="00B57643">
        <w:rPr>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256F9F">
        <w:rPr>
          <w:color w:val="FF0000"/>
          <w:sz w:val="20"/>
        </w:rPr>
        <w:t>0</w:t>
      </w:r>
      <w:r w:rsidR="00B57643">
        <w:rPr>
          <w:color w:val="FF0000"/>
          <w:sz w:val="20"/>
        </w:rPr>
        <w:t>8</w:t>
      </w:r>
      <w:r w:rsidR="002C694C" w:rsidRPr="00020372">
        <w:rPr>
          <w:color w:val="FF0000"/>
          <w:sz w:val="20"/>
        </w:rPr>
        <w:t>.0</w:t>
      </w:r>
      <w:r w:rsidR="00256F9F">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B57643">
        <w:rPr>
          <w:color w:val="FF0000"/>
          <w:sz w:val="20"/>
        </w:rPr>
        <w:t>11</w:t>
      </w:r>
      <w:r w:rsidR="0040646A" w:rsidRPr="00B57643">
        <w:rPr>
          <w:color w:val="FF0000"/>
          <w:sz w:val="20"/>
        </w:rPr>
        <w:t>:30</w:t>
      </w:r>
      <w:r w:rsidR="00BC3F3B" w:rsidRPr="00B57643">
        <w:rPr>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A01329" w:rsidRDefault="00A01329" w:rsidP="00886955">
      <w:pPr>
        <w:pStyle w:val="Nagwek2"/>
        <w:rPr>
          <w:sz w:val="20"/>
        </w:rPr>
      </w:pPr>
    </w:p>
    <w:p w:rsidR="00A01329" w:rsidRDefault="00A01329"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B66658" w:rsidRPr="00020372" w:rsidRDefault="00B66658"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lastRenderedPageBreak/>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2) 10 dni od dnia przekazania informacji o czynności zamawiającego stanowiącej podstawę jego wniesienia, jeżeli informacja została przekazana w sposób inny niż określony w pkt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pkt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lastRenderedPageBreak/>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rzedmiar robót, STWiOR</w:t>
      </w:r>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73442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73442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734424" w:rsidRPr="002E6E4B">
      <w:rPr>
        <w:rStyle w:val="Numerstrony"/>
        <w:rFonts w:ascii="Arial" w:hAnsi="Arial" w:cs="Arial"/>
        <w:sz w:val="18"/>
        <w:szCs w:val="18"/>
      </w:rPr>
      <w:fldChar w:fldCharType="separate"/>
    </w:r>
    <w:r w:rsidR="00B57643">
      <w:rPr>
        <w:rStyle w:val="Numerstrony"/>
        <w:rFonts w:ascii="Arial" w:hAnsi="Arial" w:cs="Arial"/>
        <w:noProof/>
        <w:sz w:val="18"/>
        <w:szCs w:val="18"/>
      </w:rPr>
      <w:t>17</w:t>
    </w:r>
    <w:r w:rsidR="00734424"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73442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734424" w:rsidRPr="002E6E4B">
      <w:rPr>
        <w:rStyle w:val="Numerstrony"/>
        <w:rFonts w:ascii="Arial" w:hAnsi="Arial" w:cs="Arial"/>
        <w:sz w:val="18"/>
        <w:szCs w:val="18"/>
      </w:rPr>
      <w:fldChar w:fldCharType="separate"/>
    </w:r>
    <w:r w:rsidR="00B57643">
      <w:rPr>
        <w:rStyle w:val="Numerstrony"/>
        <w:rFonts w:ascii="Arial" w:hAnsi="Arial" w:cs="Arial"/>
        <w:noProof/>
        <w:sz w:val="18"/>
        <w:szCs w:val="18"/>
      </w:rPr>
      <w:t>21</w:t>
    </w:r>
    <w:r w:rsidR="00734424"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734424">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8B3FBE">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C4A"/>
    <w:rsid w:val="00F55CD1"/>
    <w:rsid w:val="00F56974"/>
    <w:rsid w:val="00F57CBD"/>
    <w:rsid w:val="00F612C1"/>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A429-FB3C-4B2E-941D-A53E51FA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21</Pages>
  <Words>10083</Words>
  <Characters>60502</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2022-07-20T08:49:00Z</cp:lastPrinted>
  <dcterms:created xsi:type="dcterms:W3CDTF">2022-07-28T08:24:00Z</dcterms:created>
  <dcterms:modified xsi:type="dcterms:W3CDTF">2022-07-28T08:26:00Z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