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5C" w:rsidRDefault="00281A5C" w:rsidP="00281A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81A5C" w:rsidRPr="00C14A95" w:rsidRDefault="00281A5C" w:rsidP="00281A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„Dostawa</w:t>
      </w:r>
      <w:r w:rsidRPr="00C14A95">
        <w:rPr>
          <w:rFonts w:ascii="Arial" w:hAnsi="Arial" w:cs="Arial"/>
          <w:b/>
          <w:sz w:val="24"/>
          <w:szCs w:val="24"/>
        </w:rPr>
        <w:t xml:space="preserve"> i </w:t>
      </w:r>
      <w:r>
        <w:rPr>
          <w:rFonts w:ascii="Arial" w:hAnsi="Arial" w:cs="Arial"/>
          <w:b/>
          <w:sz w:val="24"/>
          <w:szCs w:val="24"/>
        </w:rPr>
        <w:t>wdrożenie serwerów oraz przełączników SAN</w:t>
      </w:r>
      <w:r w:rsidRPr="00C14A95">
        <w:rPr>
          <w:rFonts w:ascii="Arial" w:hAnsi="Arial" w:cs="Arial"/>
          <w:b/>
          <w:sz w:val="24"/>
          <w:szCs w:val="24"/>
        </w:rPr>
        <w:t>”</w:t>
      </w:r>
    </w:p>
    <w:p w:rsidR="00675F9A" w:rsidRDefault="00281A5C" w:rsidP="00675F9A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Opis Przedmiotu Zamówienia</w:t>
      </w:r>
    </w:p>
    <w:p w:rsidR="00281A5C" w:rsidRPr="00281A5C" w:rsidRDefault="00281A5C" w:rsidP="00281A5C">
      <w:pPr>
        <w:spacing w:after="0"/>
        <w:jc w:val="center"/>
        <w:rPr>
          <w:sz w:val="24"/>
          <w:szCs w:val="24"/>
          <w:lang w:val="pl-PL"/>
        </w:rPr>
      </w:pPr>
    </w:p>
    <w:p w:rsidR="002B097A" w:rsidRDefault="00675F9A" w:rsidP="002B097A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Dostawa i wdrożenie 6 szt. serwerów o minimalnych parametrach każdy: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7752"/>
      </w:tblGrid>
      <w:tr w:rsidR="000B54C0" w:rsidRPr="00675F9A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0B54C0" w:rsidRDefault="000B54C0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0B54C0" w:rsidRDefault="000B54C0" w:rsidP="002B097A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Charakterystyka (wymagania minimalne)</w:t>
            </w:r>
          </w:p>
        </w:tc>
      </w:tr>
      <w:tr w:rsidR="000B54C0" w:rsidRPr="000B54C0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Obudowa </w:t>
            </w: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o wysokości max 1U z kompletem szyn wraz z </w:t>
            </w: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organizerem</w:t>
            </w:r>
            <w:proofErr w:type="spellEnd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do kabli umożliwiających montaż w szafie </w:t>
            </w: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.</w:t>
            </w:r>
          </w:p>
          <w:p w:rsidR="000B54C0" w:rsidRPr="002671EF" w:rsidRDefault="000B54C0" w:rsidP="00281A5C">
            <w:pPr>
              <w:spacing w:after="12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A0023D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Obudowa</w:t>
            </w: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z możliwością wyposażenia</w:t>
            </w:r>
            <w:r w:rsidRPr="00A0023D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w </w:t>
            </w:r>
            <w:r w:rsidRPr="00A0023D">
              <w:rPr>
                <w:color w:val="000000" w:themeColor="text1"/>
                <w:sz w:val="20"/>
                <w:szCs w:val="20"/>
                <w:lang w:val="pl-PL"/>
              </w:rPr>
              <w:t>kartę umożliwiającą dostęp bezpośredni poprzez urządzenia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 mobilne  - serwer musi posiadać</w:t>
            </w:r>
            <w:r w:rsidRPr="00A0023D">
              <w:rPr>
                <w:color w:val="000000" w:themeColor="text1"/>
                <w:sz w:val="20"/>
                <w:szCs w:val="20"/>
                <w:lang w:val="pl-PL"/>
              </w:rPr>
              <w:t xml:space="preserve"> możliwość konfiguracji oraz monitoringu najważniejszych komponentów serwera przy użyciu dedykowanej aplikacji mobilnej (Android/ Apple iOS) przy użyciu jednego z protokołów NFC/ BLE/ WIFI.</w:t>
            </w:r>
          </w:p>
        </w:tc>
      </w:tr>
      <w:tr w:rsidR="000B54C0" w:rsidRPr="000B54C0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Płyta główna z możliwością zainstalowania minimum jednego procesora. Płyta główna musi być zaprojektowana przez producenta serwera i oznaczona jego znakiem firmowym.</w:t>
            </w:r>
          </w:p>
        </w:tc>
      </w:tr>
      <w:tr w:rsidR="000B54C0" w:rsidRPr="000B54C0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Chipset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>Dedykowany przez producenta procesora do pracy w serwerach jednoprocesorowych.</w:t>
            </w:r>
          </w:p>
        </w:tc>
      </w:tr>
      <w:tr w:rsidR="000B54C0" w:rsidRPr="000B54C0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Zainstalowany jeden procesor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trzydziestodwu-rdzeniowy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 xml:space="preserve"> klasy x86 dedykowany do pracy z zaoferowanym serwerem umożli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wiający osiągnięcie wyniku min. 370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 xml:space="preserve"> punktów w teście </w:t>
            </w:r>
            <w:r>
              <w:rPr>
                <w:sz w:val="20"/>
                <w:szCs w:val="20"/>
                <w:lang w:val="pl-PL"/>
              </w:rPr>
              <w:t>SPECrate2017_int_base</w:t>
            </w:r>
            <w:r w:rsidRPr="00EB74EC">
              <w:rPr>
                <w:lang w:val="pl-PL"/>
              </w:rPr>
              <w:t xml:space="preserve"> 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dostępnym na stronie www.spec.org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</w:tr>
      <w:tr w:rsidR="000B54C0" w:rsidRPr="002E5BCC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RAM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Min. 768G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B DDR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 xml:space="preserve"> RDIMM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4800MT/s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, na płycie głównej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powinno znajdować się minimum 12 slotów przeznaczonych do instalacji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 xml:space="preserve"> pamięci. Płyta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główna powinna obsługiwać do 768G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B pamięci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RAM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</w:tr>
      <w:tr w:rsidR="000B54C0" w:rsidRPr="000B54C0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Gniazda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PCIe</w:t>
            </w:r>
            <w:proofErr w:type="spellEnd"/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1F6BCD" w:rsidRDefault="00613986" w:rsidP="00281A5C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</w:t>
            </w:r>
            <w:r w:rsidR="000B54C0"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inimum jeden slot </w:t>
            </w:r>
            <w:proofErr w:type="spellStart"/>
            <w:r w:rsidR="000B54C0"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PCIe</w:t>
            </w:r>
            <w:proofErr w:type="spellEnd"/>
            <w:r w:rsidR="000B54C0"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x16 generacji 4 oraz dwa </w:t>
            </w:r>
            <w:proofErr w:type="spellStart"/>
            <w:r w:rsidR="000B54C0"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sloty</w:t>
            </w:r>
            <w:proofErr w:type="spellEnd"/>
            <w:r w:rsidR="000B54C0"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0B54C0"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PCIe</w:t>
            </w:r>
            <w:proofErr w:type="spellEnd"/>
            <w:r w:rsidR="000B54C0"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x16 generacji 5.</w:t>
            </w:r>
          </w:p>
        </w:tc>
      </w:tr>
      <w:tr w:rsidR="000B54C0" w:rsidRPr="000B54C0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Interfejsy sieciowe/FC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Wbudowane minimum 2 porty typu Gigabit Ethernet Base-T oraz jedna karta dwuportowa 25GbE SFP28.</w:t>
            </w:r>
          </w:p>
          <w:p w:rsidR="000B54C0" w:rsidRDefault="000B54C0" w:rsidP="00281A5C">
            <w:pPr>
              <w:spacing w:after="12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Dodatkowo zainstalowana jedna karta dwuportowa FC 32Gb/s. </w:t>
            </w:r>
          </w:p>
        </w:tc>
      </w:tr>
      <w:tr w:rsidR="000B54C0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Napęd optyczny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 wymagany</w:t>
            </w:r>
          </w:p>
        </w:tc>
      </w:tr>
      <w:tr w:rsidR="000B54C0" w:rsidRPr="000B54C0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Dyski twarde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Zainstalowane dwa dyski M.2 SATA o pojemności min. 480GB, możliwość skonfigurowania RAID 1.</w:t>
            </w:r>
          </w:p>
        </w:tc>
      </w:tr>
      <w:tr w:rsidR="000B54C0" w:rsidRPr="000B54C0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Wbudowane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613986" w:rsidP="00281A5C">
            <w:pPr>
              <w:spacing w:after="12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</w:t>
            </w:r>
            <w:r w:rsidR="000B54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in. 2 porty USB 2.0 oraz 1 port USB 3.0, 2 porty RJ45, 1 port VGA na przednim panelu</w:t>
            </w:r>
          </w:p>
        </w:tc>
      </w:tr>
      <w:tr w:rsidR="000B54C0" w:rsidRPr="000B54C0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C0" w:rsidRDefault="000B54C0" w:rsidP="00281A5C">
            <w:pPr>
              <w:spacing w:after="12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Zintegrowana karta graficzna umożliwiająca wyświetlenie rozdzielczości min. 1600x900.</w:t>
            </w:r>
          </w:p>
        </w:tc>
      </w:tr>
      <w:tr w:rsidR="000B54C0" w:rsidTr="00281A5C">
        <w:trPr>
          <w:trHeight w:val="512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Wentylatory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</w:rPr>
              <w:t>Redundantne</w:t>
            </w:r>
            <w:proofErr w:type="spellEnd"/>
          </w:p>
        </w:tc>
      </w:tr>
      <w:tr w:rsidR="000B54C0" w:rsidRPr="000B54C0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Redunda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ntne, Hot-Plug maksymalnie 800W.</w:t>
            </w:r>
          </w:p>
        </w:tc>
      </w:tr>
      <w:tr w:rsidR="000B54C0" w:rsidRPr="00104344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>TPM 2.0 v3</w:t>
            </w:r>
          </w:p>
        </w:tc>
      </w:tr>
      <w:tr w:rsidR="000B54C0" w:rsidRPr="000B54C0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Karta Zarządzania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962FC4" w:rsidRDefault="000B54C0" w:rsidP="00281A5C">
            <w:p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962FC4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Niezależna od zainstalowanego na serwerze systemu operacyjnego posiadająca dedykowane port RJ-45 Gigabit Ethernet umożliwiająca:</w:t>
            </w:r>
          </w:p>
          <w:p w:rsidR="000B54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zdalny dostęp do graficznego interfejsu Web karty zarządzającej</w:t>
            </w:r>
          </w:p>
          <w:p w:rsidR="000B54C0" w:rsidRDefault="000B54C0" w:rsidP="00613986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zdalne monitorowanie i informowanie o statusie serwera (m.in. prędkości obrotowej wentylatorów, konfiguracji serwera)</w:t>
            </w:r>
          </w:p>
          <w:p w:rsidR="000B54C0" w:rsidRDefault="000B54C0" w:rsidP="00613986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szyfrowane połączenie (SSLv3) oraz autentykacje i autoryzację użytkownika</w:t>
            </w:r>
          </w:p>
          <w:p w:rsidR="000B54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lastRenderedPageBreak/>
              <w:t>możliwość podmontowania zdalnych wirtualnych napędów</w:t>
            </w:r>
          </w:p>
          <w:p w:rsidR="000B54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wirtualną konsolę z dostępem do myszy, klawiatury</w:t>
            </w:r>
          </w:p>
          <w:p w:rsidR="000B54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wsparcie dla IPv6</w:t>
            </w:r>
          </w:p>
          <w:p w:rsidR="000B54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wsparcie dla SNMP; IPMI2.0, VLAN </w:t>
            </w:r>
            <w:proofErr w:type="spellStart"/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tagging</w:t>
            </w:r>
            <w:proofErr w:type="spellEnd"/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, Telnet, SSH</w:t>
            </w:r>
          </w:p>
          <w:p w:rsidR="000B54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możliwość zdalnego monitorowania w czasie rzeczywistym poboru prądu przez serwer</w:t>
            </w:r>
          </w:p>
          <w:p w:rsidR="000B54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możliwość zdalnego ustawienia limitu poboru prądu przez konkretny serwer</w:t>
            </w:r>
          </w:p>
          <w:p w:rsidR="000B54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integracja z Active Directory</w:t>
            </w:r>
          </w:p>
          <w:p w:rsidR="000B54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możliwość obsługi przez dwóch administratorów jednocześnie</w:t>
            </w:r>
          </w:p>
          <w:p w:rsidR="000B54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wsparcie dla </w:t>
            </w:r>
            <w:proofErr w:type="spellStart"/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dynamic</w:t>
            </w:r>
            <w:proofErr w:type="spellEnd"/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DNS</w:t>
            </w:r>
          </w:p>
          <w:p w:rsidR="000B54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wysyłanie do administratora maila z powiadomieniem o awarii lub zmianie konfiguracji sprzętowej</w:t>
            </w:r>
          </w:p>
          <w:p w:rsidR="000B54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możliwość podłączenia lokalnego poprzez złącze RS-232</w:t>
            </w:r>
          </w:p>
          <w:p w:rsidR="000B54C0" w:rsidRPr="00E539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color w:val="000000" w:themeColor="text1"/>
                <w:sz w:val="20"/>
                <w:szCs w:val="20"/>
                <w:lang w:val="pl-PL"/>
              </w:rPr>
              <w:t>Producent systemu musi posiadać dedykowane rozwiązanie które będzie przeciwdziałało automatycznym skryptom konfiguracyjnym działającym w sieci. Jest niedopuszczalne aby konsole zarządzające serwerów miał</w:t>
            </w:r>
            <w:r w:rsidR="00E539C0">
              <w:rPr>
                <w:color w:val="000000" w:themeColor="text1"/>
                <w:sz w:val="20"/>
                <w:szCs w:val="20"/>
                <w:lang w:val="pl-PL"/>
              </w:rPr>
              <w:t>y identyczne dane dostępowe</w:t>
            </w:r>
          </w:p>
          <w:p w:rsidR="000B54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możliwość zarządzania bezpośredniego poprzez złącze USB</w:t>
            </w:r>
            <w:r w:rsidR="000E5501" w:rsidRPr="00E539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umieszczone na froncie obudowy</w:t>
            </w:r>
          </w:p>
          <w:p w:rsidR="000B54C0" w:rsidRPr="00E539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color w:val="000000" w:themeColor="text1"/>
                <w:sz w:val="20"/>
                <w:szCs w:val="20"/>
                <w:lang w:val="pl-PL"/>
              </w:rPr>
              <w:t xml:space="preserve">możliwość konfiguracji przepływu powietrza na każdym slocie </w:t>
            </w:r>
            <w:proofErr w:type="spellStart"/>
            <w:r w:rsidRPr="00E539C0">
              <w:rPr>
                <w:color w:val="000000" w:themeColor="text1"/>
                <w:sz w:val="20"/>
                <w:szCs w:val="20"/>
                <w:lang w:val="pl-PL"/>
              </w:rPr>
              <w:t>PCIe</w:t>
            </w:r>
            <w:proofErr w:type="spellEnd"/>
            <w:r w:rsidRPr="00E539C0">
              <w:rPr>
                <w:color w:val="000000" w:themeColor="text1"/>
                <w:sz w:val="20"/>
                <w:szCs w:val="20"/>
                <w:lang w:val="pl-PL"/>
              </w:rPr>
              <w:t>, jak również musi posiadać możliwość konfiguracji wyłączania lub włączania poszczególnych wentylatorów</w:t>
            </w:r>
          </w:p>
          <w:p w:rsidR="000B54C0" w:rsidRPr="00E539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color w:val="000000" w:themeColor="text1"/>
                <w:sz w:val="20"/>
                <w:szCs w:val="20"/>
                <w:lang w:val="pl-PL"/>
              </w:rPr>
              <w:t>możliwość monitorowania z jednej konsol</w:t>
            </w:r>
            <w:r w:rsidR="000E5501" w:rsidRPr="00E539C0">
              <w:rPr>
                <w:color w:val="000000" w:themeColor="text1"/>
                <w:sz w:val="20"/>
                <w:szCs w:val="20"/>
                <w:lang w:val="pl-PL"/>
              </w:rPr>
              <w:t>i min. 100 serwerami fizycznymi</w:t>
            </w:r>
          </w:p>
          <w:p w:rsidR="000B54C0" w:rsidRPr="00E539C0" w:rsidRDefault="000B54C0" w:rsidP="00281A5C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E539C0">
              <w:rPr>
                <w:color w:val="000000" w:themeColor="text1"/>
                <w:sz w:val="20"/>
                <w:szCs w:val="20"/>
                <w:lang w:val="pl-PL"/>
              </w:rPr>
              <w:t>możliwość zablokowania konfiguracji oraz odnowienia oprogramowania karty zarządzającej poprzez jednego z administratorów. Podczas trwania blokady musi być ona wyświetlana dla wszystkich administratorów którzy obecnie korzystają z karty.</w:t>
            </w:r>
          </w:p>
        </w:tc>
      </w:tr>
      <w:tr w:rsidR="000B54C0" w:rsidRPr="000B54C0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Default="000B54C0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lastRenderedPageBreak/>
              <w:t>Oprogramowanie do zarządzania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B31683" w:rsidRDefault="000B54C0" w:rsidP="00281A5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za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instalowania opr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o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gr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a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mowania producenta do zarządz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a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nia, spełniające poniższe wymagania: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 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Wsparcie dla serwerów, urządzeń sieciowych oraz pamięci masowych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proofErr w:type="spellStart"/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integracja</w:t>
            </w:r>
            <w:proofErr w:type="spellEnd"/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z Active Directory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zarządzania dostarczonymi serwerami bez udziału dedykowanego agenta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Wsparcie dla protokołów SNMP, IPMI, Linux SSH, </w:t>
            </w:r>
            <w:proofErr w:type="spellStart"/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Redfish</w:t>
            </w:r>
            <w:proofErr w:type="spellEnd"/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uruchamiania procesu wykrywania urządzeń w oparciu o harmonogram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Szczegółowy opis wykrytych systemów oraz ich komponentów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eksportu raportu do CSV, HTML, XLS, PDF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Możliwość tworzenia własnych raportów w </w:t>
            </w:r>
            <w:r w:rsidR="002F48FF"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oparciu</w:t>
            </w: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 o wszystkie i</w:t>
            </w:r>
            <w:r w:rsid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nformacje zawarte w inwentarzu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Grupowanie urządzeń w oparciu o kryteria użytkownika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PCIe</w:t>
            </w:r>
            <w:proofErr w:type="spellEnd"/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, pozostałego czasu gwarancji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uruchamiania narzędzi zarządzających w poszczególnych urządzeniach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Szybki podgląd stanu środowiska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Podsumowanie stanu dla każdego urządzenia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Szczegółowy status urządzenia/elementu/komponentu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Generowanie alertów</w:t>
            </w:r>
            <w:r w:rsid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 przy zmianie stanu urządzenia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Filtry raportów umożliwiające podgląd najważniejszych zdarzeń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Integracja z service </w:t>
            </w:r>
            <w:proofErr w:type="spellStart"/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desk</w:t>
            </w:r>
            <w:proofErr w:type="spellEnd"/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 producenta dostarczonej platformy sprzętowej 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Możliwość przejęcia zdalnego pulpitu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Możliwość podmontowania wirtualnego napędu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Kreator umożliwiający dostosowanie akcji dla wybranych alertów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Możliwość importu plików MIB 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Przesyłanie alertów „as-</w:t>
            </w:r>
            <w:proofErr w:type="spellStart"/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is</w:t>
            </w:r>
            <w:proofErr w:type="spellEnd"/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” do innych konsol firm trzecich </w:t>
            </w:r>
          </w:p>
          <w:p w:rsidR="000B54C0" w:rsidRPr="00E539C0" w:rsidRDefault="000B54C0" w:rsidP="00281A5C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Możliwość definiowania ról administratorów </w:t>
            </w:r>
          </w:p>
          <w:p w:rsidR="000B54C0" w:rsidRPr="00E539C0" w:rsidRDefault="000B54C0" w:rsidP="00E539C0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lastRenderedPageBreak/>
              <w:t>Możliwość zdalnej aktualizacji oprogramowania wewnętrznego serwerów </w:t>
            </w:r>
          </w:p>
          <w:p w:rsidR="000B54C0" w:rsidRPr="00E539C0" w:rsidRDefault="000B54C0" w:rsidP="00E539C0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Aktualizacja oparta o wybranie źródła bibliotek (lokalna, on-line producenta oferowanego rozwiązania) </w:t>
            </w:r>
          </w:p>
          <w:p w:rsidR="000B54C0" w:rsidRPr="00E539C0" w:rsidRDefault="000B54C0" w:rsidP="00E539C0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instalacji oprogramowania wewnętrznego bez potrzeby instalacji agenta </w:t>
            </w:r>
          </w:p>
          <w:p w:rsidR="000B54C0" w:rsidRPr="00E539C0" w:rsidRDefault="000B54C0" w:rsidP="00E539C0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automatycznego generowania i zgłaszania incydentów awarii bezpośrednio do centrum serwisowego producenta serwerów </w:t>
            </w:r>
          </w:p>
          <w:p w:rsidR="000B54C0" w:rsidRDefault="000B54C0" w:rsidP="00E539C0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</w:t>
            </w:r>
            <w:r w:rsidR="002F48FF"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alertów</w:t>
            </w:r>
            <w:r w:rsidRPr="00E539C0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, MAC adresów kart sieciowych, stanie poszczególnych komponentów serwera</w:t>
            </w:r>
          </w:p>
          <w:p w:rsidR="000B54C0" w:rsidRDefault="000B54C0" w:rsidP="00E539C0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Możliwość tworzenia sprzętowej konfiguracji bazowej i na jej </w:t>
            </w:r>
            <w:r w:rsidR="002F48FF" w:rsidRP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>podstawie</w:t>
            </w:r>
            <w:r w:rsidRP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weryfikacji środowiska w celu wykrycia rozbieżno</w:t>
            </w:r>
            <w:r w:rsid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>ści</w:t>
            </w:r>
          </w:p>
          <w:p w:rsidR="000B54C0" w:rsidRDefault="000B54C0" w:rsidP="00E539C0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Wdrażanie serwerów, rozwiązań modularnych oraz przełączników sieciowych w </w:t>
            </w:r>
            <w:r w:rsidR="002F48FF" w:rsidRP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>oparciu</w:t>
            </w:r>
            <w:r w:rsidRP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o profile </w:t>
            </w:r>
          </w:p>
          <w:p w:rsidR="000B54C0" w:rsidRDefault="000B54C0" w:rsidP="00E539C0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>Możliwość migracji ustawień serwera wraz z wirtualnymi adresami sieciowymi (MAC,</w:t>
            </w:r>
            <w:r w:rsid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WWN, IQN) między urządzeniami</w:t>
            </w:r>
          </w:p>
          <w:p w:rsidR="000B54C0" w:rsidRDefault="000B54C0" w:rsidP="00E539C0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>Tworzenie gotowych paczek informacji umożliwiających zdiagnozowanie awarii urzą</w:t>
            </w:r>
            <w:r w:rsid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>dzenia przez serwis producenta</w:t>
            </w:r>
          </w:p>
          <w:p w:rsidR="000B54C0" w:rsidRPr="00E539C0" w:rsidRDefault="000B54C0" w:rsidP="00E539C0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sz w:val="20"/>
                <w:szCs w:val="20"/>
                <w:lang w:eastAsia="en-US"/>
              </w:rPr>
              <w:t>Zdalne ur</w:t>
            </w:r>
            <w:r w:rsidR="00E539C0">
              <w:rPr>
                <w:rFonts w:eastAsia="Times New Roman" w:cstheme="minorHAnsi"/>
                <w:sz w:val="20"/>
                <w:szCs w:val="20"/>
                <w:lang w:eastAsia="en-US"/>
              </w:rPr>
              <w:t>uchamianie diagnostyki serwera</w:t>
            </w:r>
          </w:p>
          <w:p w:rsidR="000B54C0" w:rsidRDefault="000B54C0" w:rsidP="00E539C0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Dedykowana aplikacja na urządzenia mobilne integrująca się z wyżej opisanymi oprogramowaniem </w:t>
            </w:r>
            <w:r w:rsidR="00CA6CEE" w:rsidRP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>zarządzającym</w:t>
            </w:r>
          </w:p>
          <w:p w:rsidR="000B54C0" w:rsidRPr="00E539C0" w:rsidRDefault="000B54C0" w:rsidP="00E539C0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Oprogramowanie dostarczane jako wirtualny </w:t>
            </w:r>
            <w:proofErr w:type="spellStart"/>
            <w:r w:rsidRP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>app</w:t>
            </w:r>
            <w:r w:rsid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>liance</w:t>
            </w:r>
            <w:proofErr w:type="spellEnd"/>
            <w:r w:rsid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dla KVM, </w:t>
            </w:r>
            <w:proofErr w:type="spellStart"/>
            <w:r w:rsid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>ESXi</w:t>
            </w:r>
            <w:proofErr w:type="spellEnd"/>
            <w:r w:rsidR="00E539C0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i Hyper-V.</w:t>
            </w:r>
          </w:p>
        </w:tc>
      </w:tr>
      <w:tr w:rsidR="00613986" w:rsidRPr="000B54C0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6" w:rsidRDefault="00613986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lastRenderedPageBreak/>
              <w:t>System Operacyjny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Zakres Przedmiotu Zamówienia obejmuje dostarczenie Oprogramowania Systemowego zwanego dalej SSO. </w:t>
            </w:r>
          </w:p>
          <w:p w:rsidR="00613986" w:rsidRPr="00BF3444" w:rsidRDefault="009216EB" w:rsidP="006139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pl-PL"/>
              </w:rPr>
              <w:t>Bezterminowa l</w:t>
            </w:r>
            <w:r w:rsidR="00613986"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icencja musi uprawniać do uruchamiania SSO w środowisku fizycznym i nielimitowanych ilości wirtualnych środowisk SSO za pomocą wbudowanych mechanizmów wirtualizacji.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SSO musi posiadać następujące, wbudowane cechy: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a) możliwość wykorzystania, co najmniej 320 logicznych procesorów oraz co najmniej 4 TB pamięci RAM w środowisku fizycznym,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b) możliwość wykorzystywania 64 procesorów wirtualnych oraz 1TB pamięci RAM i dysku o pojemności min. 64TB przez każdy wirtualny serwerowy system operacyjny,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c) możliwość budowania klastrów składających się z 64 węzłów, z możliwością uruchamiania do 8000 maszyn wirtualnych,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d) możliwość migracji maszyn wirtualnych bez zatrzymywania ich pracy między fizycznymi serwerami z uruchomionym mechanizmem wirtualizacji (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hypervisor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 przez sieć Ethernet, bez konieczności stosowania dodatkowych mechanizmów współdzielenia pamięci,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e) wsparcie (na umożliwiającym to sprzęcie) dodawania i wymiany pamięci RAM bez przerywania pracy,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f) wsparcie (na umożliwiającym to sprzęcie) dodawania i wymiany procesorów bez przerywania pracy, </w:t>
            </w:r>
          </w:p>
          <w:p w:rsidR="00613986" w:rsidRPr="00BF3444" w:rsidRDefault="00613986" w:rsidP="00613986">
            <w:pPr>
              <w:pStyle w:val="Default"/>
              <w:spacing w:line="256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3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g) automatyczna weryfikacja cyfrowych sygnatur sterowników w celu sprawdzenia, czy sterownik przeszedł testy jakości przeprowadzone przez producenta systemu operacyjnego, możliwość dynamicznego obniżania poboru energii przez rdzenie procesorów niewykorzystywane w bieżącej pracy (mechanizm ten musi uwzględniać specyfikę procesorów wyposażonych w mechanizmy </w:t>
            </w:r>
            <w:proofErr w:type="spellStart"/>
            <w:r w:rsidRPr="00BF3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Hyper-Threading</w:t>
            </w:r>
            <w:proofErr w:type="spellEnd"/>
            <w:r w:rsidRPr="00BF3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),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i) wbudowane wsparcie instalacji i pracy na wolumenach, które: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I. pozwalają na zmianę rozmiaru w czasie pracy systemu,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311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II. umożliwiają tworzenie w czasie pracy systemu migawek, dających użytkownikom końcowym (lokalnym i sieciowym) prosty wgląd w poprzednie wersje plików i folderów,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III. umożliwiają kompresję "w locie" dla wybranych plików i/lub folderów,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lastRenderedPageBreak/>
              <w:t xml:space="preserve">IV. umożliwiają zdefiniowanie list kontroli dostępu (ACL),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j) wbudowany mechanizm klasyfikowania i indeksowania plików (dokumentów) w oparciu o ich zawartość,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k) wbudowane szyfrowanie dysków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l) możliwość uruchamiania aplikacji internetowych wykorzystujących technologię ASP.NET,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m) możliwość dystrybucji ruchu sieciowego HTTP pomiędzy kilka serwerów,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n) wbudowana zapora internetowa (firewall) z obsługą definiowanych reguł dla ochrony połączeń internetowych i intranetowych,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o) graficzny interfejs użytkownika,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p) zlokalizowane w języku polskim, co najmniej następujące elementy: menu, przeglądarka internetowa, pomoc, komunikaty systemowe,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r) wsparcie dla większości powszechnie używanych urządzeń peryferyjnych (drukarek, urządzeń sieciowych, standardów USB, 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Plug&amp;Play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s) możliwość zdalnej konfiguracji, administrowania oraz aktualizowania systemu,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t) dostępność bezpłatnych narzędzi producenta systemu umożliwiających badanie i wdrażanie zdefiniowanego zestawu polityk bezpieczeństwa,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u) możliwość implementacji następujących funkcjonalności bez potrzeby instalowania dodatkowych produktów (oprogramowania) innych producentów wymagających dodatkowych licencji: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I. podstawowe usługi sieciowe: DHCP oraz DNS wspierający DNSSEC,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311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II.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453" w:hanging="14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1) podłączenie SSO do domeny w trybie offline – bez dostępnego połączenia sieciowego z domeną,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453" w:hanging="14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2) ustanawianie praw dostępu do zasobów domeny na bazie sposobu logowania użytkownika – na przykład typu certyfikatu użytego do logowania,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453" w:hanging="14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3) odzyskiwanie przypadkowo skasowanych obiektów usługi katalogowej z mechanizmu kosza,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III. zdalna dystrybucja oprogramowania na stacje robocze,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311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IV. praca zdalna na serwerze z wykorzystaniem terminala (cienkiego klienta) lub odpowiednio skonfigurowanej stacji roboczej,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V. centrum Certyfikatów (CA), obsługa klucza publicznego i prywatnego) umożliwiające: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firstLine="31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1) dystrybucję certyfikatów poprzez http,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firstLine="31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2) konsolidację CA dla wielu lasów domeny,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firstLine="31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3) automatyczne rejestrowania certyfikatów pomiędzy różnymi lasami domen,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VI. szyfrowanie plików i folderów,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453" w:hanging="14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VII. szyfrowanie połączeń sieciowych pomiędzy serwerami oraz serwerami i stacjami roboczymi (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IPSec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453" w:hanging="14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VIII.</w:t>
            </w:r>
            <w:r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możliwość tworzenia systemów wysokiej dostępności (klastry typu 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fail-over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 oraz rozłożenia obciążenia serwerów,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453" w:hanging="14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IX. serwis udostępniania stron WWW,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453" w:hanging="14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X. wsparcie dla protokołu IP w wersji 6 (IPv6),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453" w:hanging="14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XI. wbudowane mechanizmy wirtualizacji (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Hypervisor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 pozwalające na uruchamianie min.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failover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z jednoczesnym zachowaniem pozostałej funkcjonalności. Mechanizmy wirtualizacji mają zapewnić wsparcie dla: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firstLine="31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1) dynamicznego podłączania zasobów dyskowych typu hot-plug do maszyn wirtualnych,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firstLine="31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2) obsługi ramek typu jumbo 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frames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dla maszyn wirtualnych, </w:t>
            </w:r>
          </w:p>
          <w:p w:rsidR="00613986" w:rsidRPr="00BF3444" w:rsidRDefault="00613986" w:rsidP="00613986">
            <w:pPr>
              <w:spacing w:after="0"/>
              <w:ind w:firstLine="31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3) obsługi 4-KB sektorów dysków,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453" w:hanging="14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lastRenderedPageBreak/>
              <w:t xml:space="preserve">4) nielimitowanej liczby jednocześnie przenoszonych maszyn wirtualnych pomiędzy węzłami klastra,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453" w:hanging="14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5) możliwości wirtualizacji sieci z zastosowaniem przełącznika, którego funkcjonalność może być rozszerzana jednocześnie poprzez oprogramowanie kilku innych dostawców poprzez otwarty interfejs API,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453" w:hanging="14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6) możliwości kierowania ruchu sieciowego z wielu sieci VLAN bezpośrednio do pojedynczej karty sieciowej maszyny wirtualnej (tzw. 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trunk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model), </w:t>
            </w:r>
          </w:p>
          <w:p w:rsidR="00613986" w:rsidRPr="00BF3444" w:rsidRDefault="00613986" w:rsidP="006139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v) możliwość automatycznej aktualizacji w oparciu o poprawki publikowane przez producenta wraz z dostępnością bezpłatnego rozwiązania producenta SSO umożliwiającego lokalną dystrybucję poprawek zatwierdzonych przez administratora, bez połączenia z siecią Internet, </w:t>
            </w:r>
          </w:p>
          <w:p w:rsidR="00613986" w:rsidRPr="00BF3444" w:rsidRDefault="00613986" w:rsidP="009216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w) wsparcie dostępu do zasobu dyskowego SSO poprzez wiele ścieżek (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Multipath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), </w:t>
            </w:r>
          </w:p>
          <w:p w:rsidR="00613986" w:rsidRPr="00BF3444" w:rsidRDefault="00613986" w:rsidP="009216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x) możliwość instalacji poprawek poprzez wgranie ich do obrazu instalacyjnego, </w:t>
            </w:r>
          </w:p>
          <w:p w:rsidR="00613986" w:rsidRPr="00BF3444" w:rsidRDefault="00613986" w:rsidP="009216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y) mechanizmy zdalnej administracji oraz mechanizmy (również działające zdalnie) administracji przez skrypty, </w:t>
            </w:r>
          </w:p>
          <w:p w:rsidR="00613986" w:rsidRDefault="00613986" w:rsidP="009216EB">
            <w:pPr>
              <w:spacing w:after="0" w:line="240" w:lineRule="auto"/>
              <w:ind w:left="170" w:hanging="17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z) możliwość zarządzania przez wbudowane mechanizmy zgodne ze standardami WBEM oraz WS-Management organizacji DMTF. </w:t>
            </w:r>
          </w:p>
          <w:p w:rsidR="00613986" w:rsidRPr="00B31683" w:rsidRDefault="00613986" w:rsidP="009216E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</w:pPr>
            <w:r w:rsidRPr="0025620A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W ramach dostawy SSO mają zostać dostarczone także licencje dostępowe </w:t>
            </w:r>
            <w:r w:rsidR="0040382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(CAL) </w:t>
            </w:r>
            <w:bookmarkStart w:id="0" w:name="_GoBack"/>
            <w:bookmarkEnd w:id="0"/>
            <w:r w:rsidRPr="0025620A">
              <w:rPr>
                <w:rFonts w:cstheme="minorHAnsi"/>
                <w:color w:val="000000"/>
                <w:sz w:val="20"/>
                <w:szCs w:val="20"/>
                <w:lang w:val="pl-PL"/>
              </w:rPr>
              <w:t>do serwer</w:t>
            </w:r>
            <w:r w:rsidR="00403824">
              <w:rPr>
                <w:rFonts w:cstheme="minorHAnsi"/>
                <w:color w:val="000000"/>
                <w:sz w:val="20"/>
                <w:szCs w:val="20"/>
                <w:lang w:val="pl-PL"/>
              </w:rPr>
              <w:t>ów</w:t>
            </w:r>
            <w:r w:rsidRPr="0025620A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dla </w:t>
            </w:r>
            <w:r w:rsidR="009216EB">
              <w:rPr>
                <w:rFonts w:cstheme="minorHAnsi"/>
                <w:color w:val="000000"/>
                <w:sz w:val="20"/>
                <w:szCs w:val="20"/>
                <w:lang w:val="pl-PL"/>
              </w:rPr>
              <w:t>400 urządzeń</w:t>
            </w:r>
            <w:r w:rsidR="0040382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łącznie</w:t>
            </w:r>
            <w:r w:rsidR="00013770">
              <w:rPr>
                <w:rFonts w:cstheme="minorHAnsi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0B54C0" w:rsidRPr="00B978EC" w:rsidTr="00281A5C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lastRenderedPageBreak/>
              <w:t>Certyfikaty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B4428A" w:rsidRDefault="00892BB6" w:rsidP="00281A5C">
            <w:pPr>
              <w:spacing w:after="12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Urządzenie musi być wyprodukowane zgodnie z normą </w:t>
            </w:r>
            <w:r w:rsidR="000B54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ISO-9001:2015 oraz ISO-14001. </w:t>
            </w:r>
            <w:r w:rsidR="000B54C0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br/>
              <w:t>Serwer musi posiadać deklaracja CE.</w:t>
            </w:r>
          </w:p>
        </w:tc>
      </w:tr>
      <w:tr w:rsidR="000B54C0" w:rsidRPr="000B54C0" w:rsidTr="00281A5C">
        <w:trPr>
          <w:trHeight w:val="62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613986" w:rsidRDefault="000B54C0" w:rsidP="002B097A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13986">
              <w:rPr>
                <w:rFonts w:eastAsia="Times New Roman" w:cstheme="minorHAnsi"/>
                <w:b/>
                <w:bCs/>
                <w:sz w:val="20"/>
                <w:szCs w:val="20"/>
              </w:rPr>
              <w:t>Normy Środowiskowe</w:t>
            </w:r>
            <w:r w:rsidRPr="0061398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7C0015" w:rsidRDefault="000B54C0" w:rsidP="00281A5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4"/>
                <w:lang w:val="pl-PL"/>
              </w:rPr>
            </w:pP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 www.epeat.net potwierdzający spełnienie normy co najmniej </w:t>
            </w:r>
            <w:proofErr w:type="spellStart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Epeat</w:t>
            </w:r>
            <w:proofErr w:type="spellEnd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Bronze</w:t>
            </w:r>
            <w:proofErr w:type="spellEnd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według normy wprowadzonej w 2019 roku </w:t>
            </w:r>
            <w:r w:rsidRPr="007C001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pl-PL"/>
              </w:rPr>
              <w:t>- </w:t>
            </w:r>
            <w:r w:rsidRPr="007C001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Wykonawca złoży dokument potwierdzający spełnianie </w:t>
            </w:r>
            <w:r w:rsidRPr="007C00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wymogu</w:t>
            </w:r>
            <w:r w:rsidRPr="007C001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.</w:t>
            </w: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 </w:t>
            </w:r>
          </w:p>
          <w:p w:rsidR="000B54C0" w:rsidRPr="007C0015" w:rsidRDefault="000B54C0" w:rsidP="00281A5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4"/>
                <w:lang w:val="pl-PL"/>
              </w:rPr>
            </w:pP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 </w:t>
            </w:r>
          </w:p>
          <w:p w:rsidR="000B54C0" w:rsidRPr="007C0015" w:rsidRDefault="000B54C0" w:rsidP="00281A5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RoHS</w:t>
            </w:r>
            <w:proofErr w:type="spellEnd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Unii Europejskiej o eliminacji substancji niebezpiecznych </w:t>
            </w:r>
            <w:r w:rsidRPr="007C00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w postaci oświadczenia producenta serwera </w:t>
            </w: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(wg wytycznych Krajowej Agencji Poszanowania Energii S.A., zawartych w dokumencie „Opracowanie propozycji kryteriów środowiskowych dla produktów zużywających energię możliwych do wykorzystania przy formułowaniu specyfikacji na potrzeby zamówień publicznych”, pkt 3.4.2.1; dokument z grudnia 2006 r.), w szczególności zgodności z normą ISO 1043-4 dla płyty głównej oraz </w:t>
            </w:r>
            <w:r w:rsidR="00AA6EE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elementów wykonanych z tworzyw </w:t>
            </w: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sztucznych o masie powyżej 25 gr </w:t>
            </w:r>
            <w:r w:rsidRPr="007C001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pl-PL"/>
              </w:rPr>
              <w:t>- </w:t>
            </w:r>
            <w:r w:rsidRPr="007C001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Wykonawca złoży dokument potwierdzający spełnianie </w:t>
            </w:r>
            <w:r w:rsidRPr="007C00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wymogu</w:t>
            </w:r>
            <w:r w:rsidR="000137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0B54C0" w:rsidRPr="000B54C0" w:rsidTr="00281A5C">
        <w:trPr>
          <w:trHeight w:val="62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613986" w:rsidRDefault="004C1A6B" w:rsidP="00281A5C">
            <w:pPr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Minimum p</w:t>
            </w:r>
            <w:r w:rsidR="000B54C0" w:rsidRPr="0061398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ięć lat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(60 miesięcy) </w:t>
            </w:r>
            <w:r w:rsidR="000B54C0" w:rsidRPr="0061398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gwarancji realizowanej w miejscu instalacji sprzętu, z czasem reakcji do następnego dnia roboczego od przyjęcia zgłoszenia, możliwość zgłaszania awarii w trybie 365x7x24 </w:t>
            </w:r>
            <w:r w:rsidR="000B54C0" w:rsidRPr="00613986">
              <w:rPr>
                <w:color w:val="000000" w:themeColor="text1"/>
                <w:sz w:val="20"/>
                <w:szCs w:val="20"/>
                <w:lang w:val="pl-PL"/>
              </w:rPr>
              <w:t>poprzez ogólnopolską linię telefoniczną producenta.</w:t>
            </w:r>
          </w:p>
          <w:p w:rsidR="000B54C0" w:rsidRPr="00613986" w:rsidRDefault="000B54C0" w:rsidP="006252FB">
            <w:pPr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00613986">
              <w:rPr>
                <w:sz w:val="20"/>
                <w:szCs w:val="20"/>
                <w:lang w:val="pl-PL"/>
              </w:rPr>
              <w:t>Firma serwisująca musi posiadać ISO 9001:2015 na świadczenie usług serwisowych oraz posiadać autoryzacje producenta urządzeń – dokumenty potwierdzające należy załączyć do oferty.</w:t>
            </w:r>
          </w:p>
          <w:p w:rsidR="000B54C0" w:rsidRPr="00613986" w:rsidRDefault="000B54C0" w:rsidP="006252FB">
            <w:pPr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00613986">
              <w:rPr>
                <w:sz w:val="20"/>
                <w:szCs w:val="20"/>
                <w:lang w:val="pl-PL"/>
              </w:rPr>
              <w:lastRenderedPageBreak/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</w:tr>
      <w:tr w:rsidR="000B54C0" w:rsidRPr="000B54C0" w:rsidTr="00281A5C">
        <w:trPr>
          <w:trHeight w:val="23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lastRenderedPageBreak/>
              <w:t>Dokumentacja użytkownika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Zamawiający wymaga dokumentacji w języku polskim lub angielskim.</w:t>
            </w:r>
          </w:p>
          <w:p w:rsidR="000B54C0" w:rsidRDefault="000B54C0" w:rsidP="00281A5C">
            <w:pPr>
              <w:spacing w:after="12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:rsidR="002B097A" w:rsidRDefault="002B097A" w:rsidP="002B097A">
      <w:pPr>
        <w:rPr>
          <w:lang w:val="pl-PL"/>
        </w:rPr>
      </w:pPr>
    </w:p>
    <w:p w:rsidR="002B097A" w:rsidRPr="002B097A" w:rsidRDefault="002B097A" w:rsidP="002B097A">
      <w:pPr>
        <w:rPr>
          <w:lang w:val="pl-PL"/>
        </w:rPr>
      </w:pPr>
    </w:p>
    <w:p w:rsidR="00345A2D" w:rsidRPr="004A5FC5" w:rsidRDefault="00675F9A" w:rsidP="00675F9A">
      <w:pPr>
        <w:pStyle w:val="Akapitzlist"/>
        <w:numPr>
          <w:ilvl w:val="0"/>
          <w:numId w:val="5"/>
        </w:numPr>
        <w:rPr>
          <w:lang w:val="pl-PL"/>
        </w:rPr>
      </w:pPr>
      <w:r w:rsidRPr="004A5FC5">
        <w:rPr>
          <w:lang w:val="pl-PL"/>
        </w:rPr>
        <w:t>Dostawa i wdrożenie 4 s</w:t>
      </w:r>
      <w:r w:rsidR="00B70694">
        <w:rPr>
          <w:lang w:val="pl-PL"/>
        </w:rPr>
        <w:t>z</w:t>
      </w:r>
      <w:r w:rsidRPr="004A5FC5">
        <w:rPr>
          <w:lang w:val="pl-PL"/>
        </w:rPr>
        <w:t xml:space="preserve">t. </w:t>
      </w:r>
      <w:r w:rsidR="00613986">
        <w:rPr>
          <w:lang w:val="pl-PL"/>
        </w:rPr>
        <w:t xml:space="preserve">przełączników FC </w:t>
      </w:r>
      <w:r w:rsidRPr="004A5FC5">
        <w:rPr>
          <w:lang w:val="pl-PL"/>
        </w:rPr>
        <w:t>speł</w:t>
      </w:r>
      <w:r w:rsidR="00613986">
        <w:rPr>
          <w:lang w:val="pl-PL"/>
        </w:rPr>
        <w:t>niających następujące parametry</w:t>
      </w:r>
      <w:r w:rsidRPr="004A5FC5">
        <w:rPr>
          <w:lang w:val="pl-PL"/>
        </w:rPr>
        <w:t>:</w:t>
      </w:r>
    </w:p>
    <w:p w:rsidR="00675F9A" w:rsidRPr="00675F9A" w:rsidRDefault="00675F9A" w:rsidP="00281A5C">
      <w:pPr>
        <w:pStyle w:val="Akapitzlist"/>
        <w:spacing w:after="0"/>
        <w:contextualSpacing w:val="0"/>
        <w:rPr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rPr>
                <w:rFonts w:cstheme="minorHAnsi"/>
                <w:lang w:val="pl-PL"/>
              </w:rPr>
            </w:pPr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Przełącznik FC musi być wykonany w technologii FC 32 </w:t>
            </w:r>
            <w:proofErr w:type="spellStart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Gb</w:t>
            </w:r>
            <w:proofErr w:type="spellEnd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/s i posiadać możliwość pracy portów FC z prędkościami 16, 8 </w:t>
            </w:r>
            <w:proofErr w:type="spellStart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Gb</w:t>
            </w:r>
            <w:proofErr w:type="spellEnd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/s z funkcją </w:t>
            </w:r>
            <w:proofErr w:type="spellStart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autonegocjacji</w:t>
            </w:r>
            <w:proofErr w:type="spellEnd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 prędkości.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Przełącznik FC musi posiadać minimum </w:t>
            </w:r>
            <w:r w:rsidR="006B451C"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48</w:t>
            </w:r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sloty</w:t>
            </w:r>
            <w:proofErr w:type="spellEnd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 na moduły FC</w:t>
            </w:r>
            <w:r w:rsidR="001F19B8"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 oraz </w:t>
            </w:r>
            <w:r w:rsidR="001F19B8" w:rsidRPr="00281A5C">
              <w:rPr>
                <w:rFonts w:cstheme="minorHAnsi"/>
                <w:sz w:val="20"/>
                <w:szCs w:val="20"/>
                <w:lang w:val="pl-PL"/>
              </w:rPr>
              <w:t xml:space="preserve">4 QSFP </w:t>
            </w:r>
            <w:proofErr w:type="spellStart"/>
            <w:r w:rsidR="001F19B8" w:rsidRPr="00281A5C">
              <w:rPr>
                <w:rFonts w:cstheme="minorHAnsi"/>
                <w:sz w:val="20"/>
                <w:szCs w:val="20"/>
                <w:lang w:val="pl-PL"/>
              </w:rPr>
              <w:t>ports</w:t>
            </w:r>
            <w:proofErr w:type="spellEnd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. Wszystkie wymagane funkcje muszą być dostępne dla minimum </w:t>
            </w:r>
            <w:r w:rsidR="006B451C"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24</w:t>
            </w:r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 portów FC przełącznika.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Przełącznik musi być dostarczony wraz z minimum </w:t>
            </w:r>
            <w:r w:rsidR="006B451C"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24</w:t>
            </w:r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 modułami SFP FC </w:t>
            </w:r>
            <w:r w:rsidR="005F4F55"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32</w:t>
            </w:r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Gb</w:t>
            </w:r>
            <w:proofErr w:type="spellEnd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/s.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Rodzaj obsługiwanych portów:  D, E,F,EX, AE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Przełącznik FC musi mieć wysokość maksymalnie 1 RU (jednostka wysokości szafy montażowej) i szerokość 19” oraz zapewniać techniczną możliwość montażu w szafie 19”.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Przełącznik FC musi być wykonany w tzw. architekturze „non-</w:t>
            </w:r>
            <w:proofErr w:type="spellStart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blocking</w:t>
            </w:r>
            <w:proofErr w:type="spellEnd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” uniemożliwiającej blokowanie się ruchu wewnątrz przełącznika przy pełnej prędkości pracy wszystkich portów.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napToGrid w:val="0"/>
                <w:sz w:val="20"/>
                <w:szCs w:val="20"/>
                <w:lang w:val="pl-PL"/>
              </w:rPr>
              <w:t xml:space="preserve">Przełącznik musi posiadać mechanizm balansowania ruchu między grupami połączeń tzw. </w:t>
            </w:r>
            <w:r w:rsidRPr="00281A5C">
              <w:rPr>
                <w:rFonts w:cstheme="minorHAnsi"/>
                <w:snapToGrid w:val="0"/>
                <w:sz w:val="20"/>
                <w:szCs w:val="20"/>
              </w:rPr>
              <w:t>„trunk” oraz obsługiwać grupy połączeń „trunk” o różnych długościach.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rPr>
                <w:rFonts w:cstheme="minorHAnsi"/>
                <w:snapToGrid w:val="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Przełącznik FC musi udostępniać usługę </w:t>
            </w:r>
            <w:proofErr w:type="spellStart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Name</w:t>
            </w:r>
            <w:proofErr w:type="spellEnd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 Server </w:t>
            </w:r>
            <w:proofErr w:type="spellStart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Zoning</w:t>
            </w:r>
            <w:proofErr w:type="spellEnd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 - tworzenia stref (zon) w oparciu bazę danych nazw serwerów</w:t>
            </w:r>
            <w:r w:rsidR="00692876"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, ISL </w:t>
            </w:r>
            <w:proofErr w:type="spellStart"/>
            <w:r w:rsidR="00692876"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Trunking</w:t>
            </w:r>
            <w:proofErr w:type="spellEnd"/>
            <w:r w:rsidR="00692876"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="00D57E9A" w:rsidRPr="00281A5C">
              <w:rPr>
                <w:rFonts w:cstheme="minorHAnsi"/>
                <w:sz w:val="20"/>
                <w:szCs w:val="20"/>
                <w:lang w:val="pl-PL"/>
              </w:rPr>
              <w:t xml:space="preserve">Extended </w:t>
            </w:r>
            <w:proofErr w:type="spellStart"/>
            <w:r w:rsidR="00D57E9A" w:rsidRPr="00281A5C">
              <w:rPr>
                <w:rFonts w:cstheme="minorHAnsi"/>
                <w:sz w:val="20"/>
                <w:szCs w:val="20"/>
                <w:lang w:val="pl-PL"/>
              </w:rPr>
              <w:t>Fabric</w:t>
            </w:r>
            <w:proofErr w:type="spellEnd"/>
            <w:r w:rsidR="00D57E9A" w:rsidRPr="00281A5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Przełącznik FC musi  posiadać możliwość wymiany i aktywacji wersji </w:t>
            </w:r>
            <w:proofErr w:type="spellStart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firmware’u</w:t>
            </w:r>
            <w:proofErr w:type="spellEnd"/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 xml:space="preserve"> (zarówno na wersję wyższą jak i na niższą) w czasie pracy urządzenia, bez wymogu ponownego uruchomienia urządzeń w sieci SAN.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pStyle w:val="Tekstpodstawowy2"/>
              <w:rPr>
                <w:rFonts w:asciiTheme="minorHAnsi" w:hAnsiTheme="minorHAnsi" w:cstheme="minorHAnsi"/>
                <w:b w:val="0"/>
                <w:bCs/>
              </w:rPr>
            </w:pPr>
            <w:r w:rsidRPr="00281A5C">
              <w:rPr>
                <w:rFonts w:asciiTheme="minorHAnsi" w:hAnsiTheme="minorHAnsi" w:cstheme="minorHAnsi"/>
                <w:b w:val="0"/>
                <w:bCs/>
              </w:rPr>
              <w:t>Przełącznik FC musi posiadać wsparcie dla następujących mechanizmów zwiększających poziom bezpieczeństwa:</w:t>
            </w:r>
          </w:p>
          <w:p w:rsidR="00EF2318" w:rsidRPr="00281A5C" w:rsidRDefault="00EF2318" w:rsidP="00281A5C">
            <w:pPr>
              <w:numPr>
                <w:ilvl w:val="0"/>
                <w:numId w:val="4"/>
              </w:numPr>
              <w:tabs>
                <w:tab w:val="clear" w:pos="737"/>
              </w:tabs>
              <w:ind w:left="596" w:hanging="283"/>
              <w:rPr>
                <w:rFonts w:cstheme="minorHAnsi"/>
                <w:snapToGrid w:val="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napToGrid w:val="0"/>
                <w:sz w:val="20"/>
                <w:szCs w:val="20"/>
                <w:lang w:val="pl-PL"/>
              </w:rPr>
              <w:t xml:space="preserve">Listy Kontroli Dostępu definiujące urządzenia (przełączniki i urządzenia końcowe) uprawnione do pracy w sieci </w:t>
            </w:r>
            <w:proofErr w:type="spellStart"/>
            <w:r w:rsidRPr="00281A5C">
              <w:rPr>
                <w:rFonts w:cstheme="minorHAnsi"/>
                <w:snapToGrid w:val="0"/>
                <w:sz w:val="20"/>
                <w:szCs w:val="20"/>
                <w:lang w:val="pl-PL"/>
              </w:rPr>
              <w:t>Fabric</w:t>
            </w:r>
            <w:proofErr w:type="spellEnd"/>
          </w:p>
          <w:p w:rsidR="00EF2318" w:rsidRPr="00281A5C" w:rsidRDefault="00EF2318" w:rsidP="00281A5C">
            <w:pPr>
              <w:numPr>
                <w:ilvl w:val="0"/>
                <w:numId w:val="4"/>
              </w:numPr>
              <w:tabs>
                <w:tab w:val="clear" w:pos="737"/>
              </w:tabs>
              <w:ind w:left="596" w:hanging="283"/>
              <w:rPr>
                <w:rFonts w:cstheme="minorHAnsi"/>
                <w:snapToGrid w:val="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napToGrid w:val="0"/>
                <w:sz w:val="20"/>
                <w:szCs w:val="20"/>
                <w:lang w:val="pl-PL"/>
              </w:rPr>
              <w:t xml:space="preserve">Możliwość uwierzytelnienia (autentykacji) przełączników z listy kontroli dostępu w sieci </w:t>
            </w:r>
            <w:proofErr w:type="spellStart"/>
            <w:r w:rsidRPr="00281A5C">
              <w:rPr>
                <w:rFonts w:cstheme="minorHAnsi"/>
                <w:snapToGrid w:val="0"/>
                <w:sz w:val="20"/>
                <w:szCs w:val="20"/>
                <w:lang w:val="pl-PL"/>
              </w:rPr>
              <w:t>Fabric</w:t>
            </w:r>
            <w:proofErr w:type="spellEnd"/>
            <w:r w:rsidRPr="00281A5C">
              <w:rPr>
                <w:rFonts w:cstheme="minorHAnsi"/>
                <w:snapToGrid w:val="0"/>
                <w:sz w:val="20"/>
                <w:szCs w:val="20"/>
                <w:lang w:val="pl-PL"/>
              </w:rPr>
              <w:t xml:space="preserve"> za pomocą protokołów DH-CHAP i FCAP</w:t>
            </w:r>
          </w:p>
          <w:p w:rsidR="00EF2318" w:rsidRPr="00281A5C" w:rsidRDefault="00EF2318" w:rsidP="00281A5C">
            <w:pPr>
              <w:numPr>
                <w:ilvl w:val="0"/>
                <w:numId w:val="4"/>
              </w:numPr>
              <w:tabs>
                <w:tab w:val="clear" w:pos="737"/>
              </w:tabs>
              <w:ind w:left="596" w:hanging="283"/>
              <w:rPr>
                <w:rFonts w:cstheme="minorHAnsi"/>
                <w:snapToGrid w:val="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napToGrid w:val="0"/>
                <w:sz w:val="20"/>
                <w:szCs w:val="20"/>
                <w:lang w:val="pl-PL"/>
              </w:rPr>
              <w:t xml:space="preserve">Możliwość uwierzytelnienia (autentykacji) urządzeń końcowych z listy kontroli dostępu w sieci </w:t>
            </w:r>
            <w:proofErr w:type="spellStart"/>
            <w:r w:rsidRPr="00281A5C">
              <w:rPr>
                <w:rFonts w:cstheme="minorHAnsi"/>
                <w:snapToGrid w:val="0"/>
                <w:sz w:val="20"/>
                <w:szCs w:val="20"/>
                <w:lang w:val="pl-PL"/>
              </w:rPr>
              <w:t>Fabric</w:t>
            </w:r>
            <w:proofErr w:type="spellEnd"/>
            <w:r w:rsidRPr="00281A5C">
              <w:rPr>
                <w:rFonts w:cstheme="minorHAnsi"/>
                <w:snapToGrid w:val="0"/>
                <w:sz w:val="20"/>
                <w:szCs w:val="20"/>
                <w:lang w:val="pl-PL"/>
              </w:rPr>
              <w:t xml:space="preserve"> za pomocą protokołu DH-CHAP</w:t>
            </w:r>
          </w:p>
          <w:p w:rsidR="00EF2318" w:rsidRPr="00281A5C" w:rsidRDefault="00EF2318" w:rsidP="00281A5C">
            <w:pPr>
              <w:numPr>
                <w:ilvl w:val="0"/>
                <w:numId w:val="4"/>
              </w:numPr>
              <w:tabs>
                <w:tab w:val="clear" w:pos="737"/>
              </w:tabs>
              <w:ind w:left="596" w:hanging="283"/>
              <w:rPr>
                <w:rFonts w:cstheme="minorHAnsi"/>
                <w:snapToGrid w:val="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napToGrid w:val="0"/>
                <w:sz w:val="20"/>
                <w:szCs w:val="20"/>
                <w:lang w:val="pl-PL"/>
              </w:rPr>
              <w:t>Kontrola dostępu administracyjnego definiująca możliwość zarządzania przełącznikiem tylko z określonych urządzeń oraz portów</w:t>
            </w:r>
          </w:p>
          <w:p w:rsidR="00EF2318" w:rsidRPr="00281A5C" w:rsidRDefault="00EF2318" w:rsidP="00281A5C">
            <w:pPr>
              <w:numPr>
                <w:ilvl w:val="0"/>
                <w:numId w:val="4"/>
              </w:numPr>
              <w:tabs>
                <w:tab w:val="clear" w:pos="737"/>
              </w:tabs>
              <w:ind w:left="596" w:hanging="283"/>
              <w:rPr>
                <w:rFonts w:cstheme="minorHAnsi"/>
                <w:snapToGrid w:val="0"/>
                <w:sz w:val="20"/>
                <w:szCs w:val="20"/>
              </w:rPr>
            </w:pPr>
            <w:r w:rsidRPr="00281A5C">
              <w:rPr>
                <w:rFonts w:cstheme="minorHAnsi"/>
                <w:snapToGrid w:val="0"/>
                <w:sz w:val="20"/>
                <w:szCs w:val="20"/>
                <w:lang w:val="pl-PL"/>
              </w:rPr>
              <w:t xml:space="preserve">Szyfrowanie połączenia z konsolą administracyjną. </w:t>
            </w:r>
            <w:r w:rsidRPr="00281A5C">
              <w:rPr>
                <w:rFonts w:cstheme="minorHAnsi"/>
                <w:snapToGrid w:val="0"/>
                <w:sz w:val="20"/>
                <w:szCs w:val="20"/>
              </w:rPr>
              <w:t>Wsparcie dla SSHv2,</w:t>
            </w:r>
          </w:p>
          <w:p w:rsidR="00EF2318" w:rsidRPr="00281A5C" w:rsidRDefault="00EF2318" w:rsidP="00281A5C">
            <w:pPr>
              <w:numPr>
                <w:ilvl w:val="0"/>
                <w:numId w:val="4"/>
              </w:numPr>
              <w:tabs>
                <w:tab w:val="clear" w:pos="737"/>
              </w:tabs>
              <w:ind w:left="596" w:hanging="283"/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napToGrid w:val="0"/>
                <w:sz w:val="20"/>
                <w:szCs w:val="20"/>
                <w:lang w:val="pl-PL"/>
              </w:rPr>
              <w:t xml:space="preserve">Wskazanie nadrzędnych przełączników odpowiedzialnych za bezpieczeństwo w sieci typu </w:t>
            </w:r>
            <w:proofErr w:type="spellStart"/>
            <w:r w:rsidRPr="00281A5C">
              <w:rPr>
                <w:rFonts w:cstheme="minorHAnsi"/>
                <w:snapToGrid w:val="0"/>
                <w:sz w:val="20"/>
                <w:szCs w:val="20"/>
                <w:lang w:val="pl-PL"/>
              </w:rPr>
              <w:t>Fabric</w:t>
            </w:r>
            <w:proofErr w:type="spellEnd"/>
            <w:r w:rsidRPr="00281A5C">
              <w:rPr>
                <w:rFonts w:cstheme="minorHAnsi"/>
                <w:snapToGrid w:val="0"/>
                <w:sz w:val="20"/>
                <w:szCs w:val="20"/>
                <w:lang w:val="pl-PL"/>
              </w:rPr>
              <w:t xml:space="preserve">. </w:t>
            </w:r>
          </w:p>
          <w:p w:rsidR="00EF2318" w:rsidRPr="00281A5C" w:rsidRDefault="00EF2318" w:rsidP="00281A5C">
            <w:pPr>
              <w:numPr>
                <w:ilvl w:val="0"/>
                <w:numId w:val="4"/>
              </w:numPr>
              <w:tabs>
                <w:tab w:val="clear" w:pos="737"/>
              </w:tabs>
              <w:ind w:left="596" w:hanging="283"/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Konta użytkowników definiowane w środowisku RADIUS lub LDAP</w:t>
            </w:r>
          </w:p>
          <w:p w:rsidR="00EF2318" w:rsidRPr="00281A5C" w:rsidRDefault="00EF2318" w:rsidP="00281A5C">
            <w:pPr>
              <w:numPr>
                <w:ilvl w:val="0"/>
                <w:numId w:val="4"/>
              </w:numPr>
              <w:tabs>
                <w:tab w:val="clear" w:pos="737"/>
              </w:tabs>
              <w:ind w:left="596" w:hanging="283"/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  <w:t>Szyfrowanie komunikacji narzędzi administracyjnych za pomocą SSL/HTTPS</w:t>
            </w:r>
          </w:p>
          <w:p w:rsidR="00EF2318" w:rsidRPr="00281A5C" w:rsidRDefault="00EF2318" w:rsidP="00281A5C">
            <w:pPr>
              <w:numPr>
                <w:ilvl w:val="0"/>
                <w:numId w:val="4"/>
              </w:numPr>
              <w:tabs>
                <w:tab w:val="clear" w:pos="737"/>
              </w:tabs>
              <w:ind w:left="596" w:hanging="283"/>
              <w:rPr>
                <w:rFonts w:cstheme="minorHAnsi"/>
                <w:snapToGrid w:val="0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napToGrid w:val="0"/>
                <w:color w:val="000000"/>
                <w:sz w:val="20"/>
                <w:szCs w:val="20"/>
              </w:rPr>
              <w:t>Obsługa SNMP v3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pStyle w:val="Tekstpodstawowy2"/>
              <w:rPr>
                <w:rFonts w:asciiTheme="minorHAnsi" w:hAnsiTheme="minorHAnsi" w:cstheme="minorHAnsi"/>
                <w:b w:val="0"/>
                <w:bCs/>
              </w:rPr>
            </w:pPr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 xml:space="preserve">Przełącznik FC musi posiadać możliwość konfiguracji przez komendy tekstowe w interfejsie znakowym oraz przez przeglądarkę internetową z interfejsem graficznym.  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pStyle w:val="Tekstpodstawowy2"/>
              <w:rPr>
                <w:rFonts w:asciiTheme="minorHAnsi" w:hAnsiTheme="minorHAnsi" w:cstheme="minorHAnsi"/>
                <w:b w:val="0"/>
                <w:bCs/>
                <w:snapToGrid w:val="0"/>
              </w:rPr>
            </w:pPr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 xml:space="preserve">Przełącznik FC musi mieć możliwość instalacji </w:t>
            </w:r>
            <w:proofErr w:type="spellStart"/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>jednomodowych</w:t>
            </w:r>
            <w:proofErr w:type="spellEnd"/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 xml:space="preserve"> SFP+ umożliwiających bezpośrednie połączenie (bez dodatkowych urządzeń pośredniczących) z innymi przełącznikami na odległość minimum 10km.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pStyle w:val="Tekstpodstawowy2"/>
              <w:rPr>
                <w:rFonts w:asciiTheme="minorHAnsi" w:hAnsiTheme="minorHAnsi" w:cstheme="minorHAnsi"/>
                <w:b w:val="0"/>
                <w:bCs/>
                <w:snapToGrid w:val="0"/>
              </w:rPr>
            </w:pPr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 xml:space="preserve">Przełącznik FC musi zapewnić możliwość jego zarządzania przez zintegrowany port Ethernet, RS232 oraz </w:t>
            </w:r>
            <w:proofErr w:type="spellStart"/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>inband</w:t>
            </w:r>
            <w:proofErr w:type="spellEnd"/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 xml:space="preserve"> IP-</w:t>
            </w:r>
            <w:proofErr w:type="spellStart"/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>over</w:t>
            </w:r>
            <w:proofErr w:type="spellEnd"/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>-FC, USB port.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pStyle w:val="Tekstpodstawowy2"/>
              <w:rPr>
                <w:rFonts w:asciiTheme="minorHAnsi" w:hAnsiTheme="minorHAnsi" w:cstheme="minorHAnsi"/>
                <w:b w:val="0"/>
                <w:bCs/>
                <w:snapToGrid w:val="0"/>
              </w:rPr>
            </w:pPr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>Przełącznik FC musi zapewniać wsparcie dla standardu zarządzającego SMI-S v1.1 (powinien zawierać agenta SMI-S zgodnego z wersją standardu v1.1)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pStyle w:val="Tekstpodstawowy2"/>
              <w:rPr>
                <w:rFonts w:asciiTheme="minorHAnsi" w:hAnsiTheme="minorHAnsi" w:cstheme="minorHAnsi"/>
                <w:b w:val="0"/>
                <w:bCs/>
                <w:snapToGrid w:val="0"/>
              </w:rPr>
            </w:pPr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lastRenderedPageBreak/>
              <w:t>Przełącznik FC musi zapewniać możliwość nadawania adresu IP dla zarządzającego portu Ethernet za pomocą protokołu DHCP</w:t>
            </w:r>
            <w:r w:rsidR="00013770">
              <w:rPr>
                <w:rFonts w:asciiTheme="minorHAnsi" w:hAnsiTheme="minorHAnsi" w:cstheme="minorHAnsi"/>
                <w:b w:val="0"/>
                <w:bCs/>
                <w:snapToGrid w:val="0"/>
              </w:rPr>
              <w:t>.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pStyle w:val="Tekstpodstawowy2"/>
              <w:rPr>
                <w:rFonts w:asciiTheme="minorHAnsi" w:hAnsiTheme="minorHAnsi" w:cstheme="minorHAnsi"/>
                <w:b w:val="0"/>
                <w:bCs/>
                <w:snapToGrid w:val="0"/>
              </w:rPr>
            </w:pPr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>Przełącznik FC musi zapewniać możliwość dynamicznego aktywowania portów za pomocą zakupionych kluczy licencyjnych.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pStyle w:val="Tekstpodstawowy2"/>
              <w:rPr>
                <w:rFonts w:asciiTheme="minorHAnsi" w:hAnsiTheme="minorHAnsi" w:cstheme="minorHAnsi"/>
                <w:b w:val="0"/>
                <w:bCs/>
                <w:snapToGrid w:val="0"/>
              </w:rPr>
            </w:pPr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 xml:space="preserve">Przełącznik FC musi zapewniać sprzętową obsługę </w:t>
            </w:r>
            <w:proofErr w:type="spellStart"/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>zoningu</w:t>
            </w:r>
            <w:proofErr w:type="spellEnd"/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 xml:space="preserve"> na podstawie portów i adresów WWN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pStyle w:val="Tekstpodstawowy2"/>
              <w:rPr>
                <w:rFonts w:asciiTheme="minorHAnsi" w:hAnsiTheme="minorHAnsi" w:cstheme="minorHAnsi"/>
                <w:b w:val="0"/>
                <w:bCs/>
                <w:snapToGrid w:val="0"/>
              </w:rPr>
            </w:pPr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 xml:space="preserve">Możliwość wymiany w trybie „na gorąco”: minimum w odniesieniu do modułów portów </w:t>
            </w:r>
            <w:proofErr w:type="spellStart"/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>Fibre</w:t>
            </w:r>
            <w:proofErr w:type="spellEnd"/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 xml:space="preserve"> Channel (SFP+).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pStyle w:val="Tekstpodstawowy2"/>
              <w:rPr>
                <w:rFonts w:asciiTheme="minorHAnsi" w:hAnsiTheme="minorHAnsi" w:cstheme="minorHAnsi"/>
                <w:b w:val="0"/>
                <w:bCs/>
                <w:snapToGrid w:val="0"/>
              </w:rPr>
            </w:pPr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 xml:space="preserve">Wsparcie dla </w:t>
            </w:r>
            <w:proofErr w:type="spellStart"/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>N_Port</w:t>
            </w:r>
            <w:proofErr w:type="spellEnd"/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 xml:space="preserve"> ID </w:t>
            </w:r>
            <w:proofErr w:type="spellStart"/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>Virtualization</w:t>
            </w:r>
            <w:proofErr w:type="spellEnd"/>
            <w:r w:rsidRPr="00281A5C">
              <w:rPr>
                <w:rFonts w:asciiTheme="minorHAnsi" w:hAnsiTheme="minorHAnsi" w:cstheme="minorHAnsi"/>
                <w:b w:val="0"/>
                <w:bCs/>
                <w:snapToGrid w:val="0"/>
              </w:rPr>
              <w:t xml:space="preserve"> (NPIV).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40590D" w:rsidP="002857C7">
            <w:pP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Minimum p</w:t>
            </w:r>
            <w:r w:rsidR="002857C7" w:rsidRPr="00281A5C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ięć lat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(60 miesięcy)</w:t>
            </w:r>
            <w:r w:rsidR="002857C7" w:rsidRPr="00281A5C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gwarancji realizowanej w miejscu instalacji sprzętu, z czasem reakcji do następnego dnia roboczego od przyjęcia zgłoszenia, możliwość zgłaszania awarii w trybie 365x7x24</w:t>
            </w:r>
            <w:r w:rsidR="00C02CD4" w:rsidRPr="00281A5C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pStyle w:val="Tekstpodstawowy2"/>
              <w:rPr>
                <w:rFonts w:asciiTheme="minorHAnsi" w:hAnsiTheme="minorHAnsi" w:cstheme="minorHAnsi"/>
                <w:b w:val="0"/>
                <w:bCs/>
              </w:rPr>
            </w:pPr>
            <w:r w:rsidRPr="00281A5C">
              <w:rPr>
                <w:rFonts w:asciiTheme="minorHAnsi" w:hAnsiTheme="minorHAnsi" w:cstheme="minorHAnsi"/>
                <w:b w:val="0"/>
                <w:bCs/>
              </w:rPr>
              <w:t>Produkt musi być fabrycznie nowy i dostarczony przez autoryzowany kanał sprzedaży producenta na terenie kraju.</w:t>
            </w:r>
          </w:p>
        </w:tc>
      </w:tr>
      <w:tr w:rsidR="00EF2318" w:rsidRPr="00281A5C" w:rsidTr="00613986">
        <w:trPr>
          <w:jc w:val="center"/>
        </w:trPr>
        <w:tc>
          <w:tcPr>
            <w:tcW w:w="9350" w:type="dxa"/>
          </w:tcPr>
          <w:p w:rsidR="00EF2318" w:rsidRPr="00281A5C" w:rsidRDefault="00EF2318" w:rsidP="002B097A">
            <w:pPr>
              <w:pStyle w:val="Tekstpodstawowy2"/>
              <w:rPr>
                <w:rFonts w:asciiTheme="minorHAnsi" w:hAnsiTheme="minorHAnsi" w:cstheme="minorHAnsi"/>
                <w:b w:val="0"/>
                <w:bCs/>
              </w:rPr>
            </w:pPr>
            <w:r w:rsidRPr="00281A5C">
              <w:rPr>
                <w:rFonts w:asciiTheme="minorHAnsi" w:hAnsiTheme="minorHAnsi" w:cstheme="minorHAnsi"/>
                <w:b w:val="0"/>
                <w:bCs/>
              </w:rPr>
              <w:t xml:space="preserve">Szyny do montażu w szafie </w:t>
            </w:r>
            <w:proofErr w:type="spellStart"/>
            <w:r w:rsidRPr="00281A5C">
              <w:rPr>
                <w:rFonts w:asciiTheme="minorHAnsi" w:hAnsiTheme="minorHAnsi" w:cstheme="minorHAnsi"/>
                <w:b w:val="0"/>
                <w:bCs/>
              </w:rPr>
              <w:t>rack</w:t>
            </w:r>
            <w:proofErr w:type="spellEnd"/>
            <w:r w:rsidRPr="00281A5C">
              <w:rPr>
                <w:rFonts w:asciiTheme="minorHAnsi" w:hAnsiTheme="minorHAnsi" w:cstheme="minorHAnsi"/>
                <w:b w:val="0"/>
                <w:bCs/>
              </w:rPr>
              <w:t>.</w:t>
            </w:r>
          </w:p>
        </w:tc>
      </w:tr>
      <w:tr w:rsidR="00675F9A" w:rsidRPr="00281A5C" w:rsidTr="00613986">
        <w:trPr>
          <w:jc w:val="center"/>
        </w:trPr>
        <w:tc>
          <w:tcPr>
            <w:tcW w:w="9350" w:type="dxa"/>
          </w:tcPr>
          <w:p w:rsidR="00675F9A" w:rsidRPr="00281A5C" w:rsidRDefault="00675F9A" w:rsidP="00675F9A">
            <w:pPr>
              <w:pStyle w:val="Tekstpodstawowy2"/>
              <w:rPr>
                <w:rFonts w:asciiTheme="minorHAnsi" w:hAnsiTheme="minorHAnsi" w:cstheme="minorHAnsi"/>
                <w:b w:val="0"/>
                <w:bCs/>
              </w:rPr>
            </w:pPr>
            <w:r w:rsidRPr="00281A5C">
              <w:rPr>
                <w:rFonts w:asciiTheme="minorHAnsi" w:hAnsiTheme="minorHAnsi" w:cstheme="minorHAnsi"/>
                <w:b w:val="0"/>
                <w:bCs/>
              </w:rPr>
              <w:t xml:space="preserve">Wszystkie niezbędne do prawidłowego działania infrastruktury sieci SAN </w:t>
            </w:r>
            <w:proofErr w:type="spellStart"/>
            <w:r w:rsidRPr="00281A5C">
              <w:rPr>
                <w:rFonts w:asciiTheme="minorHAnsi" w:hAnsiTheme="minorHAnsi" w:cstheme="minorHAnsi"/>
                <w:b w:val="0"/>
                <w:bCs/>
              </w:rPr>
              <w:t>patchcordy</w:t>
            </w:r>
            <w:proofErr w:type="spellEnd"/>
            <w:r w:rsidRPr="00281A5C">
              <w:rPr>
                <w:rFonts w:asciiTheme="minorHAnsi" w:hAnsiTheme="minorHAnsi" w:cstheme="minorHAnsi"/>
                <w:b w:val="0"/>
                <w:bCs/>
              </w:rPr>
              <w:t xml:space="preserve"> światłowodowe (ilość i długość </w:t>
            </w:r>
            <w:proofErr w:type="spellStart"/>
            <w:r w:rsidRPr="00281A5C">
              <w:rPr>
                <w:rFonts w:asciiTheme="minorHAnsi" w:hAnsiTheme="minorHAnsi" w:cstheme="minorHAnsi"/>
                <w:b w:val="0"/>
                <w:bCs/>
              </w:rPr>
              <w:t>patchcordów</w:t>
            </w:r>
            <w:proofErr w:type="spellEnd"/>
            <w:r w:rsidRPr="00281A5C">
              <w:rPr>
                <w:rFonts w:asciiTheme="minorHAnsi" w:hAnsiTheme="minorHAnsi" w:cstheme="minorHAnsi"/>
                <w:b w:val="0"/>
                <w:bCs/>
              </w:rPr>
              <w:t xml:space="preserve"> wynikająca z analizy przedwdrożeniowej). </w:t>
            </w:r>
          </w:p>
        </w:tc>
      </w:tr>
    </w:tbl>
    <w:p w:rsidR="00345A2D" w:rsidRDefault="00345A2D">
      <w:pPr>
        <w:rPr>
          <w:lang w:val="pl-PL"/>
        </w:rPr>
      </w:pPr>
    </w:p>
    <w:p w:rsidR="00613986" w:rsidRDefault="00613986">
      <w:pPr>
        <w:rPr>
          <w:lang w:val="pl-PL"/>
        </w:rPr>
      </w:pPr>
    </w:p>
    <w:p w:rsidR="00B978EC" w:rsidRPr="0055488E" w:rsidRDefault="00B978EC" w:rsidP="00B978EC">
      <w:pPr>
        <w:pStyle w:val="Akapitzlist"/>
        <w:numPr>
          <w:ilvl w:val="0"/>
          <w:numId w:val="5"/>
        </w:numPr>
      </w:pPr>
      <w:r>
        <w:rPr>
          <w:lang w:val="pl-PL"/>
        </w:rPr>
        <w:t xml:space="preserve">Dostawa, instalacja i wdrożenie 2 szt. </w:t>
      </w:r>
      <w:r w:rsidRPr="0055488E">
        <w:t xml:space="preserve">UPS 5000VA </w:t>
      </w:r>
      <w:r w:rsidR="0055488E" w:rsidRPr="0055488E">
        <w:t xml:space="preserve">(ONLINE) </w:t>
      </w:r>
      <w:r w:rsidRPr="0055488E">
        <w:t>o parametrach:</w:t>
      </w:r>
    </w:p>
    <w:p w:rsidR="00A973CE" w:rsidRPr="0055488E" w:rsidRDefault="00A973CE" w:rsidP="00281A5C">
      <w:pPr>
        <w:pStyle w:val="Akapitzlist"/>
        <w:spacing w:after="0"/>
        <w:contextualSpacing w:val="0"/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7327"/>
      </w:tblGrid>
      <w:tr w:rsidR="000B54C0" w:rsidRPr="00675F9A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0B54C0" w:rsidRDefault="000B54C0" w:rsidP="00281A5C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0B54C0" w:rsidRDefault="000B54C0" w:rsidP="00281A5C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Charakterystyka (wymagania minimalne)</w:t>
            </w:r>
          </w:p>
        </w:tc>
      </w:tr>
      <w:tr w:rsidR="000B54C0" w:rsidRPr="000B54C0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Obudowa </w:t>
            </w:r>
            <w:proofErr w:type="spellStart"/>
            <w:r w:rsidRPr="00281A5C">
              <w:rPr>
                <w:rFonts w:cstheme="minorHAns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 w:rsidRPr="00281A5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o wysokości max 3U z kompletem szyn.</w:t>
            </w:r>
          </w:p>
        </w:tc>
      </w:tr>
      <w:tr w:rsidR="000B54C0" w:rsidRPr="00B978EC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Default="000B54C0" w:rsidP="00281A5C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Rodzaj akumulatora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281A5C" w:rsidRDefault="000B54C0" w:rsidP="00281A5C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81A5C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Akumulator kwasowo-ołowiowy.</w:t>
            </w:r>
          </w:p>
        </w:tc>
      </w:tr>
      <w:tr w:rsidR="000B54C0" w:rsidRPr="00B978EC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Default="000B54C0" w:rsidP="00281A5C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Napięcie akumulatora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281A5C" w:rsidRDefault="000B54C0" w:rsidP="00281A5C">
            <w:pPr>
              <w:spacing w:after="12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281A5C">
              <w:rPr>
                <w:rFonts w:eastAsia="Times New Roman" w:cstheme="minorHAnsi"/>
                <w:sz w:val="20"/>
                <w:szCs w:val="20"/>
                <w:lang w:val="pl-PL" w:eastAsia="en-US"/>
              </w:rPr>
              <w:t>Min 192V</w:t>
            </w:r>
          </w:p>
        </w:tc>
      </w:tr>
      <w:tr w:rsidR="000B54C0" w:rsidRPr="00B978EC" w:rsidTr="00613986">
        <w:trPr>
          <w:trHeight w:val="47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Default="000B54C0" w:rsidP="00281A5C">
            <w:pPr>
              <w:spacing w:line="240" w:lineRule="auto"/>
              <w:jc w:val="center"/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Moc baterii w VAH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281A5C" w:rsidRDefault="000B54C0" w:rsidP="00281A5C">
            <w:pPr>
              <w:spacing w:after="12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 xml:space="preserve">2535 </w:t>
            </w:r>
            <w:proofErr w:type="spellStart"/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>VAh</w:t>
            </w:r>
            <w:proofErr w:type="spellEnd"/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>runtime</w:t>
            </w:r>
            <w:proofErr w:type="spellEnd"/>
          </w:p>
        </w:tc>
      </w:tr>
      <w:tr w:rsidR="000B54C0" w:rsidRPr="00A973CE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Certyfikaty produktu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B6131C" w:rsidP="00281A5C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UnicodeMS" w:cstheme="minorHAnsi"/>
                <w:sz w:val="20"/>
                <w:szCs w:val="20"/>
              </w:rPr>
              <w:t>CE</w:t>
            </w:r>
            <w:r w:rsidR="000B54C0" w:rsidRPr="00281A5C">
              <w:rPr>
                <w:rFonts w:eastAsia="ArialUnicodeMS" w:cstheme="minorHAnsi"/>
                <w:sz w:val="20"/>
                <w:szCs w:val="20"/>
              </w:rPr>
              <w:t>, EAC, IRAM, RCM, VDE</w:t>
            </w:r>
          </w:p>
        </w:tc>
      </w:tr>
      <w:tr w:rsidR="000B54C0" w:rsidRPr="000B54C0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Default="000B54C0" w:rsidP="00281A5C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Zgodność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281A5C" w:rsidRDefault="000B54C0" w:rsidP="00281A5C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UnicodeMS" w:cstheme="minorHAnsi"/>
                <w:sz w:val="20"/>
                <w:szCs w:val="20"/>
                <w:lang w:val="pl-PL"/>
              </w:rPr>
            </w:pPr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 xml:space="preserve">Dedykowany Pakiet akumulatorowy dla UPS APC SRT 5kVA. </w:t>
            </w:r>
          </w:p>
        </w:tc>
      </w:tr>
      <w:tr w:rsidR="000B54C0" w:rsidRPr="000B54C0" w:rsidTr="00613986">
        <w:trPr>
          <w:trHeight w:val="62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40590D" w:rsidP="00281A5C">
            <w:pPr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Minimum p</w:t>
            </w:r>
            <w:r w:rsidR="000B54C0" w:rsidRPr="00281A5C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ięć lat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(60 miesięcy)</w:t>
            </w:r>
            <w:r w:rsidR="000B54C0" w:rsidRPr="00281A5C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gwarancji realizowanej w miejscu instalacji sprzętu, z czasem reakcji do następnego dnia roboczego od przyjęcia zgłoszenia, możliwość zgłaszania awarii w trybie 365x7x24 </w:t>
            </w:r>
            <w:r w:rsidR="000B54C0" w:rsidRPr="00281A5C">
              <w:rPr>
                <w:color w:val="000000" w:themeColor="text1"/>
                <w:sz w:val="20"/>
                <w:szCs w:val="20"/>
                <w:lang w:val="pl-PL"/>
              </w:rPr>
              <w:t>poprzez ogólnopolską linię telefoniczną producenta.</w:t>
            </w:r>
          </w:p>
          <w:p w:rsidR="000B54C0" w:rsidRPr="00281A5C" w:rsidRDefault="000B54C0" w:rsidP="006252FB">
            <w:pPr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00281A5C">
              <w:rPr>
                <w:sz w:val="20"/>
                <w:szCs w:val="20"/>
                <w:lang w:val="pl-PL"/>
              </w:rPr>
              <w:t>Firma serwisująca musi posiadać ISO 9001:2015 na świadczenie usług serwisowych oraz posiadać autoryzacje producenta urządzeń – dokumenty potwierdzające należy załączyć do oferty.</w:t>
            </w:r>
          </w:p>
          <w:p w:rsidR="000B54C0" w:rsidRPr="00281A5C" w:rsidRDefault="000B54C0" w:rsidP="006252FB">
            <w:pPr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00281A5C">
              <w:rPr>
                <w:sz w:val="20"/>
                <w:szCs w:val="20"/>
                <w:lang w:val="pl-P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</w:tr>
      <w:tr w:rsidR="000B54C0" w:rsidRPr="000B54C0" w:rsidTr="00613986">
        <w:trPr>
          <w:trHeight w:val="23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Akcesoria dodatkowe: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Dedykowany prz</w:t>
            </w:r>
            <w:r w:rsidRPr="0030622D">
              <w:rPr>
                <w:rFonts w:ascii="Calibri" w:hAnsi="Calibri"/>
                <w:sz w:val="20"/>
                <w:szCs w:val="20"/>
                <w:lang w:val="pl-PL"/>
              </w:rPr>
              <w:t>edłużacz 4,57 m do APC Smart-UPS SRT i zewnętrznych pakietów akumulatorowych 192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30622D">
              <w:rPr>
                <w:rFonts w:ascii="Calibri" w:hAnsi="Calibri"/>
                <w:sz w:val="20"/>
                <w:szCs w:val="20"/>
                <w:lang w:val="pl-PL"/>
              </w:rPr>
              <w:t>VDC, dla zasilaczy UPS 5/6 kVA</w:t>
            </w:r>
            <w:r w:rsidR="00013770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</w:tr>
    </w:tbl>
    <w:p w:rsidR="00A973CE" w:rsidRDefault="00A973CE" w:rsidP="00A973CE">
      <w:pPr>
        <w:pStyle w:val="Akapitzlist"/>
        <w:rPr>
          <w:lang w:val="pl-PL"/>
        </w:rPr>
      </w:pPr>
    </w:p>
    <w:p w:rsidR="00B978EC" w:rsidRPr="00B978EC" w:rsidRDefault="00B978EC" w:rsidP="00B978EC">
      <w:pPr>
        <w:rPr>
          <w:lang w:val="pl-PL"/>
        </w:rPr>
      </w:pPr>
    </w:p>
    <w:p w:rsidR="0055488E" w:rsidRDefault="0055488E" w:rsidP="00675F9A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Dostawa 2 szt. dodatkowych zestawów akumulatorowych (</w:t>
      </w:r>
      <w:proofErr w:type="spellStart"/>
      <w:r>
        <w:rPr>
          <w:lang w:val="pl-PL"/>
        </w:rPr>
        <w:t>battery</w:t>
      </w:r>
      <w:proofErr w:type="spellEnd"/>
      <w:r>
        <w:rPr>
          <w:lang w:val="pl-PL"/>
        </w:rPr>
        <w:t xml:space="preserve"> Pack)</w:t>
      </w:r>
      <w:r w:rsidR="0030622D">
        <w:rPr>
          <w:lang w:val="pl-PL"/>
        </w:rPr>
        <w:t xml:space="preserve"> o parametrach minimalnych:</w:t>
      </w:r>
    </w:p>
    <w:p w:rsidR="0030622D" w:rsidRDefault="0030622D" w:rsidP="00281A5C">
      <w:pPr>
        <w:pStyle w:val="Akapitzlist"/>
        <w:spacing w:after="0"/>
        <w:contextualSpacing w:val="0"/>
        <w:rPr>
          <w:lang w:val="pl-PL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7327"/>
      </w:tblGrid>
      <w:tr w:rsidR="000B54C0" w:rsidRPr="00675F9A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sz w:val="20"/>
                <w:szCs w:val="20"/>
                <w:lang w:val="pl-PL"/>
              </w:rPr>
              <w:lastRenderedPageBreak/>
              <w:t>Parametr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sz w:val="20"/>
                <w:szCs w:val="20"/>
                <w:lang w:val="pl-PL"/>
              </w:rPr>
              <w:t>Charakterystyka (wymagania minimalne)</w:t>
            </w:r>
          </w:p>
        </w:tc>
      </w:tr>
      <w:tr w:rsidR="000B54C0" w:rsidRPr="000B54C0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Obudowa </w:t>
            </w:r>
            <w:proofErr w:type="spellStart"/>
            <w:r w:rsidRPr="00281A5C">
              <w:rPr>
                <w:rFonts w:cstheme="minorHAns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 w:rsidRPr="00281A5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o wysokości max 3U z kompletem szyn.</w:t>
            </w:r>
          </w:p>
        </w:tc>
      </w:tr>
      <w:tr w:rsidR="000B54C0" w:rsidRPr="00B978EC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sz w:val="20"/>
                <w:szCs w:val="20"/>
                <w:lang w:val="pl-PL"/>
              </w:rPr>
              <w:t>Napięcie zasilania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z w:val="20"/>
                <w:szCs w:val="20"/>
                <w:lang w:val="pl-PL"/>
              </w:rPr>
              <w:t>220V, 230V, 240V</w:t>
            </w:r>
          </w:p>
        </w:tc>
      </w:tr>
      <w:tr w:rsidR="000B54C0" w:rsidRPr="00B978EC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sz w:val="20"/>
                <w:szCs w:val="20"/>
                <w:lang w:val="pl-PL"/>
              </w:rPr>
              <w:t>Napięcie wyjściowe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Cs/>
                <w:sz w:val="20"/>
                <w:szCs w:val="20"/>
                <w:lang w:val="pl-PL"/>
              </w:rPr>
              <w:t>230V (dodatkowo 220V, 240V)</w:t>
            </w:r>
          </w:p>
        </w:tc>
      </w:tr>
      <w:tr w:rsidR="000B54C0" w:rsidRPr="00B978EC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sz w:val="20"/>
                <w:szCs w:val="20"/>
                <w:lang w:val="pl-PL"/>
              </w:rPr>
              <w:t xml:space="preserve">Moc znamionowa w </w:t>
            </w:r>
            <w:proofErr w:type="spellStart"/>
            <w:r w:rsidRPr="00281A5C">
              <w:rPr>
                <w:rFonts w:cstheme="minorHAnsi"/>
                <w:b/>
                <w:sz w:val="20"/>
                <w:szCs w:val="20"/>
                <w:lang w:val="pl-PL"/>
              </w:rPr>
              <w:t>W</w:t>
            </w:r>
            <w:proofErr w:type="spellEnd"/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z w:val="20"/>
                <w:szCs w:val="20"/>
                <w:lang w:val="pl-PL"/>
              </w:rPr>
              <w:t>Min.  4500 W</w:t>
            </w:r>
          </w:p>
        </w:tc>
      </w:tr>
      <w:tr w:rsidR="000B54C0" w:rsidRPr="002B097A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sz w:val="20"/>
                <w:szCs w:val="20"/>
                <w:lang w:val="pl-PL"/>
              </w:rPr>
              <w:t>Moc znamionowa w VA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z w:val="20"/>
                <w:szCs w:val="20"/>
                <w:lang w:val="pl-PL"/>
              </w:rPr>
              <w:t>Min. 5000 VA</w:t>
            </w:r>
          </w:p>
        </w:tc>
      </w:tr>
      <w:tr w:rsidR="000B54C0" w:rsidRPr="00B978EC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sz w:val="20"/>
                <w:szCs w:val="20"/>
                <w:lang w:val="pl-PL"/>
              </w:rPr>
              <w:t>Rodzaj akumulatora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281A5C" w:rsidRDefault="000B54C0" w:rsidP="00281A5C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81A5C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Akumulator kwasowo-ołowiowy.</w:t>
            </w:r>
          </w:p>
        </w:tc>
      </w:tr>
      <w:tr w:rsidR="000B54C0" w:rsidRPr="000B54C0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sz w:val="20"/>
                <w:szCs w:val="20"/>
                <w:lang w:val="pl-PL"/>
              </w:rPr>
              <w:t>Interfejsy sieciowe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sz w:val="20"/>
                <w:szCs w:val="20"/>
                <w:lang w:val="pl-PL"/>
              </w:rPr>
              <w:t>Wbudowany minimum 1 porty typu Gigabit Ethernet Base-T - karta do zdalnego zarzadzania Web SNMP</w:t>
            </w:r>
          </w:p>
        </w:tc>
      </w:tr>
      <w:tr w:rsidR="000B54C0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bCs/>
                <w:sz w:val="20"/>
                <w:szCs w:val="20"/>
                <w:lang w:val="pl-PL"/>
              </w:rPr>
              <w:t>Częstotliwość sieciowa na wejściu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 xml:space="preserve">40–70 </w:t>
            </w:r>
            <w:proofErr w:type="spellStart"/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>Hz</w:t>
            </w:r>
            <w:proofErr w:type="spellEnd"/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 xml:space="preserve"> auto-</w:t>
            </w:r>
            <w:proofErr w:type="spellStart"/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>sensing</w:t>
            </w:r>
            <w:proofErr w:type="spellEnd"/>
          </w:p>
        </w:tc>
      </w:tr>
      <w:tr w:rsidR="000B54C0" w:rsidRPr="000B54C0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281A5C">
              <w:rPr>
                <w:rFonts w:cstheme="minorHAnsi"/>
                <w:b/>
                <w:sz w:val="20"/>
                <w:szCs w:val="20"/>
                <w:lang w:val="pl-PL"/>
              </w:rPr>
              <w:t>Podłączenie zasilania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rPr>
                <w:rFonts w:cstheme="minorHAnsi"/>
                <w:sz w:val="20"/>
                <w:szCs w:val="20"/>
                <w:lang w:val="de-DE"/>
              </w:rPr>
            </w:pPr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>1 Połączenie poprzez zaciski 3-przewodowy (1fazowy+N+uziemienie)</w:t>
            </w:r>
          </w:p>
        </w:tc>
      </w:tr>
      <w:tr w:rsidR="000B54C0" w:rsidRPr="00B978EC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281A5C">
              <w:rPr>
                <w:rFonts w:cstheme="minorHAnsi"/>
                <w:b/>
                <w:sz w:val="20"/>
                <w:szCs w:val="20"/>
                <w:lang w:val="de-DE"/>
              </w:rPr>
              <w:t>Zniekształcenia harmoniczne na wyjściu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>Poniżej 2%</w:t>
            </w:r>
          </w:p>
        </w:tc>
      </w:tr>
      <w:tr w:rsidR="000B54C0" w:rsidRPr="000B54C0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013770" w:rsidRDefault="000B54C0" w:rsidP="00B8596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bCs/>
                <w:sz w:val="20"/>
                <w:szCs w:val="20"/>
                <w:lang w:val="pl-PL"/>
              </w:rPr>
              <w:t>Częstotliwość na wyjściu</w:t>
            </w:r>
            <w:r w:rsidR="00013770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281A5C">
              <w:rPr>
                <w:rFonts w:cstheme="minorHAnsi"/>
                <w:b/>
                <w:bCs/>
                <w:sz w:val="20"/>
                <w:szCs w:val="20"/>
                <w:lang w:val="pl-PL"/>
              </w:rPr>
              <w:t>(synchronicznie z siecią)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C0" w:rsidRPr="00281A5C" w:rsidRDefault="000B54C0" w:rsidP="00281A5C">
            <w:pPr>
              <w:spacing w:after="12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 xml:space="preserve">50/60 </w:t>
            </w:r>
            <w:proofErr w:type="spellStart"/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>Hz</w:t>
            </w:r>
            <w:proofErr w:type="spellEnd"/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 xml:space="preserve"> +/- 3 </w:t>
            </w:r>
            <w:proofErr w:type="spellStart"/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>Hz</w:t>
            </w:r>
            <w:proofErr w:type="spellEnd"/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 xml:space="preserve"> synchronicznie z siecią</w:t>
            </w:r>
          </w:p>
        </w:tc>
      </w:tr>
      <w:tr w:rsidR="000B54C0" w:rsidTr="00613986">
        <w:trPr>
          <w:trHeight w:val="512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bCs/>
                <w:sz w:val="20"/>
                <w:szCs w:val="20"/>
                <w:lang w:val="pl-PL"/>
              </w:rPr>
              <w:t>Topologia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 xml:space="preserve">Technologia </w:t>
            </w:r>
            <w:proofErr w:type="spellStart"/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>Double</w:t>
            </w:r>
            <w:proofErr w:type="spellEnd"/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 xml:space="preserve"> Conversion Online</w:t>
            </w:r>
          </w:p>
        </w:tc>
      </w:tr>
      <w:tr w:rsidR="000B54C0" w:rsidRPr="00B978EC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bCs/>
                <w:sz w:val="20"/>
                <w:szCs w:val="20"/>
                <w:lang w:val="pl-PL"/>
              </w:rPr>
              <w:t>Typ przebiegu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>Sinusoida</w:t>
            </w:r>
          </w:p>
        </w:tc>
      </w:tr>
      <w:tr w:rsidR="000B54C0" w:rsidRPr="000B54C0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bCs/>
                <w:sz w:val="20"/>
                <w:szCs w:val="20"/>
                <w:lang w:val="pl-PL"/>
              </w:rPr>
              <w:t>Typ bypassu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>Wewnętrzny tor obejściowy (automatyczny lub ręczny)</w:t>
            </w:r>
          </w:p>
        </w:tc>
      </w:tr>
      <w:tr w:rsidR="000B54C0" w:rsidRPr="00B978EC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281A5C" w:rsidRDefault="000B54C0" w:rsidP="00B8596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bCs/>
                <w:sz w:val="20"/>
                <w:szCs w:val="20"/>
                <w:lang w:val="pl-PL"/>
              </w:rPr>
              <w:t>Typowy czas pełnego ładowania akumulatora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281A5C" w:rsidRDefault="000B54C0" w:rsidP="00281A5C">
            <w:pPr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1,5h</w:t>
            </w:r>
          </w:p>
        </w:tc>
      </w:tr>
      <w:tr w:rsidR="000B54C0" w:rsidRPr="00B978EC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bCs/>
                <w:sz w:val="20"/>
                <w:szCs w:val="20"/>
                <w:lang w:val="pl-PL"/>
              </w:rPr>
              <w:t>Napięcie akumulatora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281A5C" w:rsidRDefault="000B54C0" w:rsidP="00281A5C">
            <w:pPr>
              <w:spacing w:after="12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281A5C">
              <w:rPr>
                <w:rFonts w:eastAsia="Times New Roman" w:cstheme="minorHAnsi"/>
                <w:sz w:val="20"/>
                <w:szCs w:val="20"/>
                <w:lang w:val="pl-PL" w:eastAsia="en-US"/>
              </w:rPr>
              <w:t>Min 192V</w:t>
            </w:r>
          </w:p>
        </w:tc>
      </w:tr>
      <w:tr w:rsidR="000B54C0" w:rsidRPr="00B978EC" w:rsidTr="00613986">
        <w:trPr>
          <w:trHeight w:val="47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bCs/>
                <w:sz w:val="20"/>
                <w:szCs w:val="20"/>
                <w:lang w:val="pl-PL"/>
              </w:rPr>
              <w:t>Moc akumulatora (W)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281A5C" w:rsidRDefault="000B54C0" w:rsidP="00281A5C">
            <w:pPr>
              <w:spacing w:after="12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color w:val="000000"/>
                <w:sz w:val="20"/>
                <w:szCs w:val="20"/>
                <w:lang w:val="pl-PL"/>
              </w:rPr>
              <w:t>Min 560 W</w:t>
            </w:r>
          </w:p>
        </w:tc>
      </w:tr>
      <w:tr w:rsidR="000B54C0" w:rsidRPr="00B978EC" w:rsidTr="00613986">
        <w:trPr>
          <w:trHeight w:val="47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bCs/>
                <w:sz w:val="20"/>
                <w:szCs w:val="20"/>
                <w:lang w:val="pl-PL"/>
              </w:rPr>
              <w:t>Moc baterii w VAH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C0" w:rsidRPr="00281A5C" w:rsidRDefault="000B54C0" w:rsidP="00281A5C">
            <w:pPr>
              <w:spacing w:after="12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 xml:space="preserve">845 </w:t>
            </w:r>
            <w:proofErr w:type="spellStart"/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>VAh</w:t>
            </w:r>
            <w:proofErr w:type="spellEnd"/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81A5C">
              <w:rPr>
                <w:rFonts w:eastAsia="ArialUnicodeMS" w:cstheme="minorHAnsi"/>
                <w:sz w:val="20"/>
                <w:szCs w:val="20"/>
                <w:lang w:val="pl-PL"/>
              </w:rPr>
              <w:t>runtime</w:t>
            </w:r>
            <w:proofErr w:type="spellEnd"/>
          </w:p>
        </w:tc>
      </w:tr>
      <w:tr w:rsidR="000B54C0" w:rsidRPr="00A973CE" w:rsidTr="00613986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0B54C0" w:rsidP="00281A5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81A5C">
              <w:rPr>
                <w:rFonts w:cstheme="minorHAnsi"/>
                <w:b/>
                <w:sz w:val="20"/>
                <w:szCs w:val="20"/>
                <w:lang w:val="pl-PL"/>
              </w:rPr>
              <w:t>Certyfikaty produktu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281A5C" w:rsidRDefault="00B6131C" w:rsidP="00281A5C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UnicodeMS" w:cstheme="minorHAnsi"/>
                <w:sz w:val="20"/>
                <w:szCs w:val="20"/>
              </w:rPr>
              <w:t>CE</w:t>
            </w:r>
            <w:r w:rsidR="000B54C0" w:rsidRPr="00281A5C">
              <w:rPr>
                <w:rFonts w:eastAsia="ArialUnicodeMS" w:cstheme="minorHAnsi"/>
                <w:sz w:val="20"/>
                <w:szCs w:val="20"/>
              </w:rPr>
              <w:t>, EAC, IRAM, RCM, VDE</w:t>
            </w:r>
          </w:p>
        </w:tc>
      </w:tr>
      <w:tr w:rsidR="000B54C0" w:rsidRPr="000B54C0" w:rsidTr="00613986">
        <w:trPr>
          <w:trHeight w:val="62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Pr="00613986" w:rsidRDefault="0040590D" w:rsidP="00281A5C">
            <w:pPr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Minimum p</w:t>
            </w:r>
            <w:r w:rsidR="000B54C0" w:rsidRPr="0061398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ięć lat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(60 miesięcy)</w:t>
            </w:r>
            <w:r w:rsidR="000B54C0" w:rsidRPr="0061398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gwarancji realizowanej w miejscu instalacji sprzętu, z czasem reakcji do następnego dnia roboczego od przyjęcia zgłoszenia, możliwość zgłaszania awarii w trybie 365x7x24 </w:t>
            </w:r>
            <w:r w:rsidR="000B54C0" w:rsidRPr="00613986">
              <w:rPr>
                <w:color w:val="000000" w:themeColor="text1"/>
                <w:sz w:val="20"/>
                <w:szCs w:val="20"/>
                <w:lang w:val="pl-PL"/>
              </w:rPr>
              <w:t>poprzez ogólnopolską linię telefoniczną producenta.</w:t>
            </w:r>
          </w:p>
          <w:p w:rsidR="000B54C0" w:rsidRPr="00613986" w:rsidRDefault="000B54C0" w:rsidP="006252FB">
            <w:pPr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00613986">
              <w:rPr>
                <w:sz w:val="20"/>
                <w:szCs w:val="20"/>
                <w:lang w:val="pl-PL"/>
              </w:rPr>
              <w:t>Firma serwisująca musi posiadać ISO 9001:2015 na świadczenie usług serwisowych oraz posiadać autoryzacje producenta urządzeń – dokumenty potwierdzające należy załączyć do oferty.</w:t>
            </w:r>
          </w:p>
          <w:p w:rsidR="000B54C0" w:rsidRPr="00613986" w:rsidRDefault="000B54C0" w:rsidP="006252FB">
            <w:pPr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00613986">
              <w:rPr>
                <w:sz w:val="20"/>
                <w:szCs w:val="20"/>
                <w:lang w:val="pl-P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</w:tr>
      <w:tr w:rsidR="000B54C0" w:rsidRPr="000B54C0" w:rsidTr="00613986">
        <w:trPr>
          <w:trHeight w:val="23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Dokumentacja użytkownika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C0" w:rsidRDefault="000B54C0" w:rsidP="00281A5C">
            <w:pPr>
              <w:spacing w:after="12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Zamawiający wymaga dokumentacji w języku polskim lub angielskim.</w:t>
            </w:r>
          </w:p>
          <w:p w:rsidR="000B54C0" w:rsidRDefault="000B54C0" w:rsidP="00281A5C">
            <w:pPr>
              <w:spacing w:after="12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:rsidR="00675F9A" w:rsidRPr="004A5FC5" w:rsidRDefault="00675F9A" w:rsidP="00675F9A">
      <w:pPr>
        <w:pStyle w:val="Akapitzlist"/>
        <w:numPr>
          <w:ilvl w:val="0"/>
          <w:numId w:val="5"/>
        </w:numPr>
        <w:rPr>
          <w:lang w:val="pl-PL"/>
        </w:rPr>
      </w:pPr>
      <w:r w:rsidRPr="004A5FC5">
        <w:rPr>
          <w:lang w:val="pl-PL"/>
        </w:rPr>
        <w:lastRenderedPageBreak/>
        <w:t>Wdrożenie serwerów oraz przełączników FC:</w:t>
      </w:r>
    </w:p>
    <w:p w:rsidR="00675F9A" w:rsidRDefault="00675F9A" w:rsidP="00613986">
      <w:pPr>
        <w:spacing w:after="120"/>
        <w:rPr>
          <w:lang w:val="pl-PL"/>
        </w:rPr>
      </w:pPr>
      <w:r>
        <w:rPr>
          <w:lang w:val="pl-PL"/>
        </w:rPr>
        <w:t>W ramach wdrożenia Zamawiający wymaga:</w:t>
      </w:r>
    </w:p>
    <w:p w:rsidR="00675F9A" w:rsidRDefault="00675F9A" w:rsidP="00675F9A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wykonania analizy i dokumentacji przedwdrożeniowej</w:t>
      </w:r>
      <w:r w:rsidR="0006155A">
        <w:rPr>
          <w:lang w:val="pl-PL"/>
        </w:rPr>
        <w:t xml:space="preserve"> zawierającej szczegółowy plan migracji serwerów i przełączników FC</w:t>
      </w:r>
      <w:r>
        <w:rPr>
          <w:lang w:val="pl-PL"/>
        </w:rPr>
        <w:t>;</w:t>
      </w:r>
    </w:p>
    <w:p w:rsidR="00675F9A" w:rsidRDefault="00675F9A" w:rsidP="00675F9A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wykonania aktualizacji oprogramowania serwerów i przełączników do najnowszej stabilnej wersji;</w:t>
      </w:r>
    </w:p>
    <w:p w:rsidR="00675F9A" w:rsidRDefault="00BE1A68" w:rsidP="00675F9A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dostaw</w:t>
      </w:r>
      <w:r w:rsidR="004A5FC5">
        <w:rPr>
          <w:lang w:val="pl-PL"/>
        </w:rPr>
        <w:t>y</w:t>
      </w:r>
      <w:r>
        <w:rPr>
          <w:lang w:val="pl-PL"/>
        </w:rPr>
        <w:t xml:space="preserve">, </w:t>
      </w:r>
      <w:r w:rsidR="00675F9A">
        <w:rPr>
          <w:lang w:val="pl-PL"/>
        </w:rPr>
        <w:t>konfiguracji, instalacji i podłączenia w serwerowni Zamawiającego;</w:t>
      </w:r>
    </w:p>
    <w:p w:rsidR="00675F9A" w:rsidRDefault="00675F9A" w:rsidP="00675F9A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instalacji i konfiguracji dostarczanych urządzeń w sieci LAN;</w:t>
      </w:r>
    </w:p>
    <w:p w:rsidR="00675F9A" w:rsidRDefault="00675F9A" w:rsidP="00675F9A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wdrożenia i przełączenia obecnie użytkowanych urządzeń sieci SAN na dostarczane w ramach tego postepowania przełączniki SAN;</w:t>
      </w:r>
    </w:p>
    <w:p w:rsidR="00675F9A" w:rsidRDefault="00675F9A" w:rsidP="00675F9A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instalacji i konfiguracji dostarczanych urządzeń w sieci SAN opartej na dostarczanych przełącznikach FC, 2 macierzach IBM serii v5000;</w:t>
      </w:r>
    </w:p>
    <w:p w:rsidR="00675F9A" w:rsidRDefault="00675F9A" w:rsidP="00675F9A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konfiguracj</w:t>
      </w:r>
      <w:r w:rsidR="00E4063F">
        <w:rPr>
          <w:lang w:val="pl-PL"/>
        </w:rPr>
        <w:t>i</w:t>
      </w:r>
      <w:r>
        <w:rPr>
          <w:lang w:val="pl-PL"/>
        </w:rPr>
        <w:t xml:space="preserve"> wkładek światłowodowych DWDM do dostarczanych przełączników FC;</w:t>
      </w:r>
    </w:p>
    <w:p w:rsidR="00675F9A" w:rsidRDefault="00675F9A" w:rsidP="00675F9A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 xml:space="preserve">instalacji, konfiguracji i migracji środowiska </w:t>
      </w:r>
      <w:proofErr w:type="spellStart"/>
      <w:r>
        <w:rPr>
          <w:lang w:val="pl-PL"/>
        </w:rPr>
        <w:t>VMware</w:t>
      </w:r>
      <w:proofErr w:type="spellEnd"/>
      <w:r>
        <w:rPr>
          <w:lang w:val="pl-PL"/>
        </w:rPr>
        <w:t>;</w:t>
      </w:r>
    </w:p>
    <w:p w:rsidR="00675F9A" w:rsidRDefault="00675F9A" w:rsidP="00675F9A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wykonania testów działania i wydajnościowych środowiska;</w:t>
      </w:r>
    </w:p>
    <w:p w:rsidR="00675F9A" w:rsidRDefault="00675F9A" w:rsidP="00675F9A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migracji serwerów wirtualnych na nowe urządzenia;</w:t>
      </w:r>
    </w:p>
    <w:p w:rsidR="00675F9A" w:rsidRDefault="00675F9A" w:rsidP="00675F9A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deinstalacji  obecnie użytkowanych serwerów (1 klatka serwerów typu Blade);</w:t>
      </w:r>
    </w:p>
    <w:p w:rsidR="00675F9A" w:rsidRPr="00675F9A" w:rsidRDefault="00675F9A" w:rsidP="00613986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  <w:rPr>
          <w:lang w:val="pl-PL"/>
        </w:rPr>
      </w:pPr>
      <w:r>
        <w:rPr>
          <w:lang w:val="pl-PL"/>
        </w:rPr>
        <w:t>wykonanie dokumentacji powdrożeniowej</w:t>
      </w:r>
      <w:r w:rsidR="00C65FE8">
        <w:rPr>
          <w:lang w:val="pl-PL"/>
        </w:rPr>
        <w:t>.</w:t>
      </w:r>
    </w:p>
    <w:p w:rsidR="00675F9A" w:rsidRDefault="00675F9A" w:rsidP="00613986">
      <w:pPr>
        <w:spacing w:after="120"/>
        <w:jc w:val="both"/>
        <w:rPr>
          <w:lang w:val="pl-PL"/>
        </w:rPr>
      </w:pPr>
      <w:r>
        <w:rPr>
          <w:lang w:val="pl-PL"/>
        </w:rPr>
        <w:t>Prace instalacyjne będą odbywały się w 2 obiektach na terenie miasta Szczecin.</w:t>
      </w:r>
      <w:r w:rsidR="0006155A">
        <w:rPr>
          <w:lang w:val="pl-PL"/>
        </w:rPr>
        <w:t xml:space="preserve"> Prace instalacyjne nie mogą zakłócić pracy serwerów, systemów i aplikacji produkcyjnych Zamawiającego. Prace wymagające wyłączenia systemów mogą odbywać się jedynie w uzgodnionych z Zamawiającym oknach serwisowych.</w:t>
      </w:r>
    </w:p>
    <w:p w:rsidR="00675F9A" w:rsidRPr="00675F9A" w:rsidRDefault="00675F9A" w:rsidP="00613986">
      <w:pPr>
        <w:spacing w:after="120"/>
        <w:jc w:val="both"/>
        <w:rPr>
          <w:color w:val="000000" w:themeColor="text1"/>
          <w:lang w:val="pl-PL"/>
        </w:rPr>
      </w:pPr>
      <w:r>
        <w:rPr>
          <w:rFonts w:eastAsia="Times New Roman" w:cs="Arial"/>
          <w:color w:val="000000" w:themeColor="text1"/>
          <w:lang w:val="pl-PL" w:eastAsia="pl-PL"/>
        </w:rPr>
        <w:t>Dostarczany s</w:t>
      </w:r>
      <w:r w:rsidRPr="00675F9A">
        <w:rPr>
          <w:rFonts w:eastAsia="Times New Roman" w:cs="Arial"/>
          <w:color w:val="000000" w:themeColor="text1"/>
          <w:lang w:val="pl-PL" w:eastAsia="pl-PL"/>
        </w:rPr>
        <w:t>przęt musi pochodzić z autoryzowanego przez jej producenta kanału dystrybucji w UE i nie może być obciążony uprzednio nabytymi prawami podmiotów trzecich (</w:t>
      </w:r>
      <w:proofErr w:type="spellStart"/>
      <w:r w:rsidRPr="00675F9A">
        <w:rPr>
          <w:rFonts w:eastAsia="Times New Roman" w:cs="Arial"/>
          <w:color w:val="000000" w:themeColor="text1"/>
          <w:lang w:val="pl-PL" w:eastAsia="pl-PL"/>
        </w:rPr>
        <w:t>subdystrybucja</w:t>
      </w:r>
      <w:proofErr w:type="spellEnd"/>
      <w:r w:rsidRPr="00675F9A">
        <w:rPr>
          <w:rFonts w:eastAsia="Times New Roman" w:cs="Arial"/>
          <w:color w:val="000000" w:themeColor="text1"/>
          <w:lang w:val="pl-PL" w:eastAsia="pl-PL"/>
        </w:rPr>
        <w:t>, niezależni brokerzy) oraz musi być przeznaczony do sprzedaży i serwisu na rynku polskim.</w:t>
      </w:r>
    </w:p>
    <w:p w:rsidR="00675F9A" w:rsidRPr="00675F9A" w:rsidRDefault="00675F9A" w:rsidP="00613986">
      <w:pPr>
        <w:spacing w:after="120"/>
        <w:jc w:val="both"/>
        <w:rPr>
          <w:color w:val="000000" w:themeColor="text1"/>
          <w:lang w:val="pl-PL"/>
        </w:rPr>
      </w:pPr>
      <w:r w:rsidRPr="00675F9A">
        <w:rPr>
          <w:color w:val="000000" w:themeColor="text1"/>
          <w:lang w:val="pl-PL"/>
        </w:rPr>
        <w:t>Zamawiający zastrzega sobie prawo do sprawdzenia legalności dostawy bezpośrednio u polskiego przedstawiciela producenta w szczególności ważności i zakresu uprawnień licencyjnych oraz gwarancyjnych.</w:t>
      </w:r>
    </w:p>
    <w:p w:rsidR="00675F9A" w:rsidRPr="00675F9A" w:rsidRDefault="00675F9A" w:rsidP="00613986">
      <w:pPr>
        <w:spacing w:after="120"/>
        <w:jc w:val="both"/>
        <w:rPr>
          <w:lang w:val="pl-PL"/>
        </w:rPr>
      </w:pPr>
      <w:r w:rsidRPr="00675F9A">
        <w:rPr>
          <w:color w:val="000000" w:themeColor="text1"/>
          <w:lang w:val="pl-PL"/>
        </w:rPr>
        <w:t xml:space="preserve">Wszystkie urządzenia muszą być fabrycznie nowe. </w:t>
      </w:r>
      <w:r w:rsidRPr="00675F9A">
        <w:rPr>
          <w:rFonts w:eastAsia="Times New Roman" w:cs="Arial"/>
          <w:color w:val="000000" w:themeColor="text1"/>
          <w:lang w:val="pl-PL" w:eastAsia="pl-PL"/>
        </w:rPr>
        <w:t xml:space="preserve">Przed dostawą sprzęt musi być zarejestrowany przez producenta, bezpośrednio na Zamawiającego jako jedynego użytkownika po opuszczeniu fabryki. Jeśli producent nie prowadzi rejestracji sprzętu, to </w:t>
      </w:r>
      <w:r w:rsidR="00317685">
        <w:rPr>
          <w:rFonts w:eastAsia="Times New Roman" w:cs="Arial"/>
          <w:color w:val="000000" w:themeColor="text1"/>
          <w:lang w:val="pl-PL" w:eastAsia="pl-PL"/>
        </w:rPr>
        <w:t xml:space="preserve">na etapie odbioru sprzętu </w:t>
      </w:r>
      <w:r w:rsidRPr="00675F9A">
        <w:rPr>
          <w:rFonts w:eastAsia="Times New Roman" w:cs="Arial"/>
          <w:color w:val="000000" w:themeColor="text1"/>
          <w:lang w:val="pl-PL" w:eastAsia="pl-PL"/>
        </w:rPr>
        <w:t xml:space="preserve">wymaga się </w:t>
      </w:r>
      <w:r w:rsidR="00317685">
        <w:rPr>
          <w:rFonts w:eastAsia="Times New Roman" w:cs="Arial"/>
          <w:color w:val="000000" w:themeColor="text1"/>
          <w:lang w:val="pl-PL" w:eastAsia="pl-PL"/>
        </w:rPr>
        <w:t xml:space="preserve">od Wykonawcy </w:t>
      </w:r>
      <w:r w:rsidRPr="00675F9A">
        <w:rPr>
          <w:rFonts w:eastAsia="Times New Roman" w:cs="Arial"/>
          <w:color w:val="000000" w:themeColor="text1"/>
          <w:lang w:val="pl-PL" w:eastAsia="pl-PL"/>
        </w:rPr>
        <w:t xml:space="preserve">deklaracji producenta, iż sprzęt jest </w:t>
      </w:r>
      <w:r w:rsidRPr="00675F9A">
        <w:rPr>
          <w:rFonts w:eastAsia="Times New Roman" w:cs="Arial"/>
          <w:lang w:val="pl-PL" w:eastAsia="pl-PL"/>
        </w:rPr>
        <w:t>fabrycznie nowy.</w:t>
      </w:r>
      <w:r w:rsidR="00317685">
        <w:rPr>
          <w:rFonts w:eastAsia="Times New Roman" w:cs="Arial"/>
          <w:lang w:val="pl-PL" w:eastAsia="pl-PL"/>
        </w:rPr>
        <w:t xml:space="preserve"> </w:t>
      </w:r>
      <w:r w:rsidR="00317685">
        <w:t>Sprzęt musi pochodzć</w:t>
      </w:r>
      <w:r w:rsidR="00317685" w:rsidRPr="00317685">
        <w:t xml:space="preserve"> z polskiej dystrybucji.</w:t>
      </w:r>
    </w:p>
    <w:p w:rsidR="00675F9A" w:rsidRDefault="00675F9A" w:rsidP="00613986">
      <w:pPr>
        <w:spacing w:after="0"/>
        <w:jc w:val="both"/>
        <w:rPr>
          <w:rFonts w:eastAsia="Times New Roman" w:cs="Arial"/>
          <w:lang w:val="pl-PL" w:eastAsia="pl-PL"/>
        </w:rPr>
      </w:pPr>
      <w:r w:rsidRPr="00675F9A">
        <w:rPr>
          <w:lang w:val="pl-PL"/>
        </w:rPr>
        <w:t xml:space="preserve">Zamawiający może zażądać przed dostawą dokumentu zawierającego listę numerów seryjnych dostarczanego sprzętu w celu weryfikacji spełnienia warunków gwarancyjnych. </w:t>
      </w:r>
      <w:r w:rsidRPr="00675F9A">
        <w:rPr>
          <w:rFonts w:eastAsia="Times New Roman" w:cs="Arial"/>
          <w:lang w:val="pl-PL" w:eastAsia="pl-PL"/>
        </w:rPr>
        <w:t xml:space="preserve">Zamawiający sprawdzi spełnienie powyższych warunków w polskim biurze producenta na podstawie numeru seryjnego urządzenia – w przypadku niezgodności deklaracji Wykonawcy z opinią producenta </w:t>
      </w:r>
      <w:r w:rsidR="00B22F3B">
        <w:rPr>
          <w:rFonts w:eastAsia="Times New Roman" w:cs="Arial"/>
          <w:lang w:val="pl-PL" w:eastAsia="pl-PL"/>
        </w:rPr>
        <w:t>–</w:t>
      </w:r>
      <w:r w:rsidRPr="00675F9A">
        <w:rPr>
          <w:rFonts w:eastAsia="Times New Roman" w:cs="Arial"/>
          <w:lang w:val="pl-PL" w:eastAsia="pl-PL"/>
        </w:rPr>
        <w:t xml:space="preserve"> Zamawiający odmówi odbioru przedmiotu zamówienia, jako niezgodnego ze specyfikacją warunków zamówienia.</w:t>
      </w:r>
    </w:p>
    <w:p w:rsidR="00317685" w:rsidRPr="00675F9A" w:rsidRDefault="00317685" w:rsidP="00613986">
      <w:pPr>
        <w:spacing w:after="0"/>
        <w:jc w:val="both"/>
        <w:rPr>
          <w:lang w:val="pl-PL"/>
        </w:rPr>
      </w:pPr>
    </w:p>
    <w:sectPr w:rsidR="00317685" w:rsidRPr="00675F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078" w:rsidRDefault="00226078" w:rsidP="00D66E10">
      <w:pPr>
        <w:spacing w:after="0" w:line="240" w:lineRule="auto"/>
      </w:pPr>
      <w:r>
        <w:separator/>
      </w:r>
    </w:p>
  </w:endnote>
  <w:endnote w:type="continuationSeparator" w:id="0">
    <w:p w:rsidR="00226078" w:rsidRDefault="00226078" w:rsidP="00D6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RoundedMTforSE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486460"/>
      <w:docPartObj>
        <w:docPartGallery w:val="Page Numbers (Bottom of Page)"/>
        <w:docPartUnique/>
      </w:docPartObj>
    </w:sdtPr>
    <w:sdtEndPr/>
    <w:sdtContent>
      <w:p w:rsidR="008866FB" w:rsidRDefault="008866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685" w:rsidRPr="00317685">
          <w:rPr>
            <w:noProof/>
            <w:lang w:val="pl-PL"/>
          </w:rPr>
          <w:t>8</w:t>
        </w:r>
        <w:r>
          <w:fldChar w:fldCharType="end"/>
        </w:r>
      </w:p>
    </w:sdtContent>
  </w:sdt>
  <w:p w:rsidR="008866FB" w:rsidRDefault="00886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078" w:rsidRDefault="00226078" w:rsidP="00D66E10">
      <w:pPr>
        <w:spacing w:after="0" w:line="240" w:lineRule="auto"/>
      </w:pPr>
      <w:r>
        <w:separator/>
      </w:r>
    </w:p>
  </w:footnote>
  <w:footnote w:type="continuationSeparator" w:id="0">
    <w:p w:rsidR="00226078" w:rsidRDefault="00226078" w:rsidP="00D6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FF" w:rsidRPr="003432BA" w:rsidRDefault="002F48FF" w:rsidP="002F48FF">
    <w:pPr>
      <w:jc w:val="both"/>
      <w:rPr>
        <w:rFonts w:ascii="Arial" w:hAnsi="Arial" w:cs="Arial"/>
        <w:b/>
        <w:bCs/>
      </w:rPr>
    </w:pPr>
    <w:r w:rsidRPr="00BC2353">
      <w:rPr>
        <w:rFonts w:ascii="Arial" w:hAnsi="Arial" w:cs="Arial"/>
      </w:rPr>
      <w:t>N</w:t>
    </w:r>
    <w:r>
      <w:rPr>
        <w:rFonts w:ascii="Arial" w:hAnsi="Arial" w:cs="Arial"/>
      </w:rPr>
      <w:t>r sprawy 28</w:t>
    </w:r>
    <w:r w:rsidRPr="00BC2353">
      <w:rPr>
        <w:rFonts w:ascii="Arial" w:hAnsi="Arial" w:cs="Arial"/>
      </w:rPr>
      <w:t>/2023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1C75C1">
      <w:rPr>
        <w:rFonts w:ascii="Arial" w:hAnsi="Arial" w:cs="Arial"/>
        <w:b/>
        <w:bCs/>
      </w:rPr>
      <w:t>Załącznik nr 5</w:t>
    </w:r>
    <w:r w:rsidRPr="003432BA">
      <w:rPr>
        <w:rFonts w:ascii="Arial" w:hAnsi="Arial" w:cs="Arial"/>
        <w:b/>
        <w:bCs/>
      </w:rPr>
      <w:t xml:space="preserve"> do SWZ</w:t>
    </w:r>
  </w:p>
  <w:p w:rsidR="002F48FF" w:rsidRDefault="002F48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160A"/>
    <w:multiLevelType w:val="multilevel"/>
    <w:tmpl w:val="481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ECB"/>
    <w:multiLevelType w:val="hybridMultilevel"/>
    <w:tmpl w:val="17F6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53C68"/>
    <w:multiLevelType w:val="hybridMultilevel"/>
    <w:tmpl w:val="479A5786"/>
    <w:lvl w:ilvl="0" w:tplc="919A38E2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B308C"/>
    <w:multiLevelType w:val="hybridMultilevel"/>
    <w:tmpl w:val="47946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FA"/>
    <w:rsid w:val="00013770"/>
    <w:rsid w:val="0006155A"/>
    <w:rsid w:val="000B54C0"/>
    <w:rsid w:val="000C2AC3"/>
    <w:rsid w:val="000E5501"/>
    <w:rsid w:val="00120420"/>
    <w:rsid w:val="00192BF7"/>
    <w:rsid w:val="00196459"/>
    <w:rsid w:val="001C75C1"/>
    <w:rsid w:val="001F19B8"/>
    <w:rsid w:val="001F6BCD"/>
    <w:rsid w:val="0020796B"/>
    <w:rsid w:val="00226078"/>
    <w:rsid w:val="00230B5B"/>
    <w:rsid w:val="0025620A"/>
    <w:rsid w:val="00281A5C"/>
    <w:rsid w:val="002857C7"/>
    <w:rsid w:val="002B097A"/>
    <w:rsid w:val="002D651C"/>
    <w:rsid w:val="002E5BCC"/>
    <w:rsid w:val="002F48FF"/>
    <w:rsid w:val="0030622D"/>
    <w:rsid w:val="00313FD6"/>
    <w:rsid w:val="00317685"/>
    <w:rsid w:val="00345A2D"/>
    <w:rsid w:val="003D5204"/>
    <w:rsid w:val="003D5476"/>
    <w:rsid w:val="004037FA"/>
    <w:rsid w:val="00403824"/>
    <w:rsid w:val="0040590D"/>
    <w:rsid w:val="00426A64"/>
    <w:rsid w:val="0047048C"/>
    <w:rsid w:val="00485B15"/>
    <w:rsid w:val="004A5FC5"/>
    <w:rsid w:val="004C1A6B"/>
    <w:rsid w:val="004C78DA"/>
    <w:rsid w:val="0051363B"/>
    <w:rsid w:val="0055488E"/>
    <w:rsid w:val="005E6AEB"/>
    <w:rsid w:val="005F4F55"/>
    <w:rsid w:val="00613986"/>
    <w:rsid w:val="00621354"/>
    <w:rsid w:val="006252FB"/>
    <w:rsid w:val="00671E5B"/>
    <w:rsid w:val="00675F9A"/>
    <w:rsid w:val="00676A60"/>
    <w:rsid w:val="00692876"/>
    <w:rsid w:val="006B451C"/>
    <w:rsid w:val="006C57EC"/>
    <w:rsid w:val="006F6E6B"/>
    <w:rsid w:val="0080673F"/>
    <w:rsid w:val="00820A2E"/>
    <w:rsid w:val="008644AB"/>
    <w:rsid w:val="008866FB"/>
    <w:rsid w:val="00892BB6"/>
    <w:rsid w:val="008F6F9A"/>
    <w:rsid w:val="009133A4"/>
    <w:rsid w:val="009216EB"/>
    <w:rsid w:val="009319EE"/>
    <w:rsid w:val="00987F0B"/>
    <w:rsid w:val="009C6F5F"/>
    <w:rsid w:val="00A8008E"/>
    <w:rsid w:val="00A9689A"/>
    <w:rsid w:val="00A973CE"/>
    <w:rsid w:val="00AA1EBE"/>
    <w:rsid w:val="00AA4650"/>
    <w:rsid w:val="00AA6EE5"/>
    <w:rsid w:val="00AC36FF"/>
    <w:rsid w:val="00AE4814"/>
    <w:rsid w:val="00AF493F"/>
    <w:rsid w:val="00B07409"/>
    <w:rsid w:val="00B22F3B"/>
    <w:rsid w:val="00B31683"/>
    <w:rsid w:val="00B6131C"/>
    <w:rsid w:val="00B70694"/>
    <w:rsid w:val="00B76A1B"/>
    <w:rsid w:val="00B8596A"/>
    <w:rsid w:val="00B978EC"/>
    <w:rsid w:val="00BC1BD8"/>
    <w:rsid w:val="00BD14E2"/>
    <w:rsid w:val="00BD45F1"/>
    <w:rsid w:val="00BE1A68"/>
    <w:rsid w:val="00BF3444"/>
    <w:rsid w:val="00BF361A"/>
    <w:rsid w:val="00C02CD4"/>
    <w:rsid w:val="00C14E6D"/>
    <w:rsid w:val="00C179A8"/>
    <w:rsid w:val="00C65FE8"/>
    <w:rsid w:val="00C8376A"/>
    <w:rsid w:val="00C95D0D"/>
    <w:rsid w:val="00CA6CEE"/>
    <w:rsid w:val="00D124F7"/>
    <w:rsid w:val="00D32325"/>
    <w:rsid w:val="00D353B0"/>
    <w:rsid w:val="00D57E9A"/>
    <w:rsid w:val="00D66E10"/>
    <w:rsid w:val="00D8768E"/>
    <w:rsid w:val="00E16FA7"/>
    <w:rsid w:val="00E4063F"/>
    <w:rsid w:val="00E539C0"/>
    <w:rsid w:val="00E73E00"/>
    <w:rsid w:val="00E91742"/>
    <w:rsid w:val="00E9216F"/>
    <w:rsid w:val="00ED6643"/>
    <w:rsid w:val="00EF2318"/>
    <w:rsid w:val="00F034F9"/>
    <w:rsid w:val="00F50BDE"/>
    <w:rsid w:val="00F61DD4"/>
    <w:rsid w:val="00F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57C01"/>
  <w15:chartTrackingRefBased/>
  <w15:docId w15:val="{AD4B02ED-403B-4B15-8BD7-D0A4BF2B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E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F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F23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2318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675F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6F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F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F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F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F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6FB"/>
  </w:style>
  <w:style w:type="paragraph" w:styleId="Stopka">
    <w:name w:val="footer"/>
    <w:basedOn w:val="Normalny"/>
    <w:link w:val="StopkaZnak"/>
    <w:uiPriority w:val="99"/>
    <w:unhideWhenUsed/>
    <w:rsid w:val="0088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3694</Words>
  <Characters>22169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P.Weckwerth@zwik.szczecin.pl</Manager>
  <Company/>
  <LinksUpToDate>false</LinksUpToDate>
  <CharactersWithSpaces>25812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K.Nowakowski@zwik.szczecin.pl</dc:creator>
  <cp:keywords/>
  <dc:description/>
  <cp:lastModifiedBy>Agnieszka Skotnicka</cp:lastModifiedBy>
  <cp:revision>3</cp:revision>
  <cp:lastPrinted>2023-06-07T06:17:00Z</cp:lastPrinted>
  <dcterms:created xsi:type="dcterms:W3CDTF">2023-06-27T12:29:00Z</dcterms:created>
  <dcterms:modified xsi:type="dcterms:W3CDTF">2023-06-30T09:45:00Z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d3be33-4108-4738-9e07-d8656a181486_Enabled">
    <vt:lpwstr>true</vt:lpwstr>
  </property>
  <property fmtid="{D5CDD505-2E9C-101B-9397-08002B2CF9AE}" pid="3" name="MSIP_Label_dad3be33-4108-4738-9e07-d8656a181486_SetDate">
    <vt:lpwstr>2023-03-13T11:33:13Z</vt:lpwstr>
  </property>
  <property fmtid="{D5CDD505-2E9C-101B-9397-08002B2CF9AE}" pid="4" name="MSIP_Label_dad3be33-4108-4738-9e07-d8656a181486_Method">
    <vt:lpwstr>Privileged</vt:lpwstr>
  </property>
  <property fmtid="{D5CDD505-2E9C-101B-9397-08002B2CF9AE}" pid="5" name="MSIP_Label_dad3be33-4108-4738-9e07-d8656a181486_Name">
    <vt:lpwstr>Public No Visual Label</vt:lpwstr>
  </property>
  <property fmtid="{D5CDD505-2E9C-101B-9397-08002B2CF9AE}" pid="6" name="MSIP_Label_dad3be33-4108-4738-9e07-d8656a181486_SiteId">
    <vt:lpwstr>945c199a-83a2-4e80-9f8c-5a91be5752dd</vt:lpwstr>
  </property>
  <property fmtid="{D5CDD505-2E9C-101B-9397-08002B2CF9AE}" pid="7" name="MSIP_Label_dad3be33-4108-4738-9e07-d8656a181486_ActionId">
    <vt:lpwstr>a8dabb1f-d02b-491c-a9ee-8f847febb2bf</vt:lpwstr>
  </property>
  <property fmtid="{D5CDD505-2E9C-101B-9397-08002B2CF9AE}" pid="8" name="MSIP_Label_dad3be33-4108-4738-9e07-d8656a181486_ContentBits">
    <vt:lpwstr>0</vt:lpwstr>
  </property>
</Properties>
</file>