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B319" w14:textId="55F0FAD6"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971C3A">
        <w:rPr>
          <w:rFonts w:eastAsia="Times New Roman" w:cs="Calibri"/>
          <w:lang w:eastAsia="pl-PL"/>
        </w:rPr>
        <w:t>sprawy</w:t>
      </w:r>
      <w:r w:rsidRPr="00971C3A">
        <w:rPr>
          <w:rFonts w:eastAsia="Times New Roman" w:cs="Calibri"/>
          <w:b/>
          <w:bCs/>
          <w:lang w:eastAsia="pl-PL"/>
        </w:rPr>
        <w:t xml:space="preserve"> </w:t>
      </w:r>
      <w:r w:rsidRPr="00971C3A">
        <w:rPr>
          <w:rFonts w:eastAsia="MS Mincho" w:cs="Calibri"/>
          <w:b/>
          <w:lang w:eastAsia="pl-PL"/>
        </w:rPr>
        <w:t>IPP.271.</w:t>
      </w:r>
      <w:r w:rsidR="00CE5B9C">
        <w:rPr>
          <w:rFonts w:eastAsia="MS Mincho" w:cs="Calibri"/>
          <w:b/>
          <w:lang w:eastAsia="pl-PL"/>
        </w:rPr>
        <w:t>2</w:t>
      </w:r>
      <w:r w:rsidR="001D2699">
        <w:rPr>
          <w:rFonts w:eastAsia="MS Mincho" w:cs="Calibri"/>
          <w:b/>
          <w:lang w:eastAsia="pl-PL"/>
        </w:rPr>
        <w:t>5</w:t>
      </w:r>
      <w:r w:rsidR="00E47575" w:rsidRPr="00971C3A">
        <w:rPr>
          <w:rFonts w:eastAsia="MS Mincho" w:cs="Calibri"/>
          <w:b/>
          <w:lang w:eastAsia="pl-PL"/>
        </w:rPr>
        <w:t>.</w:t>
      </w:r>
      <w:r w:rsidRPr="00971C3A">
        <w:rPr>
          <w:rFonts w:eastAsia="MS Mincho" w:cs="Calibri"/>
          <w:b/>
          <w:lang w:eastAsia="pl-PL"/>
        </w:rPr>
        <w:t>202</w:t>
      </w:r>
      <w:r w:rsidR="00287957" w:rsidRPr="00971C3A">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proofErr w:type="spellStart"/>
      <w:r w:rsidR="00A0754F">
        <w:rPr>
          <w:rFonts w:eastAsia="MS Mincho" w:cs="Calibri"/>
          <w:color w:val="000000"/>
          <w:lang w:eastAsia="pl-PL"/>
        </w:rPr>
        <w:t>t.j</w:t>
      </w:r>
      <w:proofErr w:type="spellEnd"/>
      <w:r w:rsidR="00A0754F">
        <w:rPr>
          <w:rFonts w:eastAsia="MS Mincho" w:cs="Calibri"/>
          <w:color w:val="000000"/>
          <w:lang w:eastAsia="pl-PL"/>
        </w:rPr>
        <w:t xml:space="preserve">.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0F7BC302" w:rsidR="00B33615" w:rsidRPr="008D636B" w:rsidRDefault="003F2090" w:rsidP="008D636B">
      <w:pPr>
        <w:widowControl w:val="0"/>
        <w:numPr>
          <w:ilvl w:val="0"/>
          <w:numId w:val="33"/>
        </w:numPr>
        <w:spacing w:after="0" w:line="360" w:lineRule="auto"/>
        <w:ind w:left="284" w:hanging="284"/>
        <w:jc w:val="both"/>
        <w:rPr>
          <w:rFonts w:eastAsia="Times New Roman" w:cs="Calibri"/>
          <w:lang w:eastAsia="pl-PL"/>
        </w:rPr>
      </w:pPr>
      <w:r w:rsidRPr="008D636B">
        <w:rPr>
          <w:rFonts w:eastAsia="Times New Roman" w:cs="Calibri"/>
          <w:lang w:eastAsia="pl-PL"/>
        </w:rPr>
        <w:t xml:space="preserve">Zamawiający powierza, a Wykonawca przyjmuje do wykonania zamówienie publiczne, którego przedmiotem jest zadanie pn.: </w:t>
      </w:r>
      <w:r w:rsidR="006068EF" w:rsidRPr="008D636B">
        <w:rPr>
          <w:rFonts w:eastAsia="Times New Roman" w:cs="Calibri"/>
          <w:lang w:eastAsia="pl-PL"/>
        </w:rPr>
        <w:t>„</w:t>
      </w:r>
      <w:r w:rsidR="00CE5B9C" w:rsidRPr="008D636B">
        <w:rPr>
          <w:rFonts w:eastAsia="Times New Roman" w:cs="Calibri"/>
          <w:b/>
          <w:lang w:eastAsia="pl-PL"/>
        </w:rPr>
        <w:t>Wykonanie izolacji przeciwwilgociowej zabytkowego budynku Leśniczówki w Stryszawie</w:t>
      </w:r>
      <w:r w:rsidR="00E32575" w:rsidRPr="008D636B">
        <w:rPr>
          <w:rFonts w:eastAsia="Times New Roman" w:cs="Calibri"/>
          <w:b/>
          <w:lang w:eastAsia="pl-PL"/>
        </w:rPr>
        <w:t>”</w:t>
      </w:r>
      <w:r w:rsidR="00B33615" w:rsidRPr="008D636B">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4263BC77" w14:textId="77777777" w:rsidR="007265C0" w:rsidRPr="00091833" w:rsidRDefault="007265C0" w:rsidP="007265C0">
      <w:pPr>
        <w:pStyle w:val="Akapitzlist"/>
        <w:numPr>
          <w:ilvl w:val="0"/>
          <w:numId w:val="63"/>
        </w:numPr>
        <w:spacing w:after="200" w:line="360" w:lineRule="auto"/>
        <w:contextualSpacing/>
        <w:rPr>
          <w:rFonts w:ascii="Calibri" w:hAnsi="Calibri" w:cs="Calibri"/>
          <w:sz w:val="22"/>
        </w:rPr>
      </w:pPr>
      <w:r w:rsidRPr="00091833">
        <w:rPr>
          <w:rFonts w:ascii="Calibri" w:hAnsi="Calibri" w:cs="Calibri"/>
          <w:sz w:val="22"/>
        </w:rPr>
        <w:t>ROBOTY WEWNĘTRZNE W PIWNICY:</w:t>
      </w:r>
    </w:p>
    <w:p w14:paraId="07420676"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rozbiórka cokołów z płytek ceramicznych,</w:t>
      </w:r>
    </w:p>
    <w:p w14:paraId="0AFE9F8F"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skucie tynków do wysokości 1,5 m,</w:t>
      </w:r>
    </w:p>
    <w:p w14:paraId="653BD763"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w:t>
      </w:r>
    </w:p>
    <w:p w14:paraId="43C2D1C6"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odtworzenie tynków wraz z gruntowaniem i malowaniem farbą silikonową,</w:t>
      </w:r>
    </w:p>
    <w:p w14:paraId="23F6667C"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gruntowanie i malowanie sufitu.</w:t>
      </w:r>
    </w:p>
    <w:p w14:paraId="3EC65673" w14:textId="77777777" w:rsidR="007265C0" w:rsidRPr="00091833" w:rsidRDefault="007265C0" w:rsidP="007265C0">
      <w:pPr>
        <w:pStyle w:val="Akapitzlist"/>
        <w:numPr>
          <w:ilvl w:val="0"/>
          <w:numId w:val="63"/>
        </w:numPr>
        <w:spacing w:after="200" w:line="360" w:lineRule="auto"/>
        <w:contextualSpacing/>
        <w:rPr>
          <w:rFonts w:ascii="Calibri" w:hAnsi="Calibri" w:cs="Calibri"/>
          <w:sz w:val="22"/>
        </w:rPr>
      </w:pPr>
      <w:r w:rsidRPr="00091833">
        <w:rPr>
          <w:rFonts w:ascii="Calibri" w:hAnsi="Calibri" w:cs="Calibri"/>
          <w:sz w:val="22"/>
        </w:rPr>
        <w:t>ROBOTY WEWNETRZNE NA PARTERZE:</w:t>
      </w:r>
    </w:p>
    <w:p w14:paraId="59EF447B"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rozbiórka cokołów  z płytek ceramicznych,</w:t>
      </w:r>
    </w:p>
    <w:p w14:paraId="4B230032"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demontaż listew przyściennych,</w:t>
      </w:r>
    </w:p>
    <w:p w14:paraId="18CB4C04"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lastRenderedPageBreak/>
        <w:t>skucie tynków,</w:t>
      </w:r>
    </w:p>
    <w:p w14:paraId="4A3004BA"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w:t>
      </w:r>
    </w:p>
    <w:p w14:paraId="2F323427"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odtworzenie tynków,</w:t>
      </w:r>
    </w:p>
    <w:p w14:paraId="34079B2E"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odtworzenie cokolika z płytek,</w:t>
      </w:r>
    </w:p>
    <w:p w14:paraId="22D8F37A"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odtworzenie cokolika z listew drewnianych,</w:t>
      </w:r>
    </w:p>
    <w:p w14:paraId="780158E6"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zeskrobanie i zmycie starej farby na ścianach,</w:t>
      </w:r>
    </w:p>
    <w:p w14:paraId="66BC57A1"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gruntowanie ścian, wykonanie gładzi cementowo-wapiennych i malowanie ścian,</w:t>
      </w:r>
    </w:p>
    <w:p w14:paraId="627AA0DD"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wywiezienie i utylizacja gruzu.</w:t>
      </w:r>
    </w:p>
    <w:p w14:paraId="157A3546" w14:textId="77777777" w:rsidR="007265C0" w:rsidRPr="00091833" w:rsidRDefault="007265C0" w:rsidP="007265C0">
      <w:pPr>
        <w:pStyle w:val="Akapitzlist"/>
        <w:numPr>
          <w:ilvl w:val="0"/>
          <w:numId w:val="63"/>
        </w:numPr>
        <w:spacing w:after="200" w:line="360" w:lineRule="auto"/>
        <w:contextualSpacing/>
        <w:rPr>
          <w:rFonts w:ascii="Calibri" w:hAnsi="Calibri" w:cs="Calibri"/>
          <w:sz w:val="22"/>
        </w:rPr>
      </w:pPr>
      <w:r w:rsidRPr="00091833">
        <w:rPr>
          <w:rFonts w:ascii="Calibri" w:hAnsi="Calibri" w:cs="Calibri"/>
          <w:sz w:val="22"/>
        </w:rPr>
        <w:t>ROBOTY ZEWNĘTRZNE:</w:t>
      </w:r>
    </w:p>
    <w:p w14:paraId="0C5A82FE"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rozbiórka opaski z kostki betonowej,</w:t>
      </w:r>
    </w:p>
    <w:p w14:paraId="0760057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rozbiórka obrzeży wraz z ławami,</w:t>
      </w:r>
    </w:p>
    <w:p w14:paraId="09BE931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wykopu przy ścianach piwnic,</w:t>
      </w:r>
    </w:p>
    <w:p w14:paraId="6F1E235C"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oczyszczenie mechaniczne i zmycie ściany fundamentowej,</w:t>
      </w:r>
    </w:p>
    <w:p w14:paraId="723F753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 ścian piwnic,</w:t>
      </w:r>
    </w:p>
    <w:p w14:paraId="07815F8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proofErr w:type="spellStart"/>
      <w:r w:rsidRPr="00091833">
        <w:rPr>
          <w:rFonts w:ascii="Calibri" w:hAnsi="Calibri" w:cs="Calibri"/>
          <w:sz w:val="22"/>
        </w:rPr>
        <w:t>orapowanie</w:t>
      </w:r>
      <w:proofErr w:type="spellEnd"/>
      <w:r w:rsidRPr="00091833">
        <w:rPr>
          <w:rFonts w:ascii="Calibri" w:hAnsi="Calibri" w:cs="Calibri"/>
          <w:sz w:val="22"/>
        </w:rPr>
        <w:t xml:space="preserve"> ściany fundamentowej,</w:t>
      </w:r>
    </w:p>
    <w:p w14:paraId="093AAB11"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tynku zewnętrznego,</w:t>
      </w:r>
    </w:p>
    <w:p w14:paraId="2AC169A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izolacji przeciwwilgociowej  wraz z gruntowaniem i przyklejeniem siatki</w:t>
      </w:r>
    </w:p>
    <w:p w14:paraId="58FF8B54"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 xml:space="preserve">ocieplenie ścian </w:t>
      </w:r>
      <w:proofErr w:type="spellStart"/>
      <w:r w:rsidRPr="00091833">
        <w:rPr>
          <w:rFonts w:ascii="Calibri" w:hAnsi="Calibri" w:cs="Calibri"/>
          <w:sz w:val="22"/>
        </w:rPr>
        <w:t>styrodurem</w:t>
      </w:r>
      <w:proofErr w:type="spellEnd"/>
      <w:r w:rsidRPr="00091833">
        <w:rPr>
          <w:rFonts w:ascii="Calibri" w:hAnsi="Calibri" w:cs="Calibri"/>
          <w:sz w:val="22"/>
        </w:rPr>
        <w:t xml:space="preserve"> gr. 10 cm wraz z montażem siatki i folii kubełkowej,</w:t>
      </w:r>
    </w:p>
    <w:p w14:paraId="5E90F6EC"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zasypanie i zagęszczenie gruntem z wykopu,</w:t>
      </w:r>
    </w:p>
    <w:p w14:paraId="7A5D9AAA"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wywiezienie i utylizacja ziemi,</w:t>
      </w:r>
    </w:p>
    <w:p w14:paraId="74037147"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odtworzenie opaski wokół ścian piwnic z kostki oraz obrzeży na ławach,</w:t>
      </w:r>
    </w:p>
    <w:p w14:paraId="431DA502"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skucie tynków na cokole kamiennym,</w:t>
      </w:r>
    </w:p>
    <w:p w14:paraId="63500D13"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oczyszczenie powierzchni kamiennych,</w:t>
      </w:r>
    </w:p>
    <w:p w14:paraId="11127975"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spoinowanie okładziny z kamienia,</w:t>
      </w:r>
    </w:p>
    <w:p w14:paraId="0CCA320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uzupełnienie okładziny kamiennej,</w:t>
      </w:r>
    </w:p>
    <w:p w14:paraId="43EE1D0C"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 xml:space="preserve">malowanie  powierzchni kamiennych preparatem do </w:t>
      </w:r>
      <w:proofErr w:type="spellStart"/>
      <w:r w:rsidRPr="00091833">
        <w:rPr>
          <w:rFonts w:ascii="Calibri" w:hAnsi="Calibri" w:cs="Calibri"/>
          <w:sz w:val="22"/>
        </w:rPr>
        <w:t>hydrofobizacji</w:t>
      </w:r>
      <w:proofErr w:type="spellEnd"/>
      <w:r w:rsidRPr="00091833">
        <w:rPr>
          <w:rFonts w:ascii="Calibri" w:hAnsi="Calibri" w:cs="Calibri"/>
          <w:sz w:val="22"/>
        </w:rPr>
        <w:t>,</w:t>
      </w:r>
    </w:p>
    <w:p w14:paraId="20DD1B6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 ścian parteru</w:t>
      </w:r>
    </w:p>
    <w:p w14:paraId="5D71AB57"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skucie tynków zewnętrznych ponad cokołem,</w:t>
      </w:r>
    </w:p>
    <w:p w14:paraId="6CC70FC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odtworzenie tynku zewnętrznego wraz z gruntowaniem i malowaniem farbą silikatową</w:t>
      </w:r>
    </w:p>
    <w:p w14:paraId="2BB54A11"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wywiezienie i utylizacja gruzu.</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proofErr w:type="spellStart"/>
      <w:r w:rsidR="00E32575">
        <w:rPr>
          <w:rFonts w:eastAsia="Times New Roman" w:cs="Calibri"/>
          <w:lang w:eastAsia="pl-PL"/>
        </w:rPr>
        <w:t>t.j</w:t>
      </w:r>
      <w:proofErr w:type="spellEnd"/>
      <w:r w:rsidR="00E32575">
        <w:rPr>
          <w:rFonts w:eastAsia="Times New Roman" w:cs="Calibri"/>
          <w:lang w:eastAsia="pl-PL"/>
        </w:rPr>
        <w:t xml:space="preserve">.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w:t>
      </w:r>
      <w:proofErr w:type="spellStart"/>
      <w:r w:rsidR="00E32575">
        <w:rPr>
          <w:rFonts w:eastAsia="Times New Roman" w:cs="Calibri"/>
          <w:lang w:eastAsia="pl-PL"/>
        </w:rPr>
        <w:t>późn</w:t>
      </w:r>
      <w:proofErr w:type="spellEnd"/>
      <w:r w:rsidR="00E32575">
        <w:rPr>
          <w:rFonts w:eastAsia="Times New Roman" w:cs="Calibri"/>
          <w:lang w:eastAsia="pl-PL"/>
        </w:rPr>
        <w:t>.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w:t>
      </w:r>
      <w:r w:rsidRPr="00514DB7">
        <w:rPr>
          <w:rFonts w:eastAsia="MS Mincho" w:cs="Calibri"/>
        </w:rPr>
        <w:lastRenderedPageBreak/>
        <w:t xml:space="preserve">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proofErr w:type="spellStart"/>
      <w:r w:rsidRPr="00514DB7">
        <w:rPr>
          <w:rFonts w:cs="Calibri"/>
        </w:rPr>
        <w:t>t.j</w:t>
      </w:r>
      <w:proofErr w:type="spellEnd"/>
      <w:r w:rsidRPr="00514DB7">
        <w:rPr>
          <w:rFonts w:cs="Calibri"/>
        </w:rPr>
        <w:t>.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t>
      </w:r>
      <w:r w:rsidRPr="00514DB7">
        <w:rPr>
          <w:rFonts w:eastAsia="MS Mincho" w:cs="Calibri"/>
        </w:rPr>
        <w:lastRenderedPageBreak/>
        <w:t>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14:paraId="024C84F5" w14:textId="774BC26C"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lastRenderedPageBreak/>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305958B5" w:rsidR="003F2090" w:rsidRPr="001D2699" w:rsidRDefault="003F2090" w:rsidP="005F2F5E">
      <w:pPr>
        <w:widowControl w:val="0"/>
        <w:numPr>
          <w:ilvl w:val="0"/>
          <w:numId w:val="11"/>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zobowiązuje się wykonać przedmiot umowy w </w:t>
      </w:r>
      <w:r w:rsidRPr="001D2699">
        <w:rPr>
          <w:rFonts w:eastAsia="Times New Roman" w:cs="Calibri"/>
          <w:lang w:eastAsia="pl-PL"/>
        </w:rPr>
        <w:t>terminie</w:t>
      </w:r>
      <w:r w:rsidR="003049C3" w:rsidRPr="001D2699">
        <w:rPr>
          <w:rFonts w:eastAsia="Times New Roman" w:cs="Calibri"/>
          <w:b/>
          <w:bCs/>
          <w:lang w:eastAsia="pl-PL"/>
        </w:rPr>
        <w:t xml:space="preserve"> </w:t>
      </w:r>
      <w:r w:rsidR="00A74027" w:rsidRPr="001D2699">
        <w:rPr>
          <w:rFonts w:eastAsia="Times New Roman" w:cs="Calibri"/>
          <w:b/>
          <w:bCs/>
          <w:lang w:eastAsia="pl-PL"/>
        </w:rPr>
        <w:t>11</w:t>
      </w:r>
      <w:r w:rsidR="008D3715" w:rsidRPr="001D2699">
        <w:rPr>
          <w:rFonts w:eastAsia="Times New Roman" w:cs="Calibri"/>
          <w:b/>
          <w:lang w:eastAsia="pl-PL"/>
        </w:rPr>
        <w:t xml:space="preserve"> miesi</w:t>
      </w:r>
      <w:r w:rsidR="00A7569B" w:rsidRPr="001D2699">
        <w:rPr>
          <w:rFonts w:eastAsia="Times New Roman" w:cs="Calibri"/>
          <w:b/>
          <w:lang w:eastAsia="pl-PL"/>
        </w:rPr>
        <w:t xml:space="preserve">ęcy </w:t>
      </w:r>
      <w:r w:rsidR="008D3715" w:rsidRPr="001D2699">
        <w:rPr>
          <w:rFonts w:eastAsia="Times New Roman" w:cs="Calibri"/>
          <w:b/>
          <w:lang w:eastAsia="pl-PL"/>
        </w:rPr>
        <w:t>, tj. od dnia podpisania umowy do dnia ………..</w:t>
      </w:r>
      <w:r w:rsidR="00D90B52" w:rsidRPr="001D2699">
        <w:rPr>
          <w:rFonts w:eastAsia="Times New Roman" w:cs="Calibri"/>
          <w:b/>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562E9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lastRenderedPageBreak/>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44E74C52" w14:textId="66420144" w:rsidR="00E508F6" w:rsidRPr="009413C3" w:rsidRDefault="00E508F6"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E508F6">
        <w:rPr>
          <w:rFonts w:asciiTheme="minorHAnsi" w:hAnsiTheme="minorHAnsi" w:cstheme="minorHAnsi"/>
          <w:sz w:val="22"/>
        </w:rPr>
        <w:t>zastosowania klauzuli waloryzacyjnej o której mowa w § 8 umowy</w:t>
      </w:r>
      <w:r>
        <w:rPr>
          <w:rFonts w:asciiTheme="minorHAnsi" w:hAnsiTheme="minorHAnsi" w:cstheme="minorHAnsi"/>
          <w:sz w:val="22"/>
        </w:rPr>
        <w:t>.</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0E5F2D">
        <w:t>funkcjonalno</w:t>
      </w:r>
      <w:proofErr w:type="spellEnd"/>
      <w:r w:rsidRPr="000E5F2D">
        <w:t>–użytkowym.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lastRenderedPageBreak/>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w:t>
      </w:r>
      <w:proofErr w:type="spellStart"/>
      <w:r w:rsidRPr="003D4910">
        <w:t>Sekocenbud</w:t>
      </w:r>
      <w:proofErr w:type="spellEnd"/>
      <w:r w:rsidRPr="003D4910">
        <w:t xml:space="preserve">,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w:t>
      </w:r>
      <w:proofErr w:type="spellStart"/>
      <w:r w:rsidRPr="003D4910">
        <w:t>Sekocenbud</w:t>
      </w:r>
      <w:proofErr w:type="spellEnd"/>
      <w:r w:rsidRPr="003D4910">
        <w:t xml:space="preserve">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lastRenderedPageBreak/>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w:t>
      </w:r>
      <w:proofErr w:type="spellStart"/>
      <w:r w:rsidRPr="00514DB7">
        <w:rPr>
          <w:rFonts w:cs="Calibri"/>
        </w:rPr>
        <w:t>późn</w:t>
      </w:r>
      <w:proofErr w:type="spellEnd"/>
      <w:r w:rsidRPr="00514DB7">
        <w:rPr>
          <w:rFonts w:cs="Calibri"/>
        </w:rPr>
        <w:t>.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lastRenderedPageBreak/>
        <w:t xml:space="preserve">Wykonawca i zamawiający mogą wystąpić z wnioskiem o zmianę wysokości wynagrodzenia należnego wykonawcy w przypadku zmiany cen materiałów lub kosztów związanych z realizacją zamówienia zgodnie z art. 439 ustawy </w:t>
      </w:r>
      <w:proofErr w:type="spellStart"/>
      <w:r w:rsidRPr="00445078">
        <w:rPr>
          <w:rFonts w:asciiTheme="minorHAnsi" w:hAnsiTheme="minorHAnsi" w:cstheme="minorHAnsi"/>
          <w:sz w:val="22"/>
          <w:szCs w:val="22"/>
        </w:rPr>
        <w:t>Pzp</w:t>
      </w:r>
      <w:proofErr w:type="spellEnd"/>
      <w:r w:rsidRPr="00445078">
        <w:rPr>
          <w:rFonts w:asciiTheme="minorHAnsi" w:hAnsiTheme="minorHAnsi" w:cstheme="minorHAnsi"/>
          <w:sz w:val="22"/>
          <w:szCs w:val="22"/>
        </w:rPr>
        <w:t>.</w:t>
      </w:r>
    </w:p>
    <w:p w14:paraId="1E7D4CF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Ustala się następujące reguły dotyczące oceny zasadności wniosku o wprowadzenie zmian wysokości wynagrodzenia należnego wykonawcy w przypadku zmiany ceny materiałów lub kosztów związanych z</w:t>
      </w:r>
      <w:r>
        <w:rPr>
          <w:rFonts w:asciiTheme="minorHAnsi" w:hAnsiTheme="minorHAnsi" w:cstheme="minorHAnsi"/>
          <w:sz w:val="22"/>
          <w:szCs w:val="22"/>
        </w:rPr>
        <w:t> </w:t>
      </w:r>
      <w:r w:rsidRPr="00445078">
        <w:rPr>
          <w:rFonts w:asciiTheme="minorHAnsi" w:hAnsiTheme="minorHAnsi" w:cstheme="minorHAnsi"/>
          <w:sz w:val="22"/>
          <w:szCs w:val="22"/>
        </w:rPr>
        <w:t xml:space="preserve">realizacją zamówienia na podstawie art. 439 ustawy </w:t>
      </w:r>
      <w:proofErr w:type="spellStart"/>
      <w:r w:rsidRPr="00445078">
        <w:rPr>
          <w:rFonts w:asciiTheme="minorHAnsi" w:hAnsiTheme="minorHAnsi" w:cstheme="minorHAnsi"/>
          <w:sz w:val="22"/>
          <w:szCs w:val="22"/>
        </w:rPr>
        <w:t>Pzp</w:t>
      </w:r>
      <w:proofErr w:type="spellEnd"/>
      <w:r w:rsidRPr="00445078">
        <w:rPr>
          <w:rFonts w:asciiTheme="minorHAnsi" w:hAnsiTheme="minorHAnsi" w:cstheme="minorHAnsi"/>
          <w:sz w:val="22"/>
          <w:szCs w:val="22"/>
        </w:rPr>
        <w:t>:</w:t>
      </w:r>
    </w:p>
    <w:p w14:paraId="47FF7F98"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P</w:t>
      </w:r>
      <w:r w:rsidRPr="00445078">
        <w:rPr>
          <w:rFonts w:asciiTheme="minorHAnsi" w:hAnsiTheme="minorHAnsi" w:cstheme="minorHAnsi"/>
          <w:sz w:val="22"/>
          <w:szCs w:val="22"/>
        </w:rPr>
        <w:t>rzez zmianę ceny materiałów lub kosztów rozumie się wzrost odpowiednio cen lub kosztów, jak i</w:t>
      </w:r>
      <w:r>
        <w:rPr>
          <w:rFonts w:asciiTheme="minorHAnsi" w:hAnsiTheme="minorHAnsi" w:cstheme="minorHAnsi"/>
          <w:sz w:val="22"/>
          <w:szCs w:val="22"/>
        </w:rPr>
        <w:t> </w:t>
      </w:r>
      <w:r w:rsidRPr="00445078">
        <w:rPr>
          <w:rFonts w:asciiTheme="minorHAnsi" w:hAnsiTheme="minorHAnsi" w:cstheme="minorHAnsi"/>
          <w:sz w:val="22"/>
          <w:szCs w:val="22"/>
        </w:rPr>
        <w:t>ich obniżenie, względem ceny lub kosztu przyjętych w celu ustalenia wynagrodzenia wykonawcy zawartego w ofercie.</w:t>
      </w:r>
    </w:p>
    <w:p w14:paraId="2FCEC376"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S</w:t>
      </w:r>
      <w:r w:rsidRPr="00445078">
        <w:rPr>
          <w:rFonts w:asciiTheme="minorHAnsi" w:hAnsiTheme="minorHAnsi" w:cstheme="minorHAnsi"/>
          <w:sz w:val="22"/>
          <w:szCs w:val="22"/>
        </w:rPr>
        <w:t>trony umowy mogą wnieść żądanie zmiany wynagrodzenia w przypadku łącznego zaistnienia 2</w:t>
      </w:r>
      <w:r>
        <w:rPr>
          <w:rFonts w:asciiTheme="minorHAnsi" w:hAnsiTheme="minorHAnsi" w:cstheme="minorHAnsi"/>
          <w:sz w:val="22"/>
          <w:szCs w:val="22"/>
        </w:rPr>
        <w:t> </w:t>
      </w:r>
      <w:r w:rsidRPr="00445078">
        <w:rPr>
          <w:rFonts w:asciiTheme="minorHAnsi" w:hAnsiTheme="minorHAnsi" w:cstheme="minorHAnsi"/>
          <w:sz w:val="22"/>
          <w:szCs w:val="22"/>
        </w:rPr>
        <w:t>okoliczności:</w:t>
      </w:r>
    </w:p>
    <w:p w14:paraId="2A2D4628" w14:textId="77777777" w:rsidR="00FA4271" w:rsidRPr="001012C9"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 xml:space="preserve">ponad </w:t>
      </w:r>
      <w:r w:rsidRPr="00445078">
        <w:rPr>
          <w:rFonts w:asciiTheme="minorHAnsi" w:hAnsiTheme="minorHAnsi" w:cstheme="minorHAnsi"/>
          <w:b/>
          <w:bCs/>
          <w:color w:val="FF0000"/>
          <w:sz w:val="22"/>
          <w:szCs w:val="22"/>
        </w:rPr>
        <w:t>5</w:t>
      </w:r>
      <w:r w:rsidRPr="00445078">
        <w:rPr>
          <w:rFonts w:asciiTheme="minorHAnsi" w:hAnsiTheme="minorHAnsi" w:cstheme="minorHAnsi"/>
          <w:color w:val="000000"/>
          <w:sz w:val="22"/>
          <w:szCs w:val="22"/>
        </w:rPr>
        <w:t xml:space="preserve"> % wzrost lub obniżenie wskaźnika </w:t>
      </w:r>
      <w:bookmarkStart w:id="0" w:name="_Hlk149560349"/>
      <w:r w:rsidRPr="00445078">
        <w:rPr>
          <w:rFonts w:asciiTheme="minorHAnsi" w:hAnsiTheme="minorHAnsi" w:cstheme="minorHAnsi"/>
          <w:color w:val="000000"/>
          <w:sz w:val="22"/>
          <w:szCs w:val="22"/>
        </w:rPr>
        <w:t>GUS (</w:t>
      </w:r>
      <w:r w:rsidRPr="00BA231F">
        <w:rPr>
          <w:rFonts w:asciiTheme="minorHAnsi" w:hAnsiTheme="minorHAnsi" w:cstheme="minorHAnsi"/>
          <w:i/>
          <w:iCs/>
          <w:color w:val="000000"/>
          <w:sz w:val="22"/>
          <w:szCs w:val="22"/>
        </w:rPr>
        <w:t xml:space="preserve">produkcja budowlano-montażowa </w:t>
      </w:r>
      <w:r w:rsidRPr="00BA231F">
        <w:rPr>
          <w:rFonts w:asciiTheme="minorHAnsi" w:hAnsiTheme="minorHAnsi" w:cstheme="minorHAnsi"/>
          <w:i/>
          <w:iCs/>
          <w:color w:val="000000"/>
          <w:sz w:val="22"/>
          <w:szCs w:val="22"/>
          <w:lang w:val="pl-PL"/>
        </w:rPr>
        <w:t xml:space="preserve">– Budownictwo </w:t>
      </w:r>
      <w:r>
        <w:rPr>
          <w:rFonts w:asciiTheme="minorHAnsi" w:hAnsiTheme="minorHAnsi" w:cstheme="minorHAnsi"/>
          <w:color w:val="000000"/>
          <w:sz w:val="22"/>
          <w:szCs w:val="22"/>
          <w:lang w:val="pl-PL"/>
        </w:rPr>
        <w:t xml:space="preserve">- </w:t>
      </w:r>
      <w:r w:rsidRPr="00445078">
        <w:rPr>
          <w:rFonts w:asciiTheme="minorHAnsi" w:hAnsiTheme="minorHAnsi" w:cstheme="minorHAnsi"/>
          <w:color w:val="000000"/>
          <w:sz w:val="22"/>
          <w:szCs w:val="22"/>
        </w:rPr>
        <w:t xml:space="preserve">odczytywana w ujęciu miesięcznym ze strony: </w:t>
      </w:r>
      <w:hyperlink r:id="rId8" w:history="1">
        <w:r w:rsidRPr="00BA231F">
          <w:rPr>
            <w:rStyle w:val="Hipercze"/>
            <w:rFonts w:asciiTheme="minorHAnsi" w:hAnsiTheme="minorHAnsi" w:cstheme="minorHAnsi"/>
            <w:sz w:val="22"/>
            <w:szCs w:val="22"/>
          </w:rPr>
          <w:t>http://swaid.stat.gov.pl/Ceny_dashboards/Raporty_predefiniowane/RAP_DBD_CEN_30.aspx</w:t>
        </w:r>
      </w:hyperlink>
      <w:r w:rsidRPr="00445078">
        <w:rPr>
          <w:rFonts w:asciiTheme="minorHAnsi" w:hAnsiTheme="minorHAnsi" w:cstheme="minorHAnsi"/>
          <w:color w:val="000000"/>
          <w:sz w:val="22"/>
          <w:szCs w:val="22"/>
        </w:rPr>
        <w:t xml:space="preserve"> w</w:t>
      </w:r>
      <w:r>
        <w:rPr>
          <w:rFonts w:asciiTheme="minorHAnsi" w:hAnsiTheme="minorHAnsi" w:cstheme="minorHAnsi"/>
          <w:color w:val="000000"/>
          <w:sz w:val="22"/>
          <w:szCs w:val="22"/>
          <w:lang w:val="pl-PL"/>
        </w:rPr>
        <w:t> </w:t>
      </w:r>
      <w:r w:rsidRPr="00445078">
        <w:rPr>
          <w:rFonts w:asciiTheme="minorHAnsi" w:hAnsiTheme="minorHAnsi" w:cstheme="minorHAnsi"/>
          <w:color w:val="000000"/>
          <w:sz w:val="22"/>
          <w:szCs w:val="22"/>
        </w:rPr>
        <w:t xml:space="preserve">odniesieniu do cen z miesiąca zawarcia </w:t>
      </w:r>
      <w:r w:rsidRPr="001012C9">
        <w:rPr>
          <w:rFonts w:asciiTheme="minorHAnsi" w:hAnsiTheme="minorHAnsi" w:cstheme="minorHAnsi"/>
          <w:color w:val="000000"/>
          <w:sz w:val="22"/>
          <w:szCs w:val="22"/>
        </w:rPr>
        <w:t xml:space="preserve">umowy </w:t>
      </w:r>
      <w:bookmarkEnd w:id="0"/>
      <w:r w:rsidRPr="001012C9">
        <w:rPr>
          <w:rFonts w:asciiTheme="minorHAnsi" w:hAnsiTheme="minorHAnsi" w:cstheme="minorHAnsi"/>
          <w:color w:val="000000"/>
          <w:sz w:val="22"/>
          <w:szCs w:val="22"/>
        </w:rPr>
        <w:t>(</w:t>
      </w:r>
      <w:r w:rsidRPr="001012C9">
        <w:rPr>
          <w:rFonts w:asciiTheme="minorHAnsi" w:hAnsiTheme="minorHAnsi" w:cstheme="minorHAnsi"/>
          <w:color w:val="000000"/>
          <w:sz w:val="22"/>
          <w:szCs w:val="22"/>
          <w:lang w:val="pl-PL"/>
        </w:rPr>
        <w:t xml:space="preserve">wyjątek - </w:t>
      </w:r>
      <w:r w:rsidRPr="001012C9">
        <w:rPr>
          <w:rFonts w:asciiTheme="minorHAnsi" w:hAnsiTheme="minorHAnsi" w:cstheme="minorHAnsi"/>
          <w:color w:val="000000"/>
          <w:sz w:val="22"/>
          <w:szCs w:val="22"/>
        </w:rPr>
        <w:t>patrz pkt 5))</w:t>
      </w:r>
      <w:r w:rsidRPr="001012C9">
        <w:rPr>
          <w:rFonts w:asciiTheme="minorHAnsi" w:hAnsiTheme="minorHAnsi" w:cstheme="minorHAnsi"/>
          <w:color w:val="000000"/>
          <w:sz w:val="22"/>
          <w:szCs w:val="22"/>
          <w:lang w:val="pl-PL"/>
        </w:rPr>
        <w:t>.</w:t>
      </w:r>
    </w:p>
    <w:p w14:paraId="25E94087" w14:textId="77777777" w:rsidR="00FA4271" w:rsidRPr="00445078" w:rsidRDefault="00FA4271" w:rsidP="00FA4271">
      <w:pPr>
        <w:pStyle w:val="Akapitzlist"/>
        <w:spacing w:line="360" w:lineRule="auto"/>
        <w:ind w:left="1146"/>
        <w:rPr>
          <w:rFonts w:asciiTheme="minorHAnsi" w:hAnsiTheme="minorHAnsi" w:cstheme="minorHAnsi"/>
          <w:sz w:val="22"/>
          <w:szCs w:val="22"/>
          <w:lang w:val="pl-PL"/>
        </w:rPr>
      </w:pPr>
      <w:r w:rsidRPr="00445078">
        <w:rPr>
          <w:rFonts w:asciiTheme="minorHAnsi" w:hAnsiTheme="minorHAnsi" w:cstheme="minorHAnsi"/>
          <w:sz w:val="22"/>
          <w:szCs w:val="22"/>
        </w:rPr>
        <w:t>W przypadku gdy ww. wskaźniki GUS nie będą dostępne, to do obliczenia wskaźników niedostępnych przyjmuje się średnia arytmetyczną z ostatnich 3 dostępnych wskaźników</w:t>
      </w:r>
      <w:r>
        <w:rPr>
          <w:rFonts w:asciiTheme="minorHAnsi" w:hAnsiTheme="minorHAnsi" w:cstheme="minorHAnsi"/>
          <w:sz w:val="22"/>
          <w:szCs w:val="22"/>
          <w:lang w:val="pl-PL"/>
        </w:rPr>
        <w:t>,</w:t>
      </w:r>
    </w:p>
    <w:p w14:paraId="005D4646" w14:textId="77777777" w:rsidR="00FA4271" w:rsidRPr="00445078"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upływ co najmniej 6 miesięcy od terminu zawarcia umowy</w:t>
      </w:r>
      <w:r>
        <w:rPr>
          <w:rFonts w:asciiTheme="minorHAnsi" w:hAnsiTheme="minorHAnsi" w:cstheme="minorHAnsi"/>
          <w:color w:val="000000"/>
          <w:sz w:val="22"/>
          <w:szCs w:val="22"/>
          <w:lang w:val="pl-PL"/>
        </w:rPr>
        <w:t>.</w:t>
      </w:r>
    </w:p>
    <w:p w14:paraId="155DACFF"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Z</w:t>
      </w:r>
      <w:r w:rsidRPr="00445078">
        <w:rPr>
          <w:rFonts w:asciiTheme="minorHAnsi" w:hAnsiTheme="minorHAnsi" w:cstheme="minorHAnsi"/>
          <w:sz w:val="22"/>
          <w:szCs w:val="22"/>
        </w:rPr>
        <w:t>apis wzrost 5% oznacza zapis GUS: 105, a obniżenie 5% to 95 (100 to wartość poprzedniego okresu referencyjnego)</w:t>
      </w:r>
      <w:r>
        <w:rPr>
          <w:rFonts w:asciiTheme="minorHAnsi" w:hAnsiTheme="minorHAnsi" w:cstheme="minorHAnsi"/>
          <w:sz w:val="22"/>
          <w:szCs w:val="22"/>
        </w:rPr>
        <w:t>.</w:t>
      </w:r>
    </w:p>
    <w:p w14:paraId="45C263A4"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W przypadku zmiany adresu strony internetowej GUS, strony umowy uzgodnią analogiczne źródło danych, także w oparciu o serwis GUS.</w:t>
      </w:r>
    </w:p>
    <w:p w14:paraId="4D756AD7"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Jeżeli umowa zostanie zawarta po upływie 180 dni od dnia upływu terminu składania ofert, początkowym terminem ustalenia zmiany wynagrodzenia jest dzień otwarcia ofert.</w:t>
      </w:r>
    </w:p>
    <w:p w14:paraId="2C90AB7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b/>
          <w:bCs/>
          <w:sz w:val="22"/>
          <w:szCs w:val="22"/>
        </w:rPr>
        <w:t>Zmiana wynagrodzenia w trybie art. 439 ustawy obejmuje należności za świadczenia / roboty realizowane po ziszczeniu się przesłanki o której mowa w ust. 2 pkt 2)</w:t>
      </w:r>
      <w:r w:rsidRPr="00445078">
        <w:rPr>
          <w:rFonts w:asciiTheme="minorHAnsi" w:hAnsiTheme="minorHAnsi" w:cstheme="minorHAnsi"/>
          <w:sz w:val="22"/>
          <w:szCs w:val="22"/>
        </w:rPr>
        <w:t xml:space="preserve"> </w:t>
      </w:r>
      <w:r w:rsidRPr="00445078">
        <w:rPr>
          <w:rFonts w:asciiTheme="minorHAnsi" w:hAnsiTheme="minorHAnsi" w:cstheme="minorHAnsi"/>
          <w:b/>
          <w:bCs/>
          <w:sz w:val="22"/>
          <w:szCs w:val="22"/>
        </w:rPr>
        <w:t>co oznacza brak waloryzacji dla robót wykonanych w okresie przed wystąpieniem tej przesłanki</w:t>
      </w:r>
      <w:r w:rsidRPr="00445078">
        <w:rPr>
          <w:rFonts w:asciiTheme="minorHAnsi" w:hAnsiTheme="minorHAnsi" w:cstheme="minorHAnsi"/>
          <w:sz w:val="22"/>
          <w:szCs w:val="22"/>
        </w:rPr>
        <w:t>.</w:t>
      </w:r>
    </w:p>
    <w:p w14:paraId="34C9F802" w14:textId="1CFA1B9C"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51971">
        <w:rPr>
          <w:rFonts w:ascii="Calibri" w:hAnsi="Calibri" w:cs="Calibri"/>
          <w:color w:val="000000"/>
          <w:sz w:val="22"/>
          <w:szCs w:val="22"/>
        </w:rPr>
        <w:t xml:space="preserve">Wynagrodzenie raz zwaloryzowane nie podlega </w:t>
      </w:r>
      <w:r w:rsidRPr="00F51971">
        <w:rPr>
          <w:rFonts w:ascii="Calibri" w:hAnsi="Calibri" w:cs="Calibri"/>
          <w:sz w:val="22"/>
          <w:szCs w:val="22"/>
        </w:rPr>
        <w:t xml:space="preserve">kolejnej waloryzacji. </w:t>
      </w:r>
      <w:r w:rsidRPr="00F51971">
        <w:rPr>
          <w:rFonts w:ascii="Calibri" w:hAnsi="Calibri" w:cs="Calibri"/>
          <w:color w:val="000000"/>
          <w:sz w:val="22"/>
          <w:szCs w:val="22"/>
        </w:rPr>
        <w:t>(Uwaga – to oznacza</w:t>
      </w:r>
      <w:r>
        <w:rPr>
          <w:rFonts w:ascii="Calibri" w:hAnsi="Calibri" w:cs="Calibri"/>
          <w:color w:val="000000"/>
          <w:sz w:val="22"/>
          <w:szCs w:val="22"/>
        </w:rPr>
        <w:t>,</w:t>
      </w:r>
      <w:r w:rsidRPr="00F51971">
        <w:rPr>
          <w:rFonts w:ascii="Calibri" w:hAnsi="Calibri" w:cs="Calibri"/>
          <w:color w:val="000000"/>
          <w:sz w:val="22"/>
          <w:szCs w:val="22"/>
        </w:rPr>
        <w:t xml:space="preserve"> że gdy wystąpi kolejny okres waloryzacji to kolejne nowe ceny będą liczone na bazie cen z oferty a nie tych już waloryzowanych)</w:t>
      </w:r>
      <w:r>
        <w:rPr>
          <w:rFonts w:ascii="Calibri" w:hAnsi="Calibri" w:cs="Calibri"/>
          <w:color w:val="000000"/>
          <w:sz w:val="22"/>
          <w:szCs w:val="22"/>
        </w:rPr>
        <w:t>.</w:t>
      </w:r>
    </w:p>
    <w:p w14:paraId="03AED30A" w14:textId="77777777" w:rsidR="00FA4271" w:rsidRP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A4271">
        <w:rPr>
          <w:rFonts w:ascii="Calibri" w:hAnsi="Calibri" w:cs="Calibri"/>
          <w:color w:val="000000"/>
          <w:sz w:val="22"/>
          <w:szCs w:val="22"/>
        </w:rPr>
        <w:t>Zmiana wynagrodzenia nie może następować częściej niż 1 raz na 6 miesięcy. Każda następna zmiana jest obliczana analogicznie do zasad opisanych w ust. 6 – punktem początkowym dla obliczenia zmian cen jest termin zawarcia umowy z zastrzeżeniem ust. 2 pkt. 5).</w:t>
      </w:r>
    </w:p>
    <w:p w14:paraId="433C3952"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F51971">
        <w:rPr>
          <w:rFonts w:asciiTheme="minorHAnsi" w:hAnsiTheme="minorHAnsi" w:cstheme="minorHAnsi"/>
          <w:sz w:val="22"/>
          <w:szCs w:val="22"/>
        </w:rPr>
        <w:t>Obliczenie zmiany wynagrodzenia Wykonawcy dokonuje się  zgodnie z poniższymi wzorami:</w:t>
      </w:r>
    </w:p>
    <w:p w14:paraId="786FDB66"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rFonts w:asciiTheme="minorHAnsi" w:hAnsiTheme="minorHAnsi" w:cstheme="minorHAnsi"/>
          <w:b/>
          <w:bCs/>
          <w:sz w:val="22"/>
          <w:szCs w:val="22"/>
        </w:rPr>
        <w:lastRenderedPageBreak/>
        <w:t>Wzrost lub spadek</w:t>
      </w:r>
      <w:r w:rsidRPr="00F51971">
        <w:rPr>
          <w:rFonts w:asciiTheme="minorHAnsi" w:hAnsiTheme="minorHAnsi" w:cstheme="minorHAnsi"/>
          <w:sz w:val="22"/>
          <w:szCs w:val="22"/>
        </w:rPr>
        <w:t xml:space="preserve"> wskaźnika GUS ponad 5% (wzrost lub spadek wynagrodzenia)</w:t>
      </w:r>
    </w:p>
    <w:p w14:paraId="7640C55F"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noProof/>
        </w:rPr>
        <w:drawing>
          <wp:inline distT="0" distB="0" distL="0" distR="0" wp14:anchorId="0F7D660A" wp14:editId="58C04920">
            <wp:extent cx="6188710" cy="242570"/>
            <wp:effectExtent l="0" t="0" r="0" b="5080"/>
            <wp:docPr id="1404133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2570"/>
                    </a:xfrm>
                    <a:prstGeom prst="rect">
                      <a:avLst/>
                    </a:prstGeom>
                    <a:noFill/>
                    <a:ln>
                      <a:noFill/>
                    </a:ln>
                  </pic:spPr>
                </pic:pic>
              </a:graphicData>
            </a:graphic>
          </wp:inline>
        </w:drawing>
      </w:r>
    </w:p>
    <w:p w14:paraId="2DE0CE51" w14:textId="77777777" w:rsidR="00FA4271" w:rsidRPr="008C03BF"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b/>
          <w:bCs/>
        </w:rPr>
      </w:pPr>
      <m:oMathPara>
        <m:oMathParaPr>
          <m:jc m:val="center"/>
        </m:oMathParaPr>
        <m:oMath>
          <m:r>
            <m:rPr>
              <m:sty m:val="bi"/>
            </m:rPr>
            <w:rPr>
              <w:rFonts w:ascii="Cambria Math" w:hAnsi="Cambria Math" w:cstheme="minorHAnsi"/>
            </w:rPr>
            <m:t>B=A*</m:t>
          </m:r>
          <w:bookmarkStart w:id="1" w:name="_Hlk149811072"/>
          <m:r>
            <m:rPr>
              <m:sty m:val="bi"/>
            </m:rPr>
            <w:rPr>
              <w:rFonts w:ascii="Cambria Math" w:hAnsi="Cambria Math" w:cstheme="minorHAnsi"/>
            </w:rPr>
            <m:t>a</m:t>
          </m:r>
          <w:bookmarkEnd w:id="1"/>
          <m:r>
            <m:rPr>
              <m:sty m:val="bi"/>
            </m:rPr>
            <w:rPr>
              <w:rFonts w:ascii="Cambria Math" w:hAnsi="Cambria Math" w:cstheme="minorHAnsi"/>
            </w:rPr>
            <m:t>*</m:t>
          </m:r>
          <m:d>
            <m:dPr>
              <m:ctrlPr>
                <w:rPr>
                  <w:rFonts w:ascii="Cambria Math" w:hAnsi="Cambria Math" w:cstheme="minorHAnsi"/>
                  <w:b/>
                  <w:bCs/>
                  <w:i/>
                </w:rPr>
              </m:ctrlPr>
            </m:dPr>
            <m:e>
              <m:sSub>
                <m:sSubPr>
                  <m:ctrlPr>
                    <w:rPr>
                      <w:rFonts w:ascii="Cambria Math" w:hAnsi="Cambria Math" w:cstheme="minorHAnsi"/>
                      <w:b/>
                      <w:bCs/>
                      <w:i/>
                    </w:rPr>
                  </m:ctrlPr>
                </m:sSubPr>
                <m:e>
                  <m:r>
                    <m:rPr>
                      <m:sty m:val="bi"/>
                    </m:rPr>
                    <w:rPr>
                      <w:rFonts w:ascii="Cambria Math" w:hAnsi="Cambria Math" w:cstheme="minorHAnsi"/>
                    </w:rPr>
                    <m:t>W</m:t>
                  </m:r>
                </m:e>
                <m:sub>
                  <m:r>
                    <m:rPr>
                      <m:sty m:val="bi"/>
                    </m:rPr>
                    <w:rPr>
                      <w:rFonts w:ascii="Cambria Math" w:hAnsi="Cambria Math" w:cstheme="minorHAnsi"/>
                    </w:rPr>
                    <m:t>s</m:t>
                  </m:r>
                </m:sub>
              </m:sSub>
              <m:r>
                <m:rPr>
                  <m:sty m:val="bi"/>
                </m:rPr>
                <w:rPr>
                  <w:rFonts w:ascii="Cambria Math" w:hAnsi="Cambria Math" w:cstheme="minorHAnsi"/>
                </w:rPr>
                <m:t>-1</m:t>
              </m:r>
            </m:e>
          </m:d>
        </m:oMath>
      </m:oMathPara>
    </w:p>
    <w:p w14:paraId="2457B632" w14:textId="77777777" w:rsidR="00FA4271" w:rsidRPr="00264AC4" w:rsidRDefault="00FA4271" w:rsidP="00FA4271">
      <w:pPr>
        <w:spacing w:after="0" w:line="360" w:lineRule="auto"/>
        <w:ind w:left="426"/>
        <w:rPr>
          <w:rFonts w:asciiTheme="minorHAnsi" w:eastAsia="Times New Roman" w:hAnsiTheme="minorHAnsi" w:cstheme="minorHAnsi"/>
          <w:lang w:eastAsia="pl-PL"/>
        </w:rPr>
      </w:pPr>
      <w:r w:rsidRPr="00264AC4">
        <w:rPr>
          <w:rFonts w:asciiTheme="minorHAnsi" w:eastAsia="Times New Roman" w:hAnsiTheme="minorHAnsi" w:cstheme="minorHAnsi"/>
          <w:lang w:eastAsia="pl-PL"/>
        </w:rPr>
        <w:t xml:space="preserve">Gdzie: </w:t>
      </w:r>
    </w:p>
    <w:p w14:paraId="53F55B8D"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u w:val="single"/>
          <w:lang w:eastAsia="pl-PL"/>
        </w:rPr>
      </w:pPr>
      <w:r w:rsidRPr="00264AC4">
        <w:rPr>
          <w:rFonts w:ascii="Cambria Math" w:eastAsia="Times New Roman" w:hAnsi="Cambria Math" w:cstheme="minorHAnsi"/>
          <w:b/>
          <w:bCs/>
          <w:lang w:eastAsia="pl-PL"/>
        </w:rPr>
        <w:t>A</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wynagrodzenia podlegająca waloryzacji – oznacza to te faktury, które już są wystawione bądź będą wystawione za prace wykonane</w:t>
      </w:r>
      <w:r>
        <w:rPr>
          <w:rFonts w:asciiTheme="minorHAnsi" w:eastAsia="Times New Roman" w:hAnsiTheme="minorHAnsi" w:cstheme="minorHAnsi"/>
          <w:lang w:eastAsia="pl-PL"/>
        </w:rPr>
        <w:t xml:space="preserve"> </w:t>
      </w:r>
      <w:r w:rsidRPr="00264AC4">
        <w:rPr>
          <w:rFonts w:asciiTheme="minorHAnsi" w:eastAsia="Times New Roman" w:hAnsiTheme="minorHAnsi" w:cstheme="minorHAnsi"/>
          <w:lang w:eastAsia="pl-PL"/>
        </w:rPr>
        <w:t xml:space="preserve">w czasie dozwolonej waloryzacji. </w:t>
      </w:r>
      <w:r w:rsidRPr="00264AC4">
        <w:rPr>
          <w:rFonts w:asciiTheme="minorHAnsi" w:eastAsia="Times New Roman" w:hAnsiTheme="minorHAnsi" w:cstheme="minorHAnsi"/>
          <w:b/>
          <w:bCs/>
          <w:u w:val="single"/>
          <w:lang w:eastAsia="pl-PL"/>
        </w:rPr>
        <w:t>Kwota podlegająca waloryzacji musi być pomniejszona o wartość wynikającą z pkt. 4</w:t>
      </w:r>
      <w:r>
        <w:rPr>
          <w:rFonts w:asciiTheme="minorHAnsi" w:eastAsia="Times New Roman" w:hAnsiTheme="minorHAnsi" w:cstheme="minorHAnsi"/>
          <w:b/>
          <w:bCs/>
          <w:u w:val="single"/>
          <w:lang w:eastAsia="pl-PL"/>
        </w:rPr>
        <w:t>.</w:t>
      </w:r>
    </w:p>
    <w:p w14:paraId="06C623B1"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color w:val="000000"/>
          <w:lang w:eastAsia="pl-PL"/>
        </w:rPr>
      </w:pPr>
      <w:proofErr w:type="spellStart"/>
      <w:r w:rsidRPr="00264AC4">
        <w:rPr>
          <w:rFonts w:ascii="Cambria Math" w:eastAsia="Times New Roman" w:hAnsi="Cambria Math" w:cstheme="minorHAnsi"/>
          <w:b/>
          <w:bCs/>
          <w:lang w:eastAsia="pl-PL"/>
        </w:rPr>
        <w:t>W</w:t>
      </w:r>
      <w:r w:rsidRPr="00264AC4">
        <w:rPr>
          <w:rFonts w:asciiTheme="minorHAnsi" w:eastAsia="Times New Roman" w:hAnsiTheme="minorHAnsi" w:cstheme="minorHAnsi"/>
          <w:vertAlign w:val="subscript"/>
          <w:lang w:eastAsia="pl-PL"/>
        </w:rPr>
        <w:t>s</w:t>
      </w:r>
      <w:proofErr w:type="spellEnd"/>
      <w:r w:rsidRPr="00264AC4">
        <w:rPr>
          <w:rFonts w:asciiTheme="minorHAnsi" w:eastAsia="Times New Roman" w:hAnsiTheme="minorHAnsi" w:cstheme="minorHAnsi"/>
          <w:color w:val="000000"/>
          <w:lang w:eastAsia="pl-PL"/>
        </w:rPr>
        <w:t xml:space="preserve"> – </w:t>
      </w:r>
      <w:r>
        <w:rPr>
          <w:rFonts w:asciiTheme="minorHAnsi" w:eastAsia="Times New Roman" w:hAnsiTheme="minorHAnsi" w:cstheme="minorHAnsi"/>
          <w:color w:val="000000"/>
          <w:lang w:eastAsia="pl-PL"/>
        </w:rPr>
        <w:tab/>
      </w:r>
      <w:r w:rsidRPr="00264AC4">
        <w:rPr>
          <w:rFonts w:asciiTheme="minorHAnsi" w:eastAsia="Times New Roman" w:hAnsiTheme="minorHAnsi" w:cstheme="minorHAnsi"/>
          <w:color w:val="000000"/>
          <w:lang w:eastAsia="pl-PL"/>
        </w:rPr>
        <w:t xml:space="preserve">wskaźnik skumulowany GUS produkcji budowlano-montażowej, obliczony na podstawie wskaźników GUS miesięcznych </w:t>
      </w:r>
      <w:proofErr w:type="spellStart"/>
      <w:r w:rsidRPr="00264AC4">
        <w:rPr>
          <w:rFonts w:asciiTheme="minorHAnsi" w:eastAsia="Times New Roman" w:hAnsiTheme="minorHAnsi" w:cstheme="minorHAnsi"/>
          <w:lang w:eastAsia="pl-PL"/>
        </w:rPr>
        <w:t>W</w:t>
      </w:r>
      <w:r w:rsidRPr="00264AC4">
        <w:rPr>
          <w:rFonts w:asciiTheme="minorHAnsi" w:eastAsia="Times New Roman" w:hAnsiTheme="minorHAnsi" w:cstheme="minorHAnsi"/>
          <w:vertAlign w:val="subscript"/>
          <w:lang w:eastAsia="pl-PL"/>
        </w:rPr>
        <w:t>n</w:t>
      </w:r>
      <w:proofErr w:type="spellEnd"/>
      <w:r w:rsidRPr="00264AC4">
        <w:rPr>
          <w:rFonts w:asciiTheme="minorHAnsi" w:eastAsia="Times New Roman" w:hAnsiTheme="minorHAnsi" w:cstheme="minorHAnsi"/>
          <w:color w:val="000000"/>
          <w:lang w:eastAsia="pl-PL"/>
        </w:rPr>
        <w:t xml:space="preserve"> (za miesiące od zawarcia umowy)</w:t>
      </w:r>
      <w:r>
        <w:rPr>
          <w:rFonts w:asciiTheme="minorHAnsi" w:eastAsia="Times New Roman" w:hAnsiTheme="minorHAnsi" w:cstheme="minorHAnsi"/>
          <w:color w:val="000000"/>
          <w:lang w:eastAsia="pl-PL"/>
        </w:rPr>
        <w:t>.</w:t>
      </w:r>
    </w:p>
    <w:p w14:paraId="7A53ED40"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lang w:eastAsia="pl-PL"/>
        </w:rPr>
      </w:pPr>
      <w:r w:rsidRPr="00264AC4">
        <w:rPr>
          <w:rFonts w:ascii="Cambria Math" w:eastAsia="Times New Roman" w:hAnsi="Cambria Math" w:cstheme="minorHAnsi"/>
          <w:b/>
          <w:bCs/>
          <w:lang w:eastAsia="pl-PL"/>
        </w:rPr>
        <w:t>B</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zmiany wynagrodzenia</w:t>
      </w:r>
    </w:p>
    <w:p w14:paraId="00C1BA0C"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rPr>
      </w:pPr>
      <w:r w:rsidRPr="00264AC4">
        <w:rPr>
          <w:rFonts w:ascii="Apple Chancery" w:hAnsi="Apple Chancery" w:cstheme="minorHAnsi"/>
          <w:b/>
          <w:bCs/>
        </w:rPr>
        <w:t>a</w:t>
      </w:r>
      <w:r w:rsidRPr="00264AC4">
        <w:rPr>
          <w:rFonts w:asciiTheme="minorHAnsi" w:hAnsiTheme="minorHAnsi" w:cstheme="minorHAnsi"/>
        </w:rPr>
        <w:t xml:space="preserve"> – </w:t>
      </w:r>
      <w:r w:rsidRPr="00264AC4">
        <w:rPr>
          <w:rFonts w:asciiTheme="minorHAnsi" w:hAnsiTheme="minorHAnsi" w:cstheme="minorHAnsi"/>
        </w:rPr>
        <w:tab/>
      </w:r>
      <w:r w:rsidRPr="00264AC4">
        <w:rPr>
          <w:rFonts w:asciiTheme="minorHAnsi" w:eastAsia="Times New Roman" w:hAnsiTheme="minorHAnsi" w:cstheme="minorHAnsi"/>
          <w:lang w:eastAsia="pl-PL"/>
        </w:rPr>
        <w:t>stały</w:t>
      </w:r>
      <w:r w:rsidRPr="00264AC4">
        <w:rPr>
          <w:rFonts w:asciiTheme="minorHAnsi" w:hAnsiTheme="minorHAnsi" w:cstheme="minorHAnsi"/>
        </w:rPr>
        <w:t xml:space="preserve"> współczynnik o wartości </w:t>
      </w:r>
      <w:r w:rsidRPr="00264AC4">
        <w:rPr>
          <w:rFonts w:asciiTheme="minorHAnsi" w:hAnsiTheme="minorHAnsi" w:cstheme="minorHAnsi"/>
          <w:b/>
          <w:bCs/>
        </w:rPr>
        <w:t>0,8</w:t>
      </w:r>
      <w:r w:rsidRPr="00264AC4">
        <w:rPr>
          <w:rFonts w:asciiTheme="minorHAnsi" w:hAnsiTheme="minorHAnsi" w:cstheme="minorHAnsi"/>
        </w:rPr>
        <w:t xml:space="preserve"> korygujący wskaźnik GUS (podział ryzyka)</w:t>
      </w:r>
    </w:p>
    <w:p w14:paraId="230B1356"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Ł</w:t>
      </w:r>
      <w:r w:rsidRPr="00150854">
        <w:rPr>
          <w:rFonts w:asciiTheme="minorHAnsi" w:hAnsiTheme="minorHAnsi" w:cstheme="minorHAnsi"/>
          <w:sz w:val="22"/>
          <w:szCs w:val="22"/>
        </w:rPr>
        <w:t>ączna wartość zmiany wysokości wynagrodzenia (suma wszystkich B) Wykonawcy, dokonanych na</w:t>
      </w:r>
      <w:r>
        <w:rPr>
          <w:rFonts w:asciiTheme="minorHAnsi" w:hAnsiTheme="minorHAnsi" w:cstheme="minorHAnsi"/>
          <w:sz w:val="22"/>
          <w:szCs w:val="22"/>
        </w:rPr>
        <w:t> </w:t>
      </w:r>
      <w:r w:rsidRPr="00150854">
        <w:rPr>
          <w:rFonts w:asciiTheme="minorHAnsi" w:hAnsiTheme="minorHAnsi" w:cstheme="minorHAnsi"/>
          <w:sz w:val="22"/>
          <w:szCs w:val="22"/>
        </w:rPr>
        <w:t xml:space="preserve">podstawie art. 439 ustawy PZP nie może być wyższa niż </w:t>
      </w:r>
      <w:r w:rsidRPr="00C836E0">
        <w:rPr>
          <w:rFonts w:asciiTheme="minorHAnsi" w:hAnsiTheme="minorHAnsi" w:cstheme="minorHAnsi"/>
          <w:b/>
          <w:bCs/>
          <w:sz w:val="22"/>
          <w:szCs w:val="22"/>
        </w:rPr>
        <w:t>5%</w:t>
      </w:r>
      <w:r w:rsidRPr="00C836E0">
        <w:rPr>
          <w:rFonts w:asciiTheme="minorHAnsi" w:hAnsiTheme="minorHAnsi" w:cstheme="minorHAnsi"/>
          <w:sz w:val="22"/>
          <w:szCs w:val="22"/>
        </w:rPr>
        <w:t xml:space="preserve"> </w:t>
      </w:r>
      <w:r w:rsidRPr="00150854">
        <w:rPr>
          <w:rFonts w:asciiTheme="minorHAnsi" w:hAnsiTheme="minorHAnsi" w:cstheme="minorHAnsi"/>
          <w:sz w:val="22"/>
          <w:szCs w:val="22"/>
        </w:rPr>
        <w:t>w stosunku do pierwotnej wartości umowy</w:t>
      </w:r>
      <w:r>
        <w:rPr>
          <w:rFonts w:asciiTheme="minorHAnsi" w:hAnsiTheme="minorHAnsi" w:cstheme="minorHAnsi"/>
          <w:sz w:val="22"/>
          <w:szCs w:val="22"/>
        </w:rPr>
        <w:t>.</w:t>
      </w:r>
    </w:p>
    <w:p w14:paraId="1FDADD37"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powołująca się na swoje uprawnienie do zmiany wynagrodzenia winna wykazać wzrost ustalonego wskaźnika GUS w okresie od miesiąca, w którym została zawarta umowa do miesiąca w</w:t>
      </w:r>
      <w:r>
        <w:rPr>
          <w:rFonts w:asciiTheme="minorHAnsi" w:hAnsiTheme="minorHAnsi" w:cstheme="minorHAnsi"/>
          <w:sz w:val="22"/>
          <w:szCs w:val="22"/>
        </w:rPr>
        <w:t> </w:t>
      </w:r>
      <w:r w:rsidRPr="00150854">
        <w:rPr>
          <w:rFonts w:asciiTheme="minorHAnsi" w:hAnsiTheme="minorHAnsi" w:cstheme="minorHAnsi"/>
          <w:sz w:val="22"/>
          <w:szCs w:val="22"/>
        </w:rPr>
        <w:t>którym ziszcza się prawo do waloryzacji (ust. 2 pkt 2)</w:t>
      </w:r>
      <w:r>
        <w:rPr>
          <w:rFonts w:asciiTheme="minorHAnsi" w:hAnsiTheme="minorHAnsi" w:cstheme="minorHAnsi"/>
          <w:sz w:val="22"/>
          <w:szCs w:val="22"/>
        </w:rPr>
        <w:t>.</w:t>
      </w:r>
    </w:p>
    <w:p w14:paraId="2A65451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występująca o zmianę wynagrodzenia określi w swoim wniosku wpływ zmiany ceny materiałów lub kosztów na koszt wykonania zamówienia</w:t>
      </w:r>
      <w:r>
        <w:rPr>
          <w:rFonts w:asciiTheme="minorHAnsi" w:hAnsiTheme="minorHAnsi" w:cstheme="minorHAnsi"/>
          <w:sz w:val="22"/>
          <w:szCs w:val="22"/>
        </w:rPr>
        <w:t>.</w:t>
      </w:r>
    </w:p>
    <w:p w14:paraId="0A1899D1"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wnioskująca o zmianę wynagrodzenia składa pisemny wniosek w terminie do 14 dni od daty o</w:t>
      </w:r>
      <w:r>
        <w:rPr>
          <w:rFonts w:asciiTheme="minorHAnsi" w:hAnsiTheme="minorHAnsi" w:cstheme="minorHAnsi"/>
          <w:sz w:val="22"/>
          <w:szCs w:val="22"/>
        </w:rPr>
        <w:t> </w:t>
      </w:r>
      <w:r w:rsidRPr="00150854">
        <w:rPr>
          <w:rFonts w:asciiTheme="minorHAnsi" w:hAnsiTheme="minorHAnsi" w:cstheme="minorHAnsi"/>
          <w:sz w:val="22"/>
          <w:szCs w:val="22"/>
        </w:rPr>
        <w:t>której mowa w pkt 2) ust 2. lub daty kolejnej możliwej waloryzacji</w:t>
      </w:r>
      <w:r>
        <w:rPr>
          <w:rFonts w:asciiTheme="minorHAnsi" w:hAnsiTheme="minorHAnsi" w:cstheme="minorHAnsi"/>
          <w:sz w:val="22"/>
          <w:szCs w:val="22"/>
        </w:rPr>
        <w:t>.</w:t>
      </w:r>
    </w:p>
    <w:p w14:paraId="6CD19035"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odbierająca wniosek udzieli odpowiedzi w terminie 7 dni od daty otrzymania wniosku. Brak odpowiedzi oznacza milczącą akceptację.</w:t>
      </w:r>
    </w:p>
    <w:p w14:paraId="3E9644A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w:t>
      </w:r>
      <w:r w:rsidRPr="00150854">
        <w:rPr>
          <w:rFonts w:asciiTheme="minorHAnsi" w:hAnsiTheme="minorHAnsi" w:cstheme="minorHAnsi"/>
          <w:sz w:val="22"/>
          <w:szCs w:val="22"/>
        </w:rPr>
        <w:t>miana wynagrodzenia wymaga aneksu do umowy sporządzonego w formie pisemnej pod rygorem nieważności. Aneks zostanie zawarty w terminie 14 dni od daty odpowiedzi na wniosek lub od upływu terminu odpowiedzi na wniosek.</w:t>
      </w:r>
    </w:p>
    <w:p w14:paraId="25D591C4"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150854">
        <w:rPr>
          <w:rFonts w:asciiTheme="minorHAnsi" w:hAnsiTheme="minorHAnsi" w:cstheme="minorHAnsi"/>
          <w:b/>
          <w:bCs/>
          <w:sz w:val="22"/>
          <w:szCs w:val="22"/>
        </w:rPr>
        <w:t>Zamawiający dopuszcza składanie wniosków waloryzacyjnych tylko w trakcie trwania umowy, wszelkie wnioski waloryzacyjne złożone po zakończeniu umowy nie będą rozpatrywane przez zamawiającego.</w:t>
      </w:r>
    </w:p>
    <w:p w14:paraId="0D45DBC8" w14:textId="77777777" w:rsidR="00FA4271" w:rsidRPr="00150854"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Pr="00150854">
        <w:rPr>
          <w:rFonts w:asciiTheme="minorHAnsi" w:hAnsiTheme="minorHAnsi" w:cstheme="minorHAnsi"/>
          <w:sz w:val="22"/>
          <w:szCs w:val="22"/>
        </w:rPr>
        <w:t>ykonawca, którego wynagrodzenie zostało zmienione zgodnie z art. 439 ust 1 – 3 ustawy PZP, zobowiązany jest do zmiany wynagrodzenia przysługującego podwykonawcy, z którym zawarł umowę, w zakresie odpowiadającym zmianom cen materiałów lub kosztów dotyczących podwykonawcy, jeżeli łącznie spełnione są następujące warunki:</w:t>
      </w:r>
    </w:p>
    <w:p w14:paraId="4C0D3763" w14:textId="77777777" w:rsidR="00FA4271"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t>przedmiotem umowy są roboty budowlane lub usługi</w:t>
      </w:r>
      <w:r>
        <w:rPr>
          <w:rFonts w:asciiTheme="minorHAnsi" w:hAnsiTheme="minorHAnsi" w:cstheme="minorHAnsi"/>
          <w:sz w:val="22"/>
          <w:szCs w:val="22"/>
        </w:rPr>
        <w:t>,</w:t>
      </w:r>
    </w:p>
    <w:p w14:paraId="32129F7E" w14:textId="77777777" w:rsidR="00FA4271" w:rsidRPr="00150854"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lastRenderedPageBreak/>
        <w:t>okres obowiązywania umowy przekracza 6 miesięcy.</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proofErr w:type="spellStart"/>
      <w:r w:rsidRPr="00A6782C">
        <w:rPr>
          <w:rFonts w:ascii="Calibri" w:hAnsi="Calibri" w:cs="Calibri"/>
          <w:sz w:val="22"/>
          <w:szCs w:val="22"/>
        </w:rPr>
        <w:t>adne</w:t>
      </w:r>
      <w:proofErr w:type="spellEnd"/>
      <w:r w:rsidRPr="00A6782C">
        <w:rPr>
          <w:rFonts w:ascii="Calibri" w:hAnsi="Calibri" w:cs="Calibri"/>
          <w:sz w:val="22"/>
          <w:szCs w:val="22"/>
        </w:rPr>
        <w:t xml:space="preserv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 xml:space="preserve">Wykonawca stosować się będzie do ustawowych ograniczeń obciążenia na oś przy transporcie </w:t>
      </w:r>
      <w:r w:rsidRPr="00A6782C">
        <w:rPr>
          <w:rFonts w:ascii="Calibri" w:hAnsi="Calibri" w:cs="Calibri"/>
          <w:sz w:val="22"/>
          <w:szCs w:val="22"/>
        </w:rPr>
        <w:lastRenderedPageBreak/>
        <w:t>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Dz. U. z 202</w:t>
      </w:r>
      <w:r w:rsidR="00B47B09">
        <w:rPr>
          <w:rFonts w:cs="Calibri"/>
        </w:rPr>
        <w:t>2</w:t>
      </w:r>
      <w:r w:rsidRPr="00514DB7">
        <w:rPr>
          <w:rFonts w:cs="Calibri"/>
        </w:rPr>
        <w:t xml:space="preserve"> r., poz. </w:t>
      </w:r>
      <w:r w:rsidR="00B47B09">
        <w:rPr>
          <w:rFonts w:cs="Calibri"/>
        </w:rPr>
        <w:t xml:space="preserve">2556 z </w:t>
      </w:r>
      <w:proofErr w:type="spellStart"/>
      <w:r w:rsidR="00B47B09">
        <w:rPr>
          <w:rFonts w:cs="Calibri"/>
        </w:rPr>
        <w:t>późn</w:t>
      </w:r>
      <w:proofErr w:type="spellEnd"/>
      <w:r w:rsidR="00B47B09">
        <w:rPr>
          <w:rFonts w:cs="Calibri"/>
        </w:rPr>
        <w:t>.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lastRenderedPageBreak/>
        <w:t xml:space="preserve">informowania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092BCB69" w14:textId="77777777" w:rsidR="008D636B" w:rsidRPr="008D636B" w:rsidRDefault="008D636B" w:rsidP="008D636B">
      <w:pPr>
        <w:widowControl w:val="0"/>
        <w:numPr>
          <w:ilvl w:val="0"/>
          <w:numId w:val="17"/>
        </w:numPr>
        <w:autoSpaceDE w:val="0"/>
        <w:autoSpaceDN w:val="0"/>
        <w:adjustRightInd w:val="0"/>
        <w:spacing w:after="0" w:line="360" w:lineRule="auto"/>
        <w:jc w:val="both"/>
        <w:rPr>
          <w:rFonts w:cs="Calibri"/>
          <w:b/>
          <w:bCs/>
        </w:rPr>
      </w:pPr>
      <w:r w:rsidRPr="008D636B">
        <w:rPr>
          <w:rFonts w:cs="Calibri"/>
          <w:b/>
          <w:bCs/>
        </w:rPr>
        <w:t xml:space="preserve">W ramach przedmiotu zamówienia Wykonawca zobowiązany jest do prowadzenia dokumentacji </w:t>
      </w:r>
      <w:r w:rsidRPr="008D636B">
        <w:rPr>
          <w:rFonts w:cs="Calibri"/>
          <w:b/>
          <w:bCs/>
        </w:rPr>
        <w:lastRenderedPageBreak/>
        <w:t>przebiegu wskazanych w pozwoleniu robót w sposób umożliwiający jednoznaczną i dokładną lokalizacje przestrzenną wszystkich czynności, użytych materiałów oraz dokonanych odkryć.</w:t>
      </w:r>
    </w:p>
    <w:p w14:paraId="702740C0" w14:textId="407234A9" w:rsidR="008D636B" w:rsidRPr="008D636B" w:rsidRDefault="008D636B" w:rsidP="008D636B">
      <w:pPr>
        <w:widowControl w:val="0"/>
        <w:autoSpaceDE w:val="0"/>
        <w:autoSpaceDN w:val="0"/>
        <w:adjustRightInd w:val="0"/>
        <w:spacing w:after="0" w:line="360" w:lineRule="auto"/>
        <w:ind w:left="786"/>
        <w:jc w:val="both"/>
        <w:rPr>
          <w:rFonts w:cs="Calibri"/>
          <w:b/>
          <w:bCs/>
        </w:rPr>
      </w:pPr>
      <w:r w:rsidRPr="008D636B">
        <w:rPr>
          <w:rFonts w:cs="Calibri"/>
          <w:b/>
          <w:bCs/>
        </w:rPr>
        <w:t>Wobec powyższego Wykonawca wykona trz</w:t>
      </w:r>
      <w:r>
        <w:rPr>
          <w:rFonts w:cs="Calibri"/>
          <w:b/>
          <w:bCs/>
        </w:rPr>
        <w:t>y</w:t>
      </w:r>
      <w:r w:rsidRPr="008D636B">
        <w:rPr>
          <w:rFonts w:cs="Calibri"/>
          <w:b/>
          <w:bCs/>
        </w:rPr>
        <w:t xml:space="preserve"> egzemplarz</w:t>
      </w:r>
      <w:r>
        <w:rPr>
          <w:rFonts w:cs="Calibri"/>
          <w:b/>
          <w:bCs/>
        </w:rPr>
        <w:t>e</w:t>
      </w:r>
      <w:r w:rsidRPr="008D636B">
        <w:rPr>
          <w:rFonts w:cs="Calibri"/>
          <w:b/>
          <w:bCs/>
        </w:rPr>
        <w:t xml:space="preserve"> dokumentacji powykonawczej, opracowanej przez osobę odpowiedzialną za wykonanie robót budowlanych zgodnie z przepisami ustawy prawo budowlane obrazującej przebieg wskazanych w pozwoleniu robót w sposób umożliwiający jednoznaczną i dokładną lokalizację przestrzenną wszystkich czynności, użytych materiałów oraz dokonanych odkryć, oraz zawierającej określenie sposobu postępowania z zabytkiem po zakończeniu wskazanych w pozwoleniu robót budowlanych.</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6FC64542" w14:textId="6FB58D8C" w:rsidR="003F2090" w:rsidRPr="00514DB7" w:rsidRDefault="004E2F51"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Pr>
          <w:rFonts w:ascii="Calibri" w:hAnsi="Calibri" w:cs="Calibri"/>
          <w:sz w:val="22"/>
          <w:szCs w:val="22"/>
        </w:rPr>
        <w:t xml:space="preserve"> oraz</w:t>
      </w:r>
      <w:r>
        <w:rPr>
          <w:rFonts w:ascii="Calibri" w:hAnsi="Calibri" w:cs="Calibri"/>
          <w:sz w:val="22"/>
          <w:szCs w:val="22"/>
          <w:lang w:val="pl-PL"/>
        </w:rPr>
        <w:t> </w:t>
      </w:r>
      <w:r w:rsidRPr="00514DB7">
        <w:rPr>
          <w:rFonts w:ascii="Calibri" w:hAnsi="Calibri" w:cs="Calibri"/>
          <w:sz w:val="22"/>
          <w:szCs w:val="22"/>
        </w:rPr>
        <w:t>innych dokumentów związanych z przedmiotem</w:t>
      </w:r>
      <w:r>
        <w:rPr>
          <w:rFonts w:ascii="Calibri" w:hAnsi="Calibri" w:cs="Calibri"/>
          <w:sz w:val="22"/>
          <w:szCs w:val="22"/>
        </w:rPr>
        <w:t xml:space="preserve"> odbioru</w:t>
      </w:r>
      <w:r>
        <w:rPr>
          <w:rFonts w:ascii="Calibri" w:hAnsi="Calibri" w:cs="Calibri"/>
          <w:sz w:val="22"/>
          <w:szCs w:val="22"/>
          <w:lang w:val="pl-PL"/>
        </w:rPr>
        <w:t xml:space="preserve"> umożliwiających oddanie do użytkowania inwestycji zgodnie z przepisami ustawy Prawo budowlane</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29E66380"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lastRenderedPageBreak/>
        <w:t xml:space="preserve">Wykonawca zobowiązany jest zapewnić wykonanie i kierowanie robotami specjalistycznymi objętymi umową przez osoby posiadające stosowne kwalifikacje zawodowe i uprawnienia budowlane wymagane przepisami obowiązującego prawa. </w:t>
      </w:r>
    </w:p>
    <w:p w14:paraId="0683EEEF"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zobowiązuje się skierować do kierowania robotami personel wskazany przez Wykonawcę w ofercie Wykonawcy. Przed podpisaniem umowy Wykonawca zobowiązany jest przedstawić dokumenty, potwierdzające posiadanie przez osoby wskazane w ust. </w:t>
      </w:r>
      <w:r>
        <w:rPr>
          <w:rFonts w:eastAsia="Lucida Sans Unicode" w:cs="Calibri"/>
          <w:kern w:val="1"/>
        </w:rPr>
        <w:t>8</w:t>
      </w:r>
      <w:r w:rsidRPr="00AB4B11">
        <w:rPr>
          <w:rFonts w:eastAsia="Lucida Sans Unicode" w:cs="Calibri"/>
          <w:kern w:val="1"/>
        </w:rPr>
        <w:t xml:space="preserve"> wymaganych uprawnień. </w:t>
      </w:r>
    </w:p>
    <w:p w14:paraId="0E71FA9A"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Warunków Zamówienia. </w:t>
      </w:r>
    </w:p>
    <w:p w14:paraId="45A7AD21"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 </w:t>
      </w:r>
    </w:p>
    <w:p w14:paraId="4CA993E5"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osoby w przypadku sytuacji losowych jak śmierć, nagła choroba lub inne obiektywnie nieprzewidywalne zdarzenie, 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rFonts w:eastAsia="Lucida Sans Unicode" w:cs="Calibri"/>
          <w:kern w:val="1"/>
        </w:rPr>
        <w:t>.</w:t>
      </w:r>
      <w:r w:rsidRPr="00AB4B11">
        <w:rPr>
          <w:rFonts w:eastAsia="Lucida Sans Unicode" w:cs="Calibri"/>
          <w:kern w:val="1"/>
        </w:rPr>
        <w:t xml:space="preserve"> 3 dotyczące kwalifikacji osoby zastępującej. </w:t>
      </w:r>
    </w:p>
    <w:p w14:paraId="209B87EB"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Zaakceptowana przez Zamawiającego zmiana osoby, o której mowa w ust. 1, winna być potwierdzona wpisem do dziennika budowy. </w:t>
      </w:r>
    </w:p>
    <w:p w14:paraId="09BA000A" w14:textId="77777777" w:rsidR="00A74027"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Skierowanie do kierowania robotami in</w:t>
      </w:r>
      <w:r>
        <w:rPr>
          <w:rFonts w:eastAsia="Lucida Sans Unicode" w:cs="Calibri"/>
          <w:kern w:val="1"/>
        </w:rPr>
        <w:t>nych osób niż osoba wskazane w o</w:t>
      </w:r>
      <w:r w:rsidRPr="00AB4B11">
        <w:rPr>
          <w:rFonts w:eastAsia="Lucida Sans Unicode" w:cs="Calibri"/>
          <w:kern w:val="1"/>
        </w:rPr>
        <w:t xml:space="preserve">fercie Wykonawcy bez akceptacji Zamawiającego lub po zakwestionowaniu zmiany osoby stanowi podstawę odstąpienia od umowy przez Zamawiającego z winy Wykonawcy. </w:t>
      </w:r>
    </w:p>
    <w:p w14:paraId="3FA045EA" w14:textId="77777777" w:rsidR="00A74027" w:rsidRPr="000668FE"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0668FE">
        <w:rPr>
          <w:rFonts w:eastAsia="Lucida Sans Unicode" w:cs="Calibri"/>
          <w:kern w:val="1"/>
        </w:rPr>
        <w:t xml:space="preserve">Wykonawca do pełnienia funkcji specjalistów ustanawia następujące osoby: </w:t>
      </w:r>
    </w:p>
    <w:p w14:paraId="02A70A63" w14:textId="77777777" w:rsidR="00A74027" w:rsidRPr="00AB4B11" w:rsidRDefault="00A74027" w:rsidP="00A74027">
      <w:pPr>
        <w:pStyle w:val="Akapitzlist"/>
        <w:widowControl w:val="0"/>
        <w:numPr>
          <w:ilvl w:val="0"/>
          <w:numId w:val="59"/>
        </w:numPr>
        <w:suppressAutoHyphens/>
        <w:spacing w:line="360" w:lineRule="auto"/>
        <w:ind w:left="709" w:hanging="425"/>
        <w:jc w:val="both"/>
        <w:rPr>
          <w:rFonts w:asciiTheme="minorHAnsi" w:eastAsia="Lucida Sans Unicode" w:hAnsiTheme="minorHAnsi" w:cstheme="minorHAnsi"/>
          <w:kern w:val="1"/>
          <w:sz w:val="22"/>
          <w:szCs w:val="22"/>
        </w:rPr>
      </w:pPr>
      <w:r w:rsidRPr="00AB4B11">
        <w:rPr>
          <w:rFonts w:asciiTheme="minorHAnsi" w:eastAsia="Lucida Sans Unicode" w:hAnsiTheme="minorHAnsi" w:cstheme="minorHAnsi"/>
          <w:kern w:val="1"/>
          <w:sz w:val="22"/>
          <w:szCs w:val="22"/>
        </w:rPr>
        <w:t xml:space="preserve">jako Kierownika Budowy – </w:t>
      </w:r>
      <w:r w:rsidRPr="00AB4B11">
        <w:rPr>
          <w:rFonts w:asciiTheme="minorHAnsi" w:eastAsia="Lucida Sans Unicode" w:hAnsiTheme="minorHAnsi" w:cstheme="minorHAnsi"/>
          <w:b/>
          <w:kern w:val="1"/>
          <w:sz w:val="22"/>
          <w:szCs w:val="22"/>
        </w:rPr>
        <w:t xml:space="preserve">P. </w:t>
      </w:r>
      <w:r>
        <w:rPr>
          <w:rFonts w:asciiTheme="minorHAnsi" w:eastAsia="Lucida Sans Unicode" w:hAnsiTheme="minorHAnsi" w:cstheme="minorHAnsi"/>
          <w:b/>
          <w:kern w:val="1"/>
          <w:sz w:val="22"/>
          <w:szCs w:val="22"/>
          <w:lang w:val="pl-PL"/>
        </w:rPr>
        <w:t>………………………………..</w:t>
      </w:r>
    </w:p>
    <w:p w14:paraId="17E18D2E"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Osoby wskazane w ust.</w:t>
      </w:r>
      <w:r>
        <w:rPr>
          <w:rFonts w:eastAsia="Lucida Sans Unicode" w:cs="Calibri"/>
          <w:kern w:val="1"/>
        </w:rPr>
        <w:t xml:space="preserve"> 8</w:t>
      </w:r>
      <w:r w:rsidRPr="00AB4B11">
        <w:rPr>
          <w:rFonts w:eastAsia="Lucida Sans Unicode" w:cs="Calibri"/>
          <w:kern w:val="1"/>
        </w:rPr>
        <w:t xml:space="preserve"> są osobami wskazanymi w ofercie Wykonawcy. </w:t>
      </w:r>
    </w:p>
    <w:p w14:paraId="42F1E7BE" w14:textId="77777777" w:rsidR="00A74027"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którejkolwiek z osób, o których mowa w ust.</w:t>
      </w:r>
      <w:r>
        <w:rPr>
          <w:rFonts w:eastAsia="Lucida Sans Unicode" w:cs="Calibri"/>
          <w:kern w:val="1"/>
        </w:rPr>
        <w:t xml:space="preserve"> 8</w:t>
      </w:r>
      <w:r w:rsidRPr="00AB4B11">
        <w:rPr>
          <w:rFonts w:eastAsia="Lucida Sans Unicode" w:cs="Calibri"/>
          <w:kern w:val="1"/>
        </w:rPr>
        <w:t xml:space="preserve"> nie wymaga aneksu do niniejszej umowy.</w:t>
      </w:r>
    </w:p>
    <w:p w14:paraId="5554292E" w14:textId="77777777" w:rsidR="00A74027" w:rsidRPr="007E4E86"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7E4E86">
        <w:rPr>
          <w:rFonts w:eastAsia="Lucida Sans Unicode" w:cs="Calibri"/>
          <w:kern w:val="1"/>
        </w:rPr>
        <w:t>Osob</w:t>
      </w:r>
      <w:r>
        <w:rPr>
          <w:rFonts w:eastAsia="Lucida Sans Unicode" w:cs="Calibri"/>
          <w:kern w:val="1"/>
        </w:rPr>
        <w:t>y</w:t>
      </w:r>
      <w:r w:rsidRPr="007E4E86">
        <w:rPr>
          <w:rFonts w:eastAsia="Lucida Sans Unicode" w:cs="Calibri"/>
          <w:kern w:val="1"/>
        </w:rPr>
        <w:t xml:space="preserve"> wskazan</w:t>
      </w:r>
      <w:r>
        <w:rPr>
          <w:rFonts w:eastAsia="Lucida Sans Unicode" w:cs="Calibri"/>
          <w:kern w:val="1"/>
        </w:rPr>
        <w:t>e</w:t>
      </w:r>
      <w:r w:rsidRPr="007E4E86">
        <w:rPr>
          <w:rFonts w:eastAsia="Lucida Sans Unicode" w:cs="Calibri"/>
          <w:kern w:val="1"/>
        </w:rPr>
        <w:t xml:space="preserve"> w ust. </w:t>
      </w:r>
      <w:r>
        <w:rPr>
          <w:rFonts w:eastAsia="Lucida Sans Unicode" w:cs="Calibri"/>
          <w:kern w:val="1"/>
        </w:rPr>
        <w:t>8</w:t>
      </w:r>
      <w:r w:rsidRPr="007E4E86">
        <w:rPr>
          <w:rFonts w:eastAsia="Lucida Sans Unicode" w:cs="Calibri"/>
          <w:kern w:val="1"/>
        </w:rPr>
        <w:t xml:space="preserve"> będą działać w granicach umocowania określonego w ustawie Prawo budowlane oraz przepisach wykonawczych w szczególności poprzez: </w:t>
      </w:r>
    </w:p>
    <w:p w14:paraId="18BCBCA7"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sprawowanie kontroli w zakresie zgodności realizowanych prac budowlanych z dokumentacją projektową, pozwoleniem na budowę, obowiązującymi w Polsce przepisami oraz polskimi normami, </w:t>
      </w:r>
    </w:p>
    <w:p w14:paraId="1B9E1E93"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lastRenderedPageBreak/>
        <w:t xml:space="preserve">sprawdzanie jakości wykonywanych prac budowlanych oraz zainstalowanych urządzeń i wyposażenia, a także niedopuszczenie do zastosowania urządzeń i wyposażenia niedopuszczonych do obrotu i stosowania w budownictwie, </w:t>
      </w:r>
    </w:p>
    <w:p w14:paraId="1C07A0F5"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i odbiór prac budowlanych, </w:t>
      </w:r>
    </w:p>
    <w:p w14:paraId="6BB68947"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Pr>
          <w:rFonts w:asciiTheme="minorHAnsi" w:eastAsia="Lucida Sans Unicode" w:hAnsiTheme="minorHAnsi" w:cstheme="minorHAnsi"/>
          <w:kern w:val="1"/>
          <w:sz w:val="22"/>
          <w:szCs w:val="22"/>
          <w:lang w:val="pl-PL"/>
        </w:rPr>
        <w:t>p</w:t>
      </w:r>
      <w:proofErr w:type="spellStart"/>
      <w:r w:rsidRPr="007E4E86">
        <w:rPr>
          <w:rFonts w:asciiTheme="minorHAnsi" w:eastAsia="Lucida Sans Unicode" w:hAnsiTheme="minorHAnsi" w:cstheme="minorHAnsi"/>
          <w:kern w:val="1"/>
          <w:sz w:val="22"/>
          <w:szCs w:val="22"/>
        </w:rPr>
        <w:t>otwierdzanie</w:t>
      </w:r>
      <w:proofErr w:type="spellEnd"/>
      <w:r w:rsidRPr="007E4E86">
        <w:rPr>
          <w:rFonts w:asciiTheme="minorHAnsi" w:eastAsia="Lucida Sans Unicode" w:hAnsiTheme="minorHAnsi" w:cstheme="minorHAnsi"/>
          <w:kern w:val="1"/>
          <w:sz w:val="22"/>
          <w:szCs w:val="22"/>
        </w:rPr>
        <w:t xml:space="preserve"> faktycznie wykonanych robót, nadzór nad usunięciem wad i usterek.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 xml:space="preserve">amierzający zawrzeć umowę o podwykonawstwo, której </w:t>
      </w:r>
      <w:r w:rsidRPr="00514DB7">
        <w:rPr>
          <w:rFonts w:cs="Calibri"/>
        </w:rPr>
        <w:lastRenderedPageBreak/>
        <w:t>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0FEF1780" w14:textId="77777777" w:rsidR="00FA4271" w:rsidRDefault="00FA4271" w:rsidP="00FA4271">
      <w:pPr>
        <w:widowControl w:val="0"/>
        <w:numPr>
          <w:ilvl w:val="0"/>
          <w:numId w:val="9"/>
        </w:numPr>
        <w:spacing w:after="0" w:line="360" w:lineRule="auto"/>
        <w:ind w:left="357" w:hanging="357"/>
        <w:jc w:val="both"/>
        <w:rPr>
          <w:rFonts w:cs="Calibri"/>
        </w:rPr>
      </w:pPr>
      <w:r w:rsidRPr="00547B90">
        <w:rPr>
          <w:rFonts w:cs="Calibri"/>
        </w:rPr>
        <w:t xml:space="preserve">W przypadku dokonania zmiany niniejszej umowy na podstawie § 8 Wykonawca zobowiązany jest, w terminie 5 dni, do zmiany wynagrodzenia przysługującego podwykonawcy, z którym zawarł umowę na roboty budowlane lub usługi obowiązującą przez okres przekraczający </w:t>
      </w:r>
      <w:r>
        <w:rPr>
          <w:rFonts w:cs="Calibri"/>
        </w:rPr>
        <w:t>6</w:t>
      </w:r>
      <w:r w:rsidRPr="00547B90">
        <w:rPr>
          <w:rFonts w:cs="Calibri"/>
        </w:rPr>
        <w:t xml:space="preserve"> miesięcy, w zakresie </w:t>
      </w:r>
      <w:r w:rsidRPr="00547B90">
        <w:rPr>
          <w:rFonts w:cs="Calibri"/>
        </w:rPr>
        <w:lastRenderedPageBreak/>
        <w:t xml:space="preserve">odpowiadającym </w:t>
      </w:r>
      <w:r w:rsidRPr="00BD1681">
        <w:rPr>
          <w:rFonts w:cs="Calibri"/>
        </w:rPr>
        <w:t>zmianom cen materiałów lub kosztów dotyczących zobowiązania podwykonawcy.</w:t>
      </w:r>
    </w:p>
    <w:p w14:paraId="3D401D4C" w14:textId="77777777" w:rsidR="00E508F6" w:rsidRPr="00547B90" w:rsidRDefault="00E508F6" w:rsidP="00E508F6">
      <w:pPr>
        <w:widowControl w:val="0"/>
        <w:numPr>
          <w:ilvl w:val="0"/>
          <w:numId w:val="9"/>
        </w:numPr>
        <w:spacing w:after="0" w:line="360" w:lineRule="auto"/>
        <w:ind w:left="357" w:hanging="357"/>
        <w:jc w:val="both"/>
        <w:rPr>
          <w:rFonts w:cs="Calibri"/>
        </w:rPr>
      </w:pPr>
      <w:r w:rsidRPr="00547B90">
        <w:rPr>
          <w:rFonts w:cs="Calibri"/>
        </w:rPr>
        <w:t xml:space="preserve">W sytuacji, o której mowa wyżej, </w:t>
      </w:r>
      <w:r>
        <w:rPr>
          <w:rFonts w:cs="Calibri"/>
        </w:rPr>
        <w:t xml:space="preserve">§ 13 </w:t>
      </w:r>
      <w:r w:rsidRPr="00547B90">
        <w:rPr>
          <w:rFonts w:cs="Calibri"/>
        </w:rPr>
        <w:t xml:space="preserve">ust. </w:t>
      </w:r>
      <w:r>
        <w:rPr>
          <w:rFonts w:cs="Calibri"/>
        </w:rPr>
        <w:t>4</w:t>
      </w:r>
      <w:r w:rsidRPr="00547B90">
        <w:rPr>
          <w:rFonts w:cs="Calibri"/>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Z czynności odbioru końcowego zostanie spisany protokół odbioru, zawierający wszelkie ustalenia dokonane w toku odbioru oraz będący jednocześnie podstawą do ostatecznego rozliczenia wykonanych </w:t>
      </w:r>
      <w:r w:rsidRPr="00273857">
        <w:rPr>
          <w:rFonts w:cs="Calibri"/>
        </w:rPr>
        <w:lastRenderedPageBreak/>
        <w:t>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Do czasu zakończenia czynności związanych z odbiorem, zakończonych podpisaniem protokołu odbioru </w:t>
      </w:r>
      <w:r w:rsidRPr="00514DB7">
        <w:rPr>
          <w:rFonts w:cs="Calibri"/>
        </w:rPr>
        <w:lastRenderedPageBreak/>
        <w:t>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lastRenderedPageBreak/>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971C3A" w:rsidRDefault="003F2090" w:rsidP="003F2090">
      <w:pPr>
        <w:widowControl w:val="0"/>
        <w:autoSpaceDE w:val="0"/>
        <w:autoSpaceDN w:val="0"/>
        <w:adjustRightInd w:val="0"/>
        <w:spacing w:before="240" w:after="240" w:line="360" w:lineRule="auto"/>
        <w:jc w:val="center"/>
        <w:rPr>
          <w:rFonts w:cs="Calibri"/>
          <w:b/>
          <w:bCs/>
        </w:rPr>
      </w:pPr>
      <w:r w:rsidRPr="00971C3A">
        <w:rPr>
          <w:rFonts w:cs="Calibri"/>
          <w:b/>
          <w:bCs/>
        </w:rPr>
        <w:t xml:space="preserve">§ 20. </w:t>
      </w:r>
      <w:r w:rsidRPr="00971C3A">
        <w:rPr>
          <w:rFonts w:cs="Calibri"/>
          <w:b/>
          <w:bCs/>
          <w:caps/>
        </w:rPr>
        <w:t>Ubezpieczenie</w:t>
      </w:r>
    </w:p>
    <w:p w14:paraId="34848C4F" w14:textId="547234EE" w:rsidR="00971C3A" w:rsidRPr="00B65459"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B65459">
        <w:rPr>
          <w:rFonts w:cs="Calibri"/>
          <w:b/>
          <w:bCs/>
        </w:rPr>
        <w:t xml:space="preserve">Wykonawca na okres realizacji umowy zobowiązany jest </w:t>
      </w:r>
      <w:r w:rsidR="008D636B">
        <w:rPr>
          <w:rFonts w:cs="Calibri"/>
          <w:b/>
          <w:bCs/>
        </w:rPr>
        <w:t>posiadać</w:t>
      </w:r>
      <w:r w:rsidRPr="00B65459">
        <w:rPr>
          <w:rFonts w:cs="Calibri"/>
          <w:b/>
          <w:bCs/>
        </w:rPr>
        <w:t xml:space="preserve"> umowę ubezpieczenia odpowiedzialności cywilnej </w:t>
      </w:r>
      <w:r w:rsidR="008D636B" w:rsidRPr="008D636B">
        <w:rPr>
          <w:rFonts w:cs="Calibri"/>
          <w:b/>
          <w:bCs/>
        </w:rPr>
        <w:t>w zakresie prowadzonej działalności</w:t>
      </w:r>
      <w:r w:rsidRPr="00B65459">
        <w:rPr>
          <w:rFonts w:cs="Calibri"/>
          <w:b/>
          <w:bCs/>
        </w:rPr>
        <w:t xml:space="preserve">, gdzie suma ubezpieczenia będzie nie niższa niż wartość przedmiotu umowy brutto, o której mowa w § </w:t>
      </w:r>
      <w:r>
        <w:rPr>
          <w:rFonts w:cs="Calibri"/>
          <w:b/>
          <w:bCs/>
        </w:rPr>
        <w:t>5</w:t>
      </w:r>
      <w:r w:rsidRPr="00B65459">
        <w:rPr>
          <w:rFonts w:cs="Calibri"/>
          <w:b/>
          <w:bCs/>
        </w:rPr>
        <w:t xml:space="preserve"> ust. 1. </w:t>
      </w:r>
    </w:p>
    <w:p w14:paraId="5C07789B"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Ubezpieczenie OC winno obejmować szkody wyrządzone przez Wykonawcę i wszystkich podwykonawców, </w:t>
      </w:r>
      <w:bookmarkStart w:id="2" w:name="_Hlk171340674"/>
      <w:r w:rsidRPr="003D1234">
        <w:rPr>
          <w:rFonts w:cs="Calibri"/>
        </w:rPr>
        <w:t xml:space="preserve">w zakresie prowadzonej działalności </w:t>
      </w:r>
      <w:bookmarkEnd w:id="2"/>
      <w:r w:rsidRPr="003D1234">
        <w:rPr>
          <w:rFonts w:cs="Calibri"/>
        </w:rPr>
        <w:t xml:space="preserve">związanej z przedmiotem umowy, z tytułu szkód jakie mogą wyrządzić Zamawiającemu i osobom trzecim w związku z realizacją przedmiotu umowy, w tym także: </w:t>
      </w:r>
    </w:p>
    <w:p w14:paraId="25AABE35" w14:textId="77777777" w:rsidR="00971C3A" w:rsidRPr="003D1234" w:rsidRDefault="00971C3A" w:rsidP="00971C3A">
      <w:pPr>
        <w:widowControl w:val="0"/>
        <w:numPr>
          <w:ilvl w:val="0"/>
          <w:numId w:val="66"/>
        </w:numPr>
        <w:autoSpaceDE w:val="0"/>
        <w:autoSpaceDN w:val="0"/>
        <w:adjustRightInd w:val="0"/>
        <w:spacing w:after="0" w:line="360" w:lineRule="auto"/>
        <w:ind w:hanging="357"/>
        <w:jc w:val="both"/>
        <w:rPr>
          <w:rFonts w:cs="Calibri"/>
          <w:lang w:val="x-none" w:eastAsia="x-none"/>
        </w:rPr>
      </w:pPr>
      <w:r w:rsidRPr="003D1234">
        <w:rPr>
          <w:rFonts w:cs="Calibri"/>
          <w:lang w:val="x-none" w:eastAsia="x-none"/>
        </w:rPr>
        <w:t xml:space="preserve">z czynów niedozwolonych popełnionych przez Wykonawcę lub podwykonawców, </w:t>
      </w:r>
    </w:p>
    <w:p w14:paraId="224FC050" w14:textId="77777777" w:rsidR="00971C3A" w:rsidRPr="003D1234" w:rsidRDefault="00971C3A" w:rsidP="00971C3A">
      <w:pPr>
        <w:widowControl w:val="0"/>
        <w:numPr>
          <w:ilvl w:val="0"/>
          <w:numId w:val="66"/>
        </w:numPr>
        <w:autoSpaceDE w:val="0"/>
        <w:autoSpaceDN w:val="0"/>
        <w:adjustRightInd w:val="0"/>
        <w:spacing w:after="0" w:line="360" w:lineRule="auto"/>
        <w:ind w:hanging="357"/>
        <w:jc w:val="both"/>
        <w:rPr>
          <w:rFonts w:cs="Calibri"/>
          <w:lang w:val="x-none" w:eastAsia="x-none"/>
        </w:rPr>
      </w:pPr>
      <w:r w:rsidRPr="003D1234">
        <w:rPr>
          <w:rFonts w:cs="Calibri"/>
          <w:lang w:val="x-none" w:eastAsia="x-none"/>
        </w:rPr>
        <w:t>niewykonania lub nienależytego wykonania umowy przez Wykonawcę lub podwykonawców.</w:t>
      </w:r>
    </w:p>
    <w:p w14:paraId="6891745C"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Wykonawca zobowiązany jest utrzymywać ubezpieczenia, o których mowa powyżej przez cały okres realizacji przedmiotu umowy określony w § 4 ust. 1.</w:t>
      </w:r>
    </w:p>
    <w:p w14:paraId="2F29C936"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Wykonawca zobowiązany jest przedłożyć Zamawiającemu, w terminie 14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118E3A6"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lastRenderedPageBreak/>
        <w:t xml:space="preserve">Zamawiającemu przysługuje prawo potrącenia poniesionych kosztów z tytułu ubezpieczenia </w:t>
      </w:r>
      <w:r w:rsidRPr="003D1234">
        <w:rPr>
          <w:rFonts w:cs="Calibri"/>
        </w:rPr>
        <w:br/>
        <w:t>z wynagrodzenia Wykonawcy, na co Wykonawca wyraża zgodę.</w:t>
      </w:r>
    </w:p>
    <w:p w14:paraId="62E238A2"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W przypadku nieprzedłożenia przez Wykonawcę kopii polis (-y) ubezpieczeniowych (-ej) </w:t>
      </w:r>
      <w:r w:rsidRPr="003D1234">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lastRenderedPageBreak/>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7022392D"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zmiany umowy o podwykonawstwo zawartej na okres przekraczający </w:t>
      </w:r>
      <w:r w:rsidR="002F1598" w:rsidRPr="002F1598">
        <w:rPr>
          <w:rFonts w:cs="Calibri"/>
          <w:iCs/>
        </w:rPr>
        <w:t>6</w:t>
      </w:r>
      <w:r w:rsidRPr="002F1598">
        <w:rPr>
          <w:rFonts w:cs="Calibri"/>
          <w:iCs/>
        </w:rPr>
        <w:t xml:space="preserve">miesięcy, której przedmiotem są roboty budowlane lub usługi, zgodnie z § 14 ust. 4 umowy – w wysokości </w:t>
      </w:r>
      <w:r w:rsidR="002F1598" w:rsidRPr="002F1598">
        <w:rPr>
          <w:rFonts w:cs="Calibri"/>
          <w:iCs/>
        </w:rPr>
        <w:t>0,5 % wartości brutto tej umowy (zaakceptowanej umowy o podwykonawstwo) za każdy przypadek</w:t>
      </w:r>
    </w:p>
    <w:p w14:paraId="0618D999"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zapłaty lub nieterminowej zapłaty wynagrodzenia należnego podwykonawcom z tytułu zmiany wysokości wynagrodzenia, o której mowa w § 14 ust. 4 umowy – w wysokości </w:t>
      </w:r>
      <w:r w:rsidR="002F1598" w:rsidRPr="002F1598">
        <w:rPr>
          <w:rFonts w:cs="Calibri"/>
          <w:iCs/>
        </w:rPr>
        <w:t>0,2 % wartości brutto tej umowy (zaakceptowanej umowy o podwykonawstwo), za każdy dzień zwłoki od upływu terminu, w którym zapłata powinna najpóźniej zostać dokonana,</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lastRenderedPageBreak/>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061A2743"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t>Wykonawca</w:t>
      </w:r>
      <w:r w:rsidR="00E508F6">
        <w:rPr>
          <w:rFonts w:eastAsia="MS Mincho" w:cs="Calibri"/>
        </w:rPr>
        <w:t>/ Podwykonawca</w:t>
      </w:r>
      <w:r w:rsidRPr="00514DB7">
        <w:rPr>
          <w:rFonts w:eastAsia="MS Mincho" w:cs="Calibri"/>
        </w:rPr>
        <w:t xml:space="preserve">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6AFD2A38" w14:textId="77777777" w:rsidR="00E508F6" w:rsidRPr="00E508F6" w:rsidRDefault="00E508F6" w:rsidP="00E508F6">
      <w:pPr>
        <w:pStyle w:val="Akapitzlist"/>
        <w:numPr>
          <w:ilvl w:val="0"/>
          <w:numId w:val="25"/>
        </w:numPr>
        <w:spacing w:line="360" w:lineRule="auto"/>
        <w:rPr>
          <w:rFonts w:ascii="Calibri" w:eastAsia="MS Mincho" w:hAnsi="Calibri" w:cs="Calibri"/>
          <w:sz w:val="22"/>
          <w:szCs w:val="22"/>
          <w:lang w:val="pl-PL" w:eastAsia="en-US"/>
        </w:rPr>
      </w:pPr>
      <w:r w:rsidRPr="00E508F6">
        <w:rPr>
          <w:rFonts w:ascii="Calibri" w:eastAsia="MS Mincho" w:hAnsi="Calibri" w:cs="Calibri"/>
          <w:sz w:val="22"/>
          <w:szCs w:val="22"/>
          <w:lang w:val="pl-PL" w:eastAsia="en-US"/>
        </w:rPr>
        <w:t>w trakcie realizacji przedmiotu zamówienia Zamawiający nie otrzyma dofinansowania/lub części dofinansowania z programu Rządowego Fundusz Polski Ład: Program Inwestycji Strategicznych. W takim wypadku Zamawiającemu nie będzie naliczona kara umowna o której mowa w § 21 ust. 1 pkt 2a) niniejszej umowy, Wykonawca może żądać jedynie wynagrodzenia należnego  mu z tytułu  wykonanej części umowy.</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lastRenderedPageBreak/>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4FA1D260"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lastRenderedPageBreak/>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05B8BD77"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r w:rsidR="008D636B">
        <w:rPr>
          <w:rFonts w:eastAsia="MS Mincho" w:cs="Calibri"/>
        </w:rPr>
        <w:t xml:space="preserve"> jeżeli był wymagany</w:t>
      </w:r>
      <w:r w:rsidRPr="00A52FA5">
        <w:rPr>
          <w:rFonts w:eastAsia="MS Mincho" w:cs="Calibri"/>
        </w:rPr>
        <w:t>;</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w:t>
      </w:r>
      <w:r w:rsidRPr="00514DB7">
        <w:rPr>
          <w:rFonts w:cs="Calibri"/>
        </w:rPr>
        <w:lastRenderedPageBreak/>
        <w:t xml:space="preserve">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1A1A68"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1A1A68">
        <w:rPr>
          <w:rFonts w:eastAsia="Times New Roman" w:cs="Calibri"/>
          <w:color w:val="000000"/>
          <w:szCs w:val="24"/>
          <w:lang w:eastAsia="ar-SA"/>
        </w:rPr>
        <w:t>Strony przewidują zmianę umowy w przypadku zmiany:</w:t>
      </w:r>
    </w:p>
    <w:p w14:paraId="2C7903DF" w14:textId="77777777" w:rsidR="00FB5DE9" w:rsidRPr="001A1A68"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1A1A68">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1A1A68">
        <w:rPr>
          <w:rFonts w:eastAsia="Times New Roman" w:cs="Calibri"/>
          <w:color w:val="000000"/>
          <w:szCs w:val="24"/>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lastRenderedPageBreak/>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w:t>
      </w:r>
      <w:r w:rsidRPr="00FB5DE9">
        <w:rPr>
          <w:rFonts w:eastAsia="Times New Roman" w:cs="Calibri"/>
          <w:color w:val="000000"/>
          <w:szCs w:val="24"/>
          <w:lang w:eastAsia="pl-PL"/>
        </w:rPr>
        <w:lastRenderedPageBreak/>
        <w:t>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F1B3A2" w14:textId="77777777" w:rsidR="00E508F6" w:rsidRPr="007D37C1" w:rsidRDefault="00E508F6"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7D37C1">
        <w:rPr>
          <w:rFonts w:eastAsia="Times New Roman" w:cs="Calibri"/>
          <w:color w:val="000000"/>
          <w:szCs w:val="24"/>
          <w:lang w:eastAsia="pl-PL"/>
        </w:rPr>
        <w:t>Warunkiem dokonania zmiany wynagrodzenia Wykonawcy, o której mowa w ust. 6 pkt 4 jest złożenie przez Wykonawcę Zamawiającemu wniosku o zmianę wynagrodzenia wraz z dokumentami potwierdzającymi zasadność złożenia takiego wniosku, a w szczególności kopię</w:t>
      </w:r>
      <w:r>
        <w:rPr>
          <w:rFonts w:eastAsia="Times New Roman" w:cs="Calibri"/>
          <w:color w:val="000000"/>
          <w:szCs w:val="24"/>
          <w:lang w:eastAsia="pl-PL"/>
        </w:rPr>
        <w:t xml:space="preserve"> </w:t>
      </w:r>
      <w:r w:rsidRPr="007D37C1">
        <w:rPr>
          <w:rFonts w:eastAsia="Times New Roman" w:cs="Calibri"/>
          <w:color w:val="000000"/>
          <w:szCs w:val="24"/>
          <w:lang w:eastAsia="pl-PL"/>
        </w:rPr>
        <w:t>zawartych</w:t>
      </w:r>
      <w:r>
        <w:rPr>
          <w:rFonts w:eastAsia="Times New Roman" w:cs="Calibri"/>
          <w:color w:val="000000"/>
          <w:szCs w:val="24"/>
          <w:lang w:eastAsia="pl-PL"/>
        </w:rPr>
        <w:t xml:space="preserve"> </w:t>
      </w:r>
      <w:r w:rsidRPr="007D37C1">
        <w:rPr>
          <w:rFonts w:eastAsia="Times New Roman" w:cs="Calibri"/>
          <w:color w:val="000000"/>
          <w:szCs w:val="24"/>
          <w:lang w:eastAsia="pl-PL"/>
        </w:rPr>
        <w:t>przez</w:t>
      </w:r>
      <w:r>
        <w:rPr>
          <w:rFonts w:eastAsia="Times New Roman" w:cs="Calibri"/>
          <w:color w:val="000000"/>
          <w:szCs w:val="24"/>
          <w:lang w:eastAsia="pl-PL"/>
        </w:rPr>
        <w:t xml:space="preserve"> </w:t>
      </w:r>
      <w:r w:rsidRPr="007D37C1">
        <w:rPr>
          <w:rFonts w:eastAsia="Times New Roman" w:cs="Calibri"/>
          <w:color w:val="000000"/>
          <w:szCs w:val="24"/>
          <w:lang w:eastAsia="pl-PL"/>
        </w:rPr>
        <w:t>Wykonawcę</w:t>
      </w:r>
      <w:r>
        <w:rPr>
          <w:rFonts w:eastAsia="Times New Roman" w:cs="Calibri"/>
          <w:color w:val="000000"/>
          <w:szCs w:val="24"/>
          <w:lang w:eastAsia="pl-PL"/>
        </w:rPr>
        <w:t xml:space="preserve"> </w:t>
      </w:r>
      <w:r w:rsidRPr="007D37C1">
        <w:rPr>
          <w:rFonts w:eastAsia="Times New Roman" w:cs="Calibri"/>
          <w:color w:val="000000"/>
          <w:szCs w:val="24"/>
          <w:lang w:eastAsia="pl-PL"/>
        </w:rPr>
        <w:t>umów</w:t>
      </w:r>
      <w:r>
        <w:rPr>
          <w:rFonts w:eastAsia="Times New Roman" w:cs="Calibri"/>
          <w:color w:val="000000"/>
          <w:szCs w:val="24"/>
          <w:lang w:eastAsia="pl-PL"/>
        </w:rPr>
        <w:t xml:space="preserve"> </w:t>
      </w:r>
      <w:r w:rsidRPr="007D37C1">
        <w:rPr>
          <w:rFonts w:eastAsia="Times New Roman" w:cs="Calibri"/>
          <w:color w:val="000000"/>
          <w:szCs w:val="24"/>
          <w:lang w:eastAsia="pl-PL"/>
        </w:rPr>
        <w:t>o</w:t>
      </w:r>
      <w:r>
        <w:rPr>
          <w:rFonts w:eastAsia="Times New Roman" w:cs="Calibri"/>
          <w:color w:val="000000"/>
          <w:szCs w:val="24"/>
          <w:lang w:eastAsia="pl-PL"/>
        </w:rPr>
        <w:t xml:space="preserve"> </w:t>
      </w:r>
      <w:r w:rsidRPr="007D37C1">
        <w:rPr>
          <w:rFonts w:eastAsia="Times New Roman" w:cs="Calibri"/>
          <w:color w:val="000000"/>
          <w:szCs w:val="24"/>
          <w:lang w:eastAsia="pl-PL"/>
        </w:rPr>
        <w:t>prowadzenie</w:t>
      </w:r>
      <w:r>
        <w:rPr>
          <w:rFonts w:eastAsia="Times New Roman" w:cs="Calibri"/>
          <w:color w:val="000000"/>
          <w:szCs w:val="24"/>
          <w:lang w:eastAsia="pl-PL"/>
        </w:rPr>
        <w:t xml:space="preserve"> </w:t>
      </w:r>
      <w:r w:rsidRPr="007D37C1">
        <w:rPr>
          <w:rFonts w:eastAsia="Times New Roman" w:cs="Calibri"/>
          <w:color w:val="000000"/>
          <w:szCs w:val="24"/>
          <w:lang w:eastAsia="pl-PL"/>
        </w:rPr>
        <w:t>pracowniczych</w:t>
      </w:r>
      <w:r>
        <w:rPr>
          <w:rFonts w:eastAsia="Times New Roman" w:cs="Calibri"/>
          <w:color w:val="000000"/>
          <w:szCs w:val="24"/>
          <w:lang w:eastAsia="pl-PL"/>
        </w:rPr>
        <w:t xml:space="preserve"> </w:t>
      </w:r>
      <w:r w:rsidRPr="007D37C1">
        <w:rPr>
          <w:rFonts w:eastAsia="Times New Roman" w:cs="Calibri"/>
          <w:color w:val="000000"/>
          <w:szCs w:val="24"/>
          <w:lang w:eastAsia="pl-PL"/>
        </w:rPr>
        <w:t>planów kapitałowych</w:t>
      </w:r>
      <w:r>
        <w:rPr>
          <w:rFonts w:eastAsia="Times New Roman" w:cs="Calibri"/>
          <w:color w:val="000000"/>
          <w:szCs w:val="24"/>
          <w:lang w:eastAsia="pl-PL"/>
        </w:rPr>
        <w:t xml:space="preserve"> </w:t>
      </w:r>
      <w:r w:rsidRPr="007D37C1">
        <w:rPr>
          <w:rFonts w:eastAsia="Times New Roman" w:cs="Calibri"/>
          <w:color w:val="000000"/>
          <w:szCs w:val="24"/>
          <w:lang w:eastAsia="pl-PL"/>
        </w:rPr>
        <w:t>(dalej</w:t>
      </w:r>
      <w:r>
        <w:rPr>
          <w:rFonts w:eastAsia="Times New Roman" w:cs="Calibri"/>
          <w:color w:val="000000"/>
          <w:szCs w:val="24"/>
          <w:lang w:eastAsia="pl-PL"/>
        </w:rPr>
        <w:t xml:space="preserve"> </w:t>
      </w:r>
      <w:r w:rsidRPr="007D37C1">
        <w:rPr>
          <w:rFonts w:eastAsia="Times New Roman" w:cs="Calibri"/>
          <w:color w:val="000000"/>
          <w:szCs w:val="24"/>
          <w:lang w:eastAsia="pl-PL"/>
        </w:rPr>
        <w:t>PPK)</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pisemnym</w:t>
      </w:r>
      <w:r>
        <w:rPr>
          <w:rFonts w:eastAsia="Times New Roman" w:cs="Calibri"/>
          <w:color w:val="000000"/>
          <w:szCs w:val="24"/>
          <w:lang w:eastAsia="pl-PL"/>
        </w:rPr>
        <w:t xml:space="preserve"> </w:t>
      </w:r>
      <w:r w:rsidRPr="007D37C1">
        <w:rPr>
          <w:rFonts w:eastAsia="Times New Roman" w:cs="Calibri"/>
          <w:color w:val="000000"/>
          <w:szCs w:val="24"/>
          <w:lang w:eastAsia="pl-PL"/>
        </w:rPr>
        <w:t>zestawieniem</w:t>
      </w:r>
      <w:r>
        <w:rPr>
          <w:rFonts w:eastAsia="Times New Roman" w:cs="Calibri"/>
          <w:color w:val="000000"/>
          <w:szCs w:val="24"/>
          <w:lang w:eastAsia="pl-PL"/>
        </w:rPr>
        <w:t xml:space="preserve"> </w:t>
      </w:r>
      <w:r w:rsidRPr="007D37C1">
        <w:rPr>
          <w:rFonts w:eastAsia="Times New Roman" w:cs="Calibri"/>
          <w:color w:val="000000"/>
          <w:szCs w:val="24"/>
          <w:lang w:eastAsia="pl-PL"/>
        </w:rPr>
        <w:t>dokonywanych</w:t>
      </w:r>
      <w:r>
        <w:rPr>
          <w:rFonts w:eastAsia="Times New Roman" w:cs="Calibri"/>
          <w:color w:val="000000"/>
          <w:szCs w:val="24"/>
          <w:lang w:eastAsia="pl-PL"/>
        </w:rPr>
        <w:t xml:space="preserve"> </w:t>
      </w:r>
      <w:r w:rsidRPr="007D37C1">
        <w:rPr>
          <w:rFonts w:eastAsia="Times New Roman" w:cs="Calibri"/>
          <w:color w:val="000000"/>
          <w:szCs w:val="24"/>
          <w:lang w:eastAsia="pl-PL"/>
        </w:rPr>
        <w:t>wpłat</w:t>
      </w:r>
      <w:r>
        <w:rPr>
          <w:rFonts w:eastAsia="Times New Roman" w:cs="Calibri"/>
          <w:color w:val="000000"/>
          <w:szCs w:val="24"/>
          <w:lang w:eastAsia="pl-PL"/>
        </w:rPr>
        <w:t xml:space="preserve"> </w:t>
      </w:r>
      <w:r w:rsidRPr="007D37C1">
        <w:rPr>
          <w:rFonts w:eastAsia="Times New Roman" w:cs="Calibri"/>
          <w:color w:val="000000"/>
          <w:szCs w:val="24"/>
          <w:lang w:eastAsia="pl-PL"/>
        </w:rPr>
        <w:t>na</w:t>
      </w:r>
      <w:r>
        <w:rPr>
          <w:rFonts w:eastAsia="Times New Roman" w:cs="Calibri"/>
          <w:color w:val="000000"/>
          <w:szCs w:val="24"/>
          <w:lang w:eastAsia="pl-PL"/>
        </w:rPr>
        <w:t xml:space="preserve"> </w:t>
      </w:r>
      <w:r w:rsidRPr="007D37C1">
        <w:rPr>
          <w:rFonts w:eastAsia="Times New Roman" w:cs="Calibri"/>
          <w:color w:val="000000"/>
          <w:szCs w:val="24"/>
          <w:lang w:eastAsia="pl-PL"/>
        </w:rPr>
        <w:t>PPK (zarówno</w:t>
      </w:r>
      <w:r>
        <w:rPr>
          <w:rFonts w:eastAsia="Times New Roman" w:cs="Calibri"/>
          <w:color w:val="000000"/>
          <w:szCs w:val="24"/>
          <w:lang w:eastAsia="pl-PL"/>
        </w:rPr>
        <w:t xml:space="preserve"> </w:t>
      </w:r>
      <w:r w:rsidRPr="007D37C1">
        <w:rPr>
          <w:rFonts w:eastAsia="Times New Roman" w:cs="Calibri"/>
          <w:color w:val="000000"/>
          <w:szCs w:val="24"/>
          <w:lang w:eastAsia="pl-PL"/>
        </w:rPr>
        <w:t>przed</w:t>
      </w:r>
      <w:r>
        <w:rPr>
          <w:rFonts w:eastAsia="Times New Roman" w:cs="Calibri"/>
          <w:color w:val="000000"/>
          <w:szCs w:val="24"/>
          <w:lang w:eastAsia="pl-PL"/>
        </w:rPr>
        <w:t xml:space="preserve"> </w:t>
      </w:r>
      <w:r w:rsidRPr="007D37C1">
        <w:rPr>
          <w:rFonts w:eastAsia="Times New Roman" w:cs="Calibri"/>
          <w:color w:val="000000"/>
          <w:szCs w:val="24"/>
          <w:lang w:eastAsia="pl-PL"/>
        </w:rPr>
        <w:t>jak</w:t>
      </w:r>
      <w:r>
        <w:rPr>
          <w:rFonts w:eastAsia="Times New Roman" w:cs="Calibri"/>
          <w:color w:val="000000"/>
          <w:szCs w:val="24"/>
          <w:lang w:eastAsia="pl-PL"/>
        </w:rPr>
        <w:t xml:space="preserve"> </w:t>
      </w:r>
      <w:r w:rsidRPr="007D37C1">
        <w:rPr>
          <w:rFonts w:eastAsia="Times New Roman" w:cs="Calibri"/>
          <w:color w:val="000000"/>
          <w:szCs w:val="24"/>
          <w:lang w:eastAsia="pl-PL"/>
        </w:rPr>
        <w:t>i</w:t>
      </w:r>
      <w:r>
        <w:rPr>
          <w:rFonts w:eastAsia="Times New Roman" w:cs="Calibri"/>
          <w:color w:val="000000"/>
          <w:szCs w:val="24"/>
          <w:lang w:eastAsia="pl-PL"/>
        </w:rPr>
        <w:t xml:space="preserve"> </w:t>
      </w:r>
      <w:r w:rsidRPr="007D37C1">
        <w:rPr>
          <w:rFonts w:eastAsia="Times New Roman" w:cs="Calibri"/>
          <w:color w:val="000000"/>
          <w:szCs w:val="24"/>
          <w:lang w:eastAsia="pl-PL"/>
        </w:rPr>
        <w:t>po</w:t>
      </w:r>
      <w:r>
        <w:rPr>
          <w:rFonts w:eastAsia="Times New Roman" w:cs="Calibri"/>
          <w:color w:val="000000"/>
          <w:szCs w:val="24"/>
          <w:lang w:eastAsia="pl-PL"/>
        </w:rPr>
        <w:t xml:space="preserve"> </w:t>
      </w:r>
      <w:r w:rsidRPr="007D37C1">
        <w:rPr>
          <w:rFonts w:eastAsia="Times New Roman" w:cs="Calibri"/>
          <w:color w:val="000000"/>
          <w:szCs w:val="24"/>
          <w:lang w:eastAsia="pl-PL"/>
        </w:rPr>
        <w:t>zmianie)</w:t>
      </w:r>
      <w:r>
        <w:rPr>
          <w:rFonts w:eastAsia="Times New Roman" w:cs="Calibri"/>
          <w:color w:val="000000"/>
          <w:szCs w:val="24"/>
          <w:lang w:eastAsia="pl-PL"/>
        </w:rPr>
        <w:t xml:space="preserve"> </w:t>
      </w:r>
      <w:r w:rsidRPr="007D37C1">
        <w:rPr>
          <w:rFonts w:eastAsia="Times New Roman" w:cs="Calibri"/>
          <w:color w:val="000000"/>
          <w:szCs w:val="24"/>
          <w:lang w:eastAsia="pl-PL"/>
        </w:rPr>
        <w:t>Pracowników</w:t>
      </w:r>
      <w:r>
        <w:rPr>
          <w:rFonts w:eastAsia="Times New Roman" w:cs="Calibri"/>
          <w:color w:val="000000"/>
          <w:szCs w:val="24"/>
          <w:lang w:eastAsia="pl-PL"/>
        </w:rPr>
        <w:t xml:space="preserve"> </w:t>
      </w:r>
      <w:r w:rsidRPr="007D37C1">
        <w:rPr>
          <w:rFonts w:eastAsia="Times New Roman" w:cs="Calibri"/>
          <w:color w:val="000000"/>
          <w:szCs w:val="24"/>
          <w:lang w:eastAsia="pl-PL"/>
        </w:rPr>
        <w:t>świadczących</w:t>
      </w:r>
      <w:r>
        <w:rPr>
          <w:rFonts w:eastAsia="Times New Roman" w:cs="Calibri"/>
          <w:color w:val="000000"/>
          <w:szCs w:val="24"/>
          <w:lang w:eastAsia="pl-PL"/>
        </w:rPr>
        <w:t xml:space="preserve"> </w:t>
      </w:r>
      <w:r w:rsidRPr="007D37C1">
        <w:rPr>
          <w:rFonts w:eastAsia="Times New Roman" w:cs="Calibri"/>
          <w:color w:val="000000"/>
          <w:szCs w:val="24"/>
          <w:lang w:eastAsia="pl-PL"/>
        </w:rPr>
        <w:t>Usługi,</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określeniem zakresu</w:t>
      </w:r>
      <w:r>
        <w:rPr>
          <w:rFonts w:eastAsia="Times New Roman" w:cs="Calibri"/>
          <w:color w:val="000000"/>
          <w:szCs w:val="24"/>
          <w:lang w:eastAsia="pl-PL"/>
        </w:rPr>
        <w:t xml:space="preserve"> </w:t>
      </w:r>
      <w:r w:rsidRPr="007D37C1">
        <w:rPr>
          <w:rFonts w:eastAsia="Times New Roman" w:cs="Calibri"/>
          <w:color w:val="000000"/>
          <w:szCs w:val="24"/>
          <w:lang w:eastAsia="pl-PL"/>
        </w:rPr>
        <w:t>(części</w:t>
      </w:r>
      <w:r>
        <w:rPr>
          <w:rFonts w:eastAsia="Times New Roman" w:cs="Calibri"/>
          <w:color w:val="000000"/>
          <w:szCs w:val="24"/>
          <w:lang w:eastAsia="pl-PL"/>
        </w:rPr>
        <w:t xml:space="preserve"> </w:t>
      </w:r>
      <w:r w:rsidRPr="007D37C1">
        <w:rPr>
          <w:rFonts w:eastAsia="Times New Roman" w:cs="Calibri"/>
          <w:color w:val="000000"/>
          <w:szCs w:val="24"/>
          <w:lang w:eastAsia="pl-PL"/>
        </w:rPr>
        <w:t>etatu),</w:t>
      </w:r>
      <w:r>
        <w:rPr>
          <w:rFonts w:eastAsia="Times New Roman" w:cs="Calibri"/>
          <w:color w:val="000000"/>
          <w:szCs w:val="24"/>
          <w:lang w:eastAsia="pl-PL"/>
        </w:rPr>
        <w:t xml:space="preserve"> </w:t>
      </w:r>
      <w:r w:rsidRPr="007D37C1">
        <w:rPr>
          <w:rFonts w:eastAsia="Times New Roman" w:cs="Calibri"/>
          <w:color w:val="000000"/>
          <w:szCs w:val="24"/>
          <w:lang w:eastAsia="pl-PL"/>
        </w:rPr>
        <w:t>w</w:t>
      </w:r>
      <w:r>
        <w:rPr>
          <w:rFonts w:eastAsia="Times New Roman" w:cs="Calibri"/>
          <w:color w:val="000000"/>
          <w:szCs w:val="24"/>
          <w:lang w:eastAsia="pl-PL"/>
        </w:rPr>
        <w:t xml:space="preserve"> </w:t>
      </w:r>
      <w:r w:rsidRPr="007D37C1">
        <w:rPr>
          <w:rFonts w:eastAsia="Times New Roman" w:cs="Calibri"/>
          <w:color w:val="000000"/>
          <w:szCs w:val="24"/>
          <w:lang w:eastAsia="pl-PL"/>
        </w:rPr>
        <w:t>jakim</w:t>
      </w:r>
      <w:r>
        <w:rPr>
          <w:rFonts w:eastAsia="Times New Roman" w:cs="Calibri"/>
          <w:color w:val="000000"/>
          <w:szCs w:val="24"/>
          <w:lang w:eastAsia="pl-PL"/>
        </w:rPr>
        <w:t xml:space="preserve"> </w:t>
      </w:r>
      <w:r w:rsidRPr="007D37C1">
        <w:rPr>
          <w:rFonts w:eastAsia="Times New Roman" w:cs="Calibri"/>
          <w:color w:val="000000"/>
          <w:szCs w:val="24"/>
          <w:lang w:eastAsia="pl-PL"/>
        </w:rPr>
        <w:t>wykonują</w:t>
      </w:r>
      <w:r>
        <w:rPr>
          <w:rFonts w:eastAsia="Times New Roman" w:cs="Calibri"/>
          <w:color w:val="000000"/>
          <w:szCs w:val="24"/>
          <w:lang w:eastAsia="pl-PL"/>
        </w:rPr>
        <w:t xml:space="preserve"> </w:t>
      </w:r>
      <w:r w:rsidRPr="007D37C1">
        <w:rPr>
          <w:rFonts w:eastAsia="Times New Roman" w:cs="Calibri"/>
          <w:color w:val="000000"/>
          <w:szCs w:val="24"/>
          <w:lang w:eastAsia="pl-PL"/>
        </w:rPr>
        <w:t>oni</w:t>
      </w:r>
      <w:r>
        <w:rPr>
          <w:rFonts w:eastAsia="Times New Roman" w:cs="Calibri"/>
          <w:color w:val="000000"/>
          <w:szCs w:val="24"/>
          <w:lang w:eastAsia="pl-PL"/>
        </w:rPr>
        <w:t xml:space="preserve"> </w:t>
      </w:r>
      <w:r w:rsidRPr="007D37C1">
        <w:rPr>
          <w:rFonts w:eastAsia="Times New Roman" w:cs="Calibri"/>
          <w:color w:val="000000"/>
          <w:szCs w:val="24"/>
          <w:lang w:eastAsia="pl-PL"/>
        </w:rPr>
        <w:t>prace</w:t>
      </w:r>
      <w:r>
        <w:rPr>
          <w:rFonts w:eastAsia="Times New Roman" w:cs="Calibri"/>
          <w:color w:val="000000"/>
          <w:szCs w:val="24"/>
          <w:lang w:eastAsia="pl-PL"/>
        </w:rPr>
        <w:t xml:space="preserve"> </w:t>
      </w:r>
      <w:r w:rsidRPr="007D37C1">
        <w:rPr>
          <w:rFonts w:eastAsia="Times New Roman" w:cs="Calibri"/>
          <w:color w:val="000000"/>
          <w:szCs w:val="24"/>
          <w:lang w:eastAsia="pl-PL"/>
        </w:rPr>
        <w:t>bezpośrednio</w:t>
      </w:r>
      <w:r>
        <w:rPr>
          <w:rFonts w:eastAsia="Times New Roman" w:cs="Calibri"/>
          <w:color w:val="000000"/>
          <w:szCs w:val="24"/>
          <w:lang w:eastAsia="pl-PL"/>
        </w:rPr>
        <w:t xml:space="preserve"> </w:t>
      </w:r>
      <w:r w:rsidRPr="007D37C1">
        <w:rPr>
          <w:rFonts w:eastAsia="Times New Roman" w:cs="Calibri"/>
          <w:color w:val="000000"/>
          <w:szCs w:val="24"/>
          <w:lang w:eastAsia="pl-PL"/>
        </w:rPr>
        <w:t>związane</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realizacją przedmiotu Umowy oraz części wynagrodzenia odpowiadającej temu zakresowi</w:t>
      </w:r>
      <w:r>
        <w:rPr>
          <w:rFonts w:eastAsia="Times New Roman" w:cs="Calibri"/>
          <w:color w:val="000000"/>
          <w:szCs w:val="24"/>
          <w:lang w:eastAsia="pl-PL"/>
        </w:rPr>
        <w:t>.</w:t>
      </w:r>
      <w:r w:rsidRPr="007D37C1">
        <w:rPr>
          <w:rFonts w:eastAsia="Times New Roman" w:cs="Calibri"/>
          <w:color w:val="000000"/>
          <w:szCs w:val="24"/>
          <w:lang w:eastAsia="pl-PL"/>
        </w:rPr>
        <w:t xml:space="preserve"> </w:t>
      </w:r>
    </w:p>
    <w:p w14:paraId="2921CF06" w14:textId="10834C1C"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58CB21C6"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w:t>
      </w:r>
      <w:r w:rsidRPr="00514DB7">
        <w:rPr>
          <w:rFonts w:eastAsia="MS Mincho" w:cs="Calibri"/>
        </w:rPr>
        <w:lastRenderedPageBreak/>
        <w:t xml:space="preserve">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72DF799F" w14:textId="77777777" w:rsidR="002271D1" w:rsidRPr="002271D1" w:rsidRDefault="002271D1" w:rsidP="002271D1">
      <w:pPr>
        <w:widowControl w:val="0"/>
        <w:numPr>
          <w:ilvl w:val="0"/>
          <w:numId w:val="21"/>
        </w:numPr>
        <w:tabs>
          <w:tab w:val="clear" w:pos="720"/>
        </w:tabs>
        <w:spacing w:after="0" w:line="360" w:lineRule="auto"/>
        <w:ind w:left="357" w:hanging="357"/>
        <w:jc w:val="both"/>
        <w:rPr>
          <w:rFonts w:eastAsia="MS Mincho" w:cs="Calibri"/>
        </w:rPr>
      </w:pPr>
      <w:r w:rsidRPr="002271D1">
        <w:rPr>
          <w:rFonts w:eastAsia="MS Mincho" w:cs="Calibri"/>
        </w:rPr>
        <w:t xml:space="preserve">Ewentualne spory w relacjach z Wykonawcą/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 </w:t>
      </w:r>
    </w:p>
    <w:p w14:paraId="6C8F1DCE" w14:textId="29EB0220"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5CD32005" w14:textId="77777777" w:rsidR="00E566B1" w:rsidRDefault="00E566B1" w:rsidP="00517A56">
      <w:pPr>
        <w:spacing w:after="0" w:line="240" w:lineRule="auto"/>
        <w:jc w:val="center"/>
        <w:rPr>
          <w:b/>
        </w:rPr>
      </w:pPr>
    </w:p>
    <w:p w14:paraId="7C58E836" w14:textId="191BDBFC"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2A8058FA"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3356E6F5"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8D636B" w:rsidRPr="008D636B">
        <w:rPr>
          <w:rFonts w:ascii="Calibri" w:hAnsi="Calibri"/>
          <w:b/>
          <w:sz w:val="20"/>
          <w:szCs w:val="20"/>
        </w:rPr>
        <w:t>Wykonanie izolacji przeciwwilgociowej zabytkowego budynku Leśniczówki w Stryszawie</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32BFCDFF"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8D636B" w:rsidRPr="008D636B">
        <w:rPr>
          <w:b/>
          <w:sz w:val="20"/>
          <w:szCs w:val="20"/>
        </w:rPr>
        <w:t>Wykonanie izolacji przeciwwilgociowej zabytkowego budynku Leśniczówki w Stryszawie</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pple Chancery">
    <w:panose1 w:val="03020702040506060504"/>
    <w:charset w:val="00"/>
    <w:family w:val="script"/>
    <w:pitch w:val="variable"/>
    <w:sig w:usb0="00000003" w:usb1="00000000" w:usb2="00000000" w:usb3="00000000" w:csb0="00000001"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singleLevel"/>
    <w:tmpl w:val="00000010"/>
    <w:name w:val="WW8Num23"/>
    <w:lvl w:ilvl="0">
      <w:start w:val="1"/>
      <w:numFmt w:val="decimal"/>
      <w:lvlText w:val="%1."/>
      <w:lvlJc w:val="left"/>
      <w:pPr>
        <w:tabs>
          <w:tab w:val="num" w:pos="360"/>
        </w:tabs>
        <w:ind w:left="360" w:hanging="360"/>
      </w:pPr>
    </w:lvl>
  </w:abstractNum>
  <w:abstractNum w:abstractNumId="3"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7C137AD"/>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2"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8F1F5E"/>
    <w:multiLevelType w:val="hybridMultilevel"/>
    <w:tmpl w:val="3EB405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3D46EF"/>
    <w:multiLevelType w:val="hybridMultilevel"/>
    <w:tmpl w:val="1F987524"/>
    <w:lvl w:ilvl="0" w:tplc="6D4EB5CA">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DB869AD"/>
    <w:multiLevelType w:val="hybridMultilevel"/>
    <w:tmpl w:val="70DAFCFA"/>
    <w:lvl w:ilvl="0" w:tplc="A5A29FBA">
      <w:start w:val="1"/>
      <w:numFmt w:val="decimal"/>
      <w:lvlText w:val="%1."/>
      <w:lvlJc w:val="left"/>
      <w:pPr>
        <w:ind w:left="720" w:hanging="360"/>
      </w:pPr>
      <w:rPr>
        <w:b w:val="0"/>
        <w:bCs/>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3"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5633345F"/>
    <w:multiLevelType w:val="hybridMultilevel"/>
    <w:tmpl w:val="DAAEE1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64416B"/>
    <w:multiLevelType w:val="hybridMultilevel"/>
    <w:tmpl w:val="5AECA0BE"/>
    <w:lvl w:ilvl="0" w:tplc="3FE6CBAE">
      <w:start w:val="1"/>
      <w:numFmt w:val="decimal"/>
      <w:lvlText w:val="%1)"/>
      <w:lvlJc w:val="left"/>
      <w:pPr>
        <w:ind w:left="1080" w:hanging="360"/>
      </w:pPr>
      <w:rPr>
        <w:rFonts w:ascii="Calibri" w:hAnsi="Calibri" w:cs="Calibri" w:hint="default"/>
        <w:sz w:val="20"/>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53"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AF62B8"/>
    <w:multiLevelType w:val="hybridMultilevel"/>
    <w:tmpl w:val="870658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A77CC3"/>
    <w:multiLevelType w:val="hybridMultilevel"/>
    <w:tmpl w:val="8706584E"/>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8"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6FD5122C"/>
    <w:multiLevelType w:val="hybridMultilevel"/>
    <w:tmpl w:val="8706584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70431786"/>
    <w:multiLevelType w:val="hybridMultilevel"/>
    <w:tmpl w:val="8706584E"/>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1"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2"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9C5570E"/>
    <w:multiLevelType w:val="singleLevel"/>
    <w:tmpl w:val="46F24706"/>
    <w:lvl w:ilvl="0">
      <w:start w:val="1"/>
      <w:numFmt w:val="decimal"/>
      <w:lvlText w:val="%1."/>
      <w:lvlJc w:val="left"/>
      <w:pPr>
        <w:tabs>
          <w:tab w:val="num" w:pos="360"/>
        </w:tabs>
        <w:ind w:left="360" w:hanging="360"/>
      </w:pPr>
      <w:rPr>
        <w:rFonts w:hint="default"/>
      </w:rPr>
    </w:lvl>
  </w:abstractNum>
  <w:abstractNum w:abstractNumId="6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9"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42"/>
    <w:lvlOverride w:ilvl="0">
      <w:startOverride w:val="1"/>
    </w:lvlOverride>
  </w:num>
  <w:num w:numId="3" w16cid:durableId="84813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53"/>
  </w:num>
  <w:num w:numId="14" w16cid:durableId="1042749005">
    <w:abstractNumId w:val="22"/>
  </w:num>
  <w:num w:numId="15" w16cid:durableId="245849577">
    <w:abstractNumId w:val="69"/>
  </w:num>
  <w:num w:numId="16" w16cid:durableId="1866864434">
    <w:abstractNumId w:val="26"/>
  </w:num>
  <w:num w:numId="17" w16cid:durableId="1464348006">
    <w:abstractNumId w:val="31"/>
  </w:num>
  <w:num w:numId="18" w16cid:durableId="2116168138">
    <w:abstractNumId w:val="61"/>
  </w:num>
  <w:num w:numId="19" w16cid:durableId="137236043">
    <w:abstractNumId w:val="12"/>
  </w:num>
  <w:num w:numId="20" w16cid:durableId="469589425">
    <w:abstractNumId w:val="50"/>
  </w:num>
  <w:num w:numId="21" w16cid:durableId="1115363276">
    <w:abstractNumId w:val="17"/>
  </w:num>
  <w:num w:numId="22" w16cid:durableId="309022038">
    <w:abstractNumId w:val="54"/>
  </w:num>
  <w:num w:numId="23" w16cid:durableId="1026099850">
    <w:abstractNumId w:val="7"/>
  </w:num>
  <w:num w:numId="24" w16cid:durableId="1500775007">
    <w:abstractNumId w:val="36"/>
  </w:num>
  <w:num w:numId="25" w16cid:durableId="103967957">
    <w:abstractNumId w:val="19"/>
  </w:num>
  <w:num w:numId="26" w16cid:durableId="820924408">
    <w:abstractNumId w:val="44"/>
  </w:num>
  <w:num w:numId="27" w16cid:durableId="1129317799">
    <w:abstractNumId w:val="18"/>
  </w:num>
  <w:num w:numId="28" w16cid:durableId="35472110">
    <w:abstractNumId w:val="34"/>
  </w:num>
  <w:num w:numId="29" w16cid:durableId="1253857324">
    <w:abstractNumId w:val="28"/>
  </w:num>
  <w:num w:numId="30" w16cid:durableId="1578129382">
    <w:abstractNumId w:val="24"/>
  </w:num>
  <w:num w:numId="31" w16cid:durableId="2107115096">
    <w:abstractNumId w:val="63"/>
  </w:num>
  <w:num w:numId="32" w16cid:durableId="284511472">
    <w:abstractNumId w:val="25"/>
  </w:num>
  <w:num w:numId="33" w16cid:durableId="1253271328">
    <w:abstractNumId w:val="32"/>
  </w:num>
  <w:num w:numId="34" w16cid:durableId="256182484">
    <w:abstractNumId w:val="47"/>
  </w:num>
  <w:num w:numId="35" w16cid:durableId="2141337606">
    <w:abstractNumId w:val="16"/>
  </w:num>
  <w:num w:numId="36" w16cid:durableId="804733066">
    <w:abstractNumId w:val="4"/>
  </w:num>
  <w:num w:numId="37" w16cid:durableId="183251808">
    <w:abstractNumId w:val="52"/>
  </w:num>
  <w:num w:numId="38" w16cid:durableId="388577480">
    <w:abstractNumId w:val="68"/>
  </w:num>
  <w:num w:numId="39" w16cid:durableId="77555122">
    <w:abstractNumId w:val="62"/>
  </w:num>
  <w:num w:numId="40" w16cid:durableId="1434284105">
    <w:abstractNumId w:val="15"/>
  </w:num>
  <w:num w:numId="41" w16cid:durableId="881597670">
    <w:abstractNumId w:val="21"/>
  </w:num>
  <w:num w:numId="42" w16cid:durableId="1991012852">
    <w:abstractNumId w:val="23"/>
  </w:num>
  <w:num w:numId="43" w16cid:durableId="765003012">
    <w:abstractNumId w:val="13"/>
  </w:num>
  <w:num w:numId="44" w16cid:durableId="1289360357">
    <w:abstractNumId w:val="35"/>
  </w:num>
  <w:num w:numId="45" w16cid:durableId="1766610088">
    <w:abstractNumId w:val="33"/>
  </w:num>
  <w:num w:numId="46" w16cid:durableId="377510620">
    <w:abstractNumId w:val="38"/>
  </w:num>
  <w:num w:numId="47" w16cid:durableId="1545945694">
    <w:abstractNumId w:val="41"/>
  </w:num>
  <w:num w:numId="48" w16cid:durableId="653145279">
    <w:abstractNumId w:val="10"/>
  </w:num>
  <w:num w:numId="49" w16cid:durableId="220866679">
    <w:abstractNumId w:val="20"/>
  </w:num>
  <w:num w:numId="50" w16cid:durableId="1298103736">
    <w:abstractNumId w:val="67"/>
  </w:num>
  <w:num w:numId="51" w16cid:durableId="262106359">
    <w:abstractNumId w:val="40"/>
  </w:num>
  <w:num w:numId="52" w16cid:durableId="1127357529">
    <w:abstractNumId w:val="49"/>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3"/>
  </w:num>
  <w:num w:numId="55" w16cid:durableId="887693203">
    <w:abstractNumId w:val="8"/>
  </w:num>
  <w:num w:numId="56" w16cid:durableId="1711760618">
    <w:abstractNumId w:val="30"/>
  </w:num>
  <w:num w:numId="57" w16cid:durableId="1949580233">
    <w:abstractNumId w:val="37"/>
  </w:num>
  <w:num w:numId="58" w16cid:durableId="813564512">
    <w:abstractNumId w:val="39"/>
  </w:num>
  <w:num w:numId="59" w16cid:durableId="833490434">
    <w:abstractNumId w:val="27"/>
  </w:num>
  <w:num w:numId="60" w16cid:durableId="1949193944">
    <w:abstractNumId w:val="48"/>
  </w:num>
  <w:num w:numId="61" w16cid:durableId="1790780507">
    <w:abstractNumId w:val="65"/>
  </w:num>
  <w:num w:numId="62" w16cid:durableId="1355619958">
    <w:abstractNumId w:val="2"/>
  </w:num>
  <w:num w:numId="63" w16cid:durableId="549265136">
    <w:abstractNumId w:val="9"/>
  </w:num>
  <w:num w:numId="64" w16cid:durableId="723528794">
    <w:abstractNumId w:val="59"/>
  </w:num>
  <w:num w:numId="65" w16cid:durableId="969944644">
    <w:abstractNumId w:val="55"/>
  </w:num>
  <w:num w:numId="66" w16cid:durableId="316955235">
    <w:abstractNumId w:val="51"/>
  </w:num>
  <w:num w:numId="67" w16cid:durableId="429280180">
    <w:abstractNumId w:val="57"/>
  </w:num>
  <w:num w:numId="68" w16cid:durableId="431054882">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1A68"/>
    <w:rsid w:val="001A3064"/>
    <w:rsid w:val="001A75A0"/>
    <w:rsid w:val="001B4016"/>
    <w:rsid w:val="001B41E6"/>
    <w:rsid w:val="001B440A"/>
    <w:rsid w:val="001D2699"/>
    <w:rsid w:val="001D294B"/>
    <w:rsid w:val="001D4C21"/>
    <w:rsid w:val="001E2899"/>
    <w:rsid w:val="001E2F56"/>
    <w:rsid w:val="001E493A"/>
    <w:rsid w:val="001F464C"/>
    <w:rsid w:val="00203FD6"/>
    <w:rsid w:val="0020616D"/>
    <w:rsid w:val="00216698"/>
    <w:rsid w:val="00221038"/>
    <w:rsid w:val="00224710"/>
    <w:rsid w:val="002262CB"/>
    <w:rsid w:val="002271D1"/>
    <w:rsid w:val="0023154A"/>
    <w:rsid w:val="00231769"/>
    <w:rsid w:val="00233A32"/>
    <w:rsid w:val="0023509C"/>
    <w:rsid w:val="00245E82"/>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125F6"/>
    <w:rsid w:val="00412F5B"/>
    <w:rsid w:val="00420FC2"/>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42B2"/>
    <w:rsid w:val="00677484"/>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265C0"/>
    <w:rsid w:val="00734D74"/>
    <w:rsid w:val="00740ABE"/>
    <w:rsid w:val="00741FCE"/>
    <w:rsid w:val="00743D2A"/>
    <w:rsid w:val="00752D6F"/>
    <w:rsid w:val="00763E0B"/>
    <w:rsid w:val="007640F5"/>
    <w:rsid w:val="0076676E"/>
    <w:rsid w:val="00767740"/>
    <w:rsid w:val="007708CD"/>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7F1675"/>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56FD"/>
    <w:rsid w:val="00846016"/>
    <w:rsid w:val="00851BD0"/>
    <w:rsid w:val="00857C94"/>
    <w:rsid w:val="00867F67"/>
    <w:rsid w:val="008751E5"/>
    <w:rsid w:val="008767D5"/>
    <w:rsid w:val="00877AEA"/>
    <w:rsid w:val="008840F5"/>
    <w:rsid w:val="0089039A"/>
    <w:rsid w:val="00891D36"/>
    <w:rsid w:val="00896149"/>
    <w:rsid w:val="008A339F"/>
    <w:rsid w:val="008C06AF"/>
    <w:rsid w:val="008C51CC"/>
    <w:rsid w:val="008D11E4"/>
    <w:rsid w:val="008D233F"/>
    <w:rsid w:val="008D3715"/>
    <w:rsid w:val="008D6175"/>
    <w:rsid w:val="008D636B"/>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26B86"/>
    <w:rsid w:val="009413C3"/>
    <w:rsid w:val="00943298"/>
    <w:rsid w:val="00945FBB"/>
    <w:rsid w:val="00951582"/>
    <w:rsid w:val="00953F25"/>
    <w:rsid w:val="0095519B"/>
    <w:rsid w:val="0095682E"/>
    <w:rsid w:val="009577B1"/>
    <w:rsid w:val="00964CE3"/>
    <w:rsid w:val="00967C60"/>
    <w:rsid w:val="00971C3A"/>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4027"/>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B9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08F6"/>
    <w:rsid w:val="00E566B1"/>
    <w:rsid w:val="00E5717E"/>
    <w:rsid w:val="00E611F3"/>
    <w:rsid w:val="00E6192E"/>
    <w:rsid w:val="00E621A3"/>
    <w:rsid w:val="00E657B4"/>
    <w:rsid w:val="00E724A7"/>
    <w:rsid w:val="00E750C4"/>
    <w:rsid w:val="00E77927"/>
    <w:rsid w:val="00E80FB7"/>
    <w:rsid w:val="00E85B74"/>
    <w:rsid w:val="00E937F8"/>
    <w:rsid w:val="00EB0A4E"/>
    <w:rsid w:val="00EB70F5"/>
    <w:rsid w:val="00EB7DBE"/>
    <w:rsid w:val="00EC02D7"/>
    <w:rsid w:val="00EC0B92"/>
    <w:rsid w:val="00EC37D7"/>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36</Pages>
  <Words>12435</Words>
  <Characters>74616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321</cp:revision>
  <cp:lastPrinted>2022-07-12T08:05:00Z</cp:lastPrinted>
  <dcterms:created xsi:type="dcterms:W3CDTF">2021-03-09T11:00:00Z</dcterms:created>
  <dcterms:modified xsi:type="dcterms:W3CDTF">2024-07-25T08:07:00Z</dcterms:modified>
</cp:coreProperties>
</file>