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0" w:rsidRPr="00DF74D0" w:rsidRDefault="00DF74D0" w:rsidP="00DF74D0">
      <w:pPr>
        <w:tabs>
          <w:tab w:val="left" w:pos="284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F74D0">
        <w:rPr>
          <w:rFonts w:ascii="Times New Roman" w:eastAsia="Calibri" w:hAnsi="Times New Roman" w:cs="Times New Roman"/>
          <w:b/>
        </w:rPr>
        <w:t>POMP</w:t>
      </w:r>
      <w:r w:rsidR="00F57052">
        <w:rPr>
          <w:rFonts w:ascii="Times New Roman" w:eastAsia="Calibri" w:hAnsi="Times New Roman" w:cs="Times New Roman"/>
          <w:b/>
        </w:rPr>
        <w:t>A</w:t>
      </w:r>
      <w:r w:rsidRPr="00DF74D0">
        <w:rPr>
          <w:rFonts w:ascii="Times New Roman" w:eastAsia="Calibri" w:hAnsi="Times New Roman" w:cs="Times New Roman"/>
          <w:b/>
        </w:rPr>
        <w:t xml:space="preserve"> OBIEGOW</w:t>
      </w:r>
      <w:r w:rsidR="00F57052">
        <w:rPr>
          <w:rFonts w:ascii="Times New Roman" w:eastAsia="Calibri" w:hAnsi="Times New Roman" w:cs="Times New Roman"/>
          <w:b/>
        </w:rPr>
        <w:t>A</w:t>
      </w:r>
      <w:bookmarkStart w:id="0" w:name="_GoBack"/>
      <w:bookmarkEnd w:id="0"/>
      <w:r w:rsidRPr="00DF74D0">
        <w:rPr>
          <w:rFonts w:ascii="Times New Roman" w:eastAsia="Calibri" w:hAnsi="Times New Roman" w:cs="Times New Roman"/>
          <w:b/>
        </w:rPr>
        <w:t xml:space="preserve"> OLEJU SMAROWEGO SILNIKA OKRĘTOWEGO (KOMPLET WRAZ Z SILNIKIEM ELEKTRYCZNYM)</w:t>
      </w:r>
    </w:p>
    <w:p w:rsidR="00DF74D0" w:rsidRDefault="00DF74D0" w:rsidP="00DF74D0">
      <w:pPr>
        <w:tabs>
          <w:tab w:val="left" w:pos="284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74D0" w:rsidRPr="00CA04ED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CA04ED">
        <w:rPr>
          <w:rFonts w:eastAsia="Calibri"/>
        </w:rPr>
        <w:t xml:space="preserve">Przedmiotem zamówienia jest </w:t>
      </w:r>
      <w:r w:rsidRPr="003B0DD2">
        <w:rPr>
          <w:rFonts w:eastAsia="Calibri"/>
          <w:b/>
        </w:rPr>
        <w:t>dostawa, montaż i uruchomienie</w:t>
      </w:r>
      <w:r w:rsidRPr="00CA04ED">
        <w:rPr>
          <w:rFonts w:eastAsia="Calibri"/>
        </w:rPr>
        <w:t xml:space="preserve"> </w:t>
      </w:r>
      <w:r>
        <w:rPr>
          <w:rFonts w:eastAsia="Calibri"/>
        </w:rPr>
        <w:t xml:space="preserve">pompy </w:t>
      </w:r>
      <w:r w:rsidRPr="003B0DD2">
        <w:rPr>
          <w:rFonts w:eastAsia="Calibri"/>
        </w:rPr>
        <w:t xml:space="preserve">obiegowej oleju smarowego silnika okrętowego </w:t>
      </w:r>
      <w:r>
        <w:rPr>
          <w:rFonts w:eastAsia="Calibri"/>
        </w:rPr>
        <w:t>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</w:t>
      </w:r>
      <w:r w:rsidRPr="00CA04ED">
        <w:rPr>
          <w:rFonts w:eastAsia="Calibri"/>
        </w:rPr>
        <w:t>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Poszczególne elementy muszą być fabrycznie nowe.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zabezpieczy procesy technologiczne związane z demontażem, montażem wraz z przystosowaniem fundamentów i przyłączy urządzeń do istniejących systemów w laboratorium.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demontaż starych agregatów pompowych i przekaże zamawiającemu.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wykona i dostosuje przyłącza do nowo montowanych urządzeń.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próby zdawczo-odbiorcze nowo zamontowanych urządzeń w działaniu.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na czas wymiany zabezpieczy powstałe otwory, końcówki rur, kabli itp.</w:t>
      </w:r>
    </w:p>
    <w:p w:rsidR="00DF74D0" w:rsidRDefault="00DF74D0" w:rsidP="00DF74D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CA04ED">
        <w:rPr>
          <w:rFonts w:eastAsia="Calibri"/>
        </w:rPr>
        <w:t>Wymagane parametry</w:t>
      </w:r>
      <w:r>
        <w:rPr>
          <w:rFonts w:eastAsia="Calibri"/>
        </w:rPr>
        <w:t xml:space="preserve"> pompy </w:t>
      </w:r>
      <w:r w:rsidRPr="003B0DD2">
        <w:rPr>
          <w:rFonts w:eastAsia="Calibri"/>
        </w:rPr>
        <w:t xml:space="preserve">obiegowej oleju smarowego silnika okrętowego </w:t>
      </w:r>
      <w:r>
        <w:rPr>
          <w:rFonts w:eastAsia="Calibri"/>
        </w:rPr>
        <w:t>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</w:t>
      </w:r>
      <w:r w:rsidRPr="00CA04ED">
        <w:rPr>
          <w:rFonts w:eastAsia="Calibri"/>
        </w:rPr>
        <w:t>.</w:t>
      </w:r>
    </w:p>
    <w:p w:rsidR="00DF74D0" w:rsidRPr="00CA04ED" w:rsidRDefault="00DF74D0" w:rsidP="00DF74D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/>
        </w:rPr>
      </w:pPr>
      <w:r>
        <w:rPr>
          <w:rFonts w:eastAsia="Calibri"/>
        </w:rPr>
        <w:t xml:space="preserve">dla prędkości obrotowej wynoszącej 1450 </w:t>
      </w:r>
      <w:proofErr w:type="spellStart"/>
      <w:r>
        <w:rPr>
          <w:rFonts w:eastAsia="Calibri"/>
        </w:rPr>
        <w:t>obr</w:t>
      </w:r>
      <w:proofErr w:type="spellEnd"/>
      <w:r>
        <w:rPr>
          <w:rFonts w:eastAsia="Calibri"/>
        </w:rPr>
        <w:t>/min.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030"/>
        <w:gridCol w:w="824"/>
        <w:gridCol w:w="822"/>
        <w:gridCol w:w="823"/>
        <w:gridCol w:w="823"/>
        <w:gridCol w:w="823"/>
        <w:gridCol w:w="823"/>
        <w:gridCol w:w="824"/>
        <w:gridCol w:w="824"/>
      </w:tblGrid>
      <w:tr w:rsidR="00DF74D0" w:rsidRPr="003221C8" w:rsidTr="006531C1">
        <w:tc>
          <w:tcPr>
            <w:tcW w:w="827" w:type="dxa"/>
            <w:vMerge w:val="restart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  <w:rPr>
                <w:bCs/>
              </w:rPr>
            </w:pPr>
            <w:r w:rsidRPr="003221C8">
              <w:rPr>
                <w:bCs/>
              </w:rPr>
              <w:t xml:space="preserve">Lepkość </w:t>
            </w:r>
            <w:proofErr w:type="spellStart"/>
            <w:r w:rsidRPr="003221C8">
              <w:rPr>
                <w:bCs/>
              </w:rPr>
              <w:t>cSt</w:t>
            </w:r>
            <w:proofErr w:type="spellEnd"/>
          </w:p>
        </w:tc>
        <w:tc>
          <w:tcPr>
            <w:tcW w:w="5762" w:type="dxa"/>
            <w:gridSpan w:val="7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  <w:rPr>
                <w:bCs/>
                <w:vertAlign w:val="superscript"/>
              </w:rPr>
            </w:pPr>
            <w:r w:rsidRPr="003221C8">
              <w:rPr>
                <w:bCs/>
              </w:rPr>
              <w:t>Ciśnienie MN/m</w:t>
            </w:r>
            <w:r w:rsidRPr="003221C8">
              <w:rPr>
                <w:bCs/>
                <w:vertAlign w:val="superscript"/>
              </w:rPr>
              <w:t>2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</w:tcPr>
          <w:p w:rsidR="00DF74D0" w:rsidRPr="003221C8" w:rsidRDefault="00DF74D0" w:rsidP="006531C1">
            <w:pPr>
              <w:pStyle w:val="Akapitzlist"/>
              <w:ind w:left="113" w:right="113"/>
              <w:jc w:val="center"/>
              <w:rPr>
                <w:bCs/>
              </w:rPr>
            </w:pPr>
            <w:r w:rsidRPr="003221C8">
              <w:rPr>
                <w:bCs/>
              </w:rPr>
              <w:t>Max. wysokość ssania m sł. . H</w:t>
            </w:r>
            <w:r w:rsidRPr="003221C8">
              <w:rPr>
                <w:bCs/>
                <w:vertAlign w:val="subscript"/>
              </w:rPr>
              <w:t>2</w:t>
            </w:r>
            <w:r w:rsidRPr="003221C8">
              <w:rPr>
                <w:bCs/>
              </w:rPr>
              <w:t>O</w:t>
            </w: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0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0,2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0,4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0,6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0,8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1,0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1,6</w:t>
            </w: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 w:val="restart"/>
            <w:shd w:val="clear" w:color="auto" w:fill="auto"/>
            <w:textDirection w:val="btLr"/>
          </w:tcPr>
          <w:p w:rsidR="00DF74D0" w:rsidRPr="003221C8" w:rsidRDefault="00DF74D0" w:rsidP="006531C1">
            <w:pPr>
              <w:pStyle w:val="Akapitzlist"/>
              <w:ind w:left="113" w:right="113"/>
              <w:jc w:val="center"/>
            </w:pPr>
            <w:r w:rsidRPr="003221C8">
              <w:rPr>
                <w:bCs/>
              </w:rPr>
              <w:t>Wydajność w dm</w:t>
            </w:r>
            <w:r w:rsidRPr="003221C8">
              <w:rPr>
                <w:bCs/>
                <w:vertAlign w:val="superscript"/>
              </w:rPr>
              <w:t>3</w:t>
            </w:r>
            <w:r w:rsidRPr="003221C8">
              <w:rPr>
                <w:bCs/>
              </w:rPr>
              <w:t>/min</w:t>
            </w: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7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23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32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27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24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37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35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33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30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28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25</w:t>
            </w: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75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37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35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33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29</w:t>
            </w: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400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38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37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37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34</w:t>
            </w: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1500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42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40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38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  <w:jc w:val="center"/>
            </w:pPr>
            <w:r w:rsidRPr="003221C8">
              <w:t>36</w:t>
            </w:r>
          </w:p>
        </w:tc>
        <w:tc>
          <w:tcPr>
            <w:tcW w:w="824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</w:tr>
      <w:tr w:rsidR="00DF74D0" w:rsidRPr="003221C8" w:rsidTr="006531C1">
        <w:tc>
          <w:tcPr>
            <w:tcW w:w="827" w:type="dxa"/>
            <w:vMerge w:val="restart"/>
            <w:shd w:val="clear" w:color="auto" w:fill="auto"/>
            <w:textDirection w:val="btLr"/>
          </w:tcPr>
          <w:p w:rsidR="00DF74D0" w:rsidRPr="003221C8" w:rsidRDefault="00DF74D0" w:rsidP="006531C1">
            <w:pPr>
              <w:pStyle w:val="Akapitzlist"/>
              <w:ind w:left="113" w:right="113"/>
              <w:jc w:val="center"/>
              <w:rPr>
                <w:bCs/>
              </w:rPr>
            </w:pPr>
            <w:r w:rsidRPr="003221C8">
              <w:rPr>
                <w:bCs/>
              </w:rPr>
              <w:t>Moc kW</w:t>
            </w: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20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0,08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0,44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0,59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0,74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0,96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5</w:t>
            </w: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75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0,15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0,37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0,52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0,66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0,81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1,06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1,47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5</w:t>
            </w: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400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0,30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0,25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0,66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0,81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0,96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1,18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1,62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5</w:t>
            </w: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750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0,44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0,59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0,74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0,88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1,10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1,25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1,76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5</w:t>
            </w:r>
          </w:p>
        </w:tc>
      </w:tr>
      <w:tr w:rsidR="00DF74D0" w:rsidRPr="003221C8" w:rsidTr="006531C1">
        <w:tc>
          <w:tcPr>
            <w:tcW w:w="827" w:type="dxa"/>
            <w:vMerge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1500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0,59</w:t>
            </w:r>
          </w:p>
        </w:tc>
        <w:tc>
          <w:tcPr>
            <w:tcW w:w="822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0,74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0,88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1,10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1,25</w:t>
            </w:r>
          </w:p>
        </w:tc>
        <w:tc>
          <w:tcPr>
            <w:tcW w:w="823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1,40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1,91</w:t>
            </w:r>
          </w:p>
        </w:tc>
        <w:tc>
          <w:tcPr>
            <w:tcW w:w="824" w:type="dxa"/>
            <w:shd w:val="clear" w:color="auto" w:fill="auto"/>
          </w:tcPr>
          <w:p w:rsidR="00DF74D0" w:rsidRPr="003221C8" w:rsidRDefault="00DF74D0" w:rsidP="006531C1">
            <w:pPr>
              <w:pStyle w:val="Akapitzlist"/>
              <w:ind w:left="0"/>
            </w:pPr>
            <w:r w:rsidRPr="003221C8">
              <w:t>4</w:t>
            </w:r>
          </w:p>
        </w:tc>
      </w:tr>
    </w:tbl>
    <w:p w:rsidR="00F961E9" w:rsidRDefault="00F961E9"/>
    <w:sectPr w:rsidR="00F9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B06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0"/>
    <w:rsid w:val="00034060"/>
    <w:rsid w:val="00090DBF"/>
    <w:rsid w:val="000E36D5"/>
    <w:rsid w:val="000F3D70"/>
    <w:rsid w:val="001119E8"/>
    <w:rsid w:val="00140910"/>
    <w:rsid w:val="00146F49"/>
    <w:rsid w:val="00174EFE"/>
    <w:rsid w:val="00193C28"/>
    <w:rsid w:val="001A3EC1"/>
    <w:rsid w:val="002371BF"/>
    <w:rsid w:val="00260EFB"/>
    <w:rsid w:val="002B5359"/>
    <w:rsid w:val="002B7945"/>
    <w:rsid w:val="0044142A"/>
    <w:rsid w:val="004E5838"/>
    <w:rsid w:val="00523AA8"/>
    <w:rsid w:val="005554B0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9446E1"/>
    <w:rsid w:val="00977167"/>
    <w:rsid w:val="00981BCD"/>
    <w:rsid w:val="00996788"/>
    <w:rsid w:val="009B6F2A"/>
    <w:rsid w:val="009E5A29"/>
    <w:rsid w:val="009F0D68"/>
    <w:rsid w:val="00A33677"/>
    <w:rsid w:val="00B117D8"/>
    <w:rsid w:val="00B55161"/>
    <w:rsid w:val="00B67CB9"/>
    <w:rsid w:val="00BA0E75"/>
    <w:rsid w:val="00BD2900"/>
    <w:rsid w:val="00C1156C"/>
    <w:rsid w:val="00C27AF7"/>
    <w:rsid w:val="00C34803"/>
    <w:rsid w:val="00CC1ADE"/>
    <w:rsid w:val="00CE50AA"/>
    <w:rsid w:val="00D35BCE"/>
    <w:rsid w:val="00DF74D0"/>
    <w:rsid w:val="00E430A9"/>
    <w:rsid w:val="00E4795C"/>
    <w:rsid w:val="00F57052"/>
    <w:rsid w:val="00F64DE3"/>
    <w:rsid w:val="00F9456F"/>
    <w:rsid w:val="00F961E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D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F74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D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F74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2021-09-14T08:35:00Z</dcterms:created>
  <dcterms:modified xsi:type="dcterms:W3CDTF">2021-09-14T08:43:00Z</dcterms:modified>
</cp:coreProperties>
</file>