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AD03" w14:textId="54D9B314" w:rsidR="00831A7B" w:rsidRDefault="00831A7B" w:rsidP="00831A7B">
      <w:pPr>
        <w:pStyle w:val="Akapitzlist"/>
        <w:tabs>
          <w:tab w:val="left" w:pos="0"/>
        </w:tabs>
        <w:spacing w:after="0" w:line="360" w:lineRule="auto"/>
        <w:ind w:left="0" w:right="1"/>
        <w:jc w:val="right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Załącznik 3 do SWZ</w:t>
      </w:r>
    </w:p>
    <w:p w14:paraId="0825D8B4" w14:textId="79A0BCCB" w:rsidR="005F4511" w:rsidRPr="00721BF9" w:rsidRDefault="005F4511" w:rsidP="009E0986">
      <w:pPr>
        <w:pStyle w:val="Akapitzlist"/>
        <w:tabs>
          <w:tab w:val="left" w:pos="0"/>
        </w:tabs>
        <w:spacing w:after="0" w:line="360" w:lineRule="auto"/>
        <w:ind w:left="0" w:right="1"/>
        <w:jc w:val="both"/>
        <w:rPr>
          <w:rFonts w:ascii="Century Gothic" w:hAnsi="Century Gothic" w:cstheme="minorHAnsi"/>
          <w:b/>
          <w:sz w:val="20"/>
          <w:szCs w:val="20"/>
        </w:rPr>
      </w:pPr>
      <w:r w:rsidRPr="00721BF9">
        <w:rPr>
          <w:rFonts w:ascii="Century Gothic" w:hAnsi="Century Gothic" w:cstheme="minorHAnsi"/>
          <w:b/>
          <w:sz w:val="20"/>
          <w:szCs w:val="20"/>
        </w:rPr>
        <w:t>OPIS PRZEDMIOTU ZAMÓWIENIA</w:t>
      </w:r>
    </w:p>
    <w:p w14:paraId="2EF732A8" w14:textId="77777777" w:rsidR="005F4511" w:rsidRPr="00721BF9" w:rsidRDefault="005F4511" w:rsidP="009E0986">
      <w:pPr>
        <w:pStyle w:val="Akapitzlist"/>
        <w:tabs>
          <w:tab w:val="left" w:pos="0"/>
        </w:tabs>
        <w:spacing w:after="0" w:line="360" w:lineRule="auto"/>
        <w:ind w:left="0" w:right="1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C5F1286" w14:textId="77777777" w:rsidR="00D973B5" w:rsidRPr="00721BF9" w:rsidRDefault="00D973B5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bookmarkStart w:id="0" w:name="_Hlk59144817"/>
      <w:r w:rsidRPr="00721BF9">
        <w:rPr>
          <w:rFonts w:ascii="Century Gothic" w:hAnsi="Century Gothic" w:cstheme="minorHAnsi"/>
          <w:sz w:val="20"/>
          <w:szCs w:val="20"/>
        </w:rPr>
        <w:t>Przedmiotem zamówienia jest</w:t>
      </w:r>
      <w:r w:rsidR="00992792" w:rsidRPr="00721BF9">
        <w:rPr>
          <w:rFonts w:ascii="Century Gothic" w:hAnsi="Century Gothic" w:cstheme="minorHAnsi"/>
          <w:sz w:val="20"/>
          <w:szCs w:val="20"/>
        </w:rPr>
        <w:t xml:space="preserve"> </w:t>
      </w:r>
      <w:r w:rsidR="00433C53" w:rsidRPr="00721BF9">
        <w:rPr>
          <w:rFonts w:ascii="Century Gothic" w:hAnsi="Century Gothic" w:cstheme="minorHAnsi"/>
          <w:sz w:val="20"/>
          <w:szCs w:val="20"/>
        </w:rPr>
        <w:t xml:space="preserve">sukcesywna </w:t>
      </w:r>
      <w:r w:rsidR="00992792" w:rsidRPr="00721BF9">
        <w:rPr>
          <w:rFonts w:ascii="Century Gothic" w:hAnsi="Century Gothic" w:cstheme="minorHAnsi"/>
          <w:sz w:val="20"/>
          <w:szCs w:val="20"/>
        </w:rPr>
        <w:t xml:space="preserve">dostawa </w:t>
      </w:r>
      <w:r w:rsidRPr="00721BF9">
        <w:rPr>
          <w:rFonts w:ascii="Century Gothic" w:hAnsi="Century Gothic" w:cstheme="minorHAnsi"/>
          <w:sz w:val="20"/>
          <w:szCs w:val="20"/>
        </w:rPr>
        <w:t xml:space="preserve">produktów leczniczych zawierających substancję aktywną </w:t>
      </w:r>
      <w:proofErr w:type="spellStart"/>
      <w:r w:rsidR="00433C53" w:rsidRPr="00721BF9">
        <w:rPr>
          <w:rFonts w:ascii="Century Gothic" w:hAnsi="Century Gothic" w:cstheme="minorHAnsi"/>
          <w:i/>
          <w:sz w:val="20"/>
          <w:szCs w:val="20"/>
        </w:rPr>
        <w:t>Sertralinum</w:t>
      </w:r>
      <w:proofErr w:type="spellEnd"/>
      <w:r w:rsidR="00433C53" w:rsidRPr="00721BF9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721BF9">
        <w:rPr>
          <w:rFonts w:ascii="Century Gothic" w:hAnsi="Century Gothic" w:cstheme="minorHAnsi"/>
          <w:sz w:val="20"/>
          <w:szCs w:val="20"/>
        </w:rPr>
        <w:t>oraz placebo</w:t>
      </w:r>
      <w:r w:rsidR="00F00035" w:rsidRPr="00721BF9">
        <w:rPr>
          <w:rFonts w:ascii="Century Gothic" w:hAnsi="Century Gothic" w:cstheme="minorHAnsi"/>
          <w:sz w:val="20"/>
          <w:szCs w:val="20"/>
        </w:rPr>
        <w:t xml:space="preserve"> dla ww. produktu leczniczego</w:t>
      </w:r>
      <w:r w:rsidR="007C3C42" w:rsidRPr="00721BF9">
        <w:rPr>
          <w:rFonts w:ascii="Century Gothic" w:hAnsi="Century Gothic" w:cstheme="minorHAnsi"/>
          <w:sz w:val="20"/>
          <w:szCs w:val="20"/>
        </w:rPr>
        <w:t xml:space="preserve">, </w:t>
      </w:r>
      <w:r w:rsidR="00433C53" w:rsidRPr="00721BF9">
        <w:rPr>
          <w:rFonts w:ascii="Century Gothic" w:hAnsi="Century Gothic" w:cstheme="minorHAnsi"/>
          <w:sz w:val="20"/>
          <w:szCs w:val="20"/>
        </w:rPr>
        <w:t>na potrzeby</w:t>
      </w:r>
      <w:r w:rsidR="007C3C42" w:rsidRPr="00721BF9">
        <w:rPr>
          <w:rFonts w:ascii="Century Gothic" w:hAnsi="Century Gothic" w:cstheme="minorHAnsi"/>
          <w:sz w:val="20"/>
          <w:szCs w:val="20"/>
        </w:rPr>
        <w:t xml:space="preserve"> realizacji</w:t>
      </w:r>
      <w:r w:rsidRPr="00721BF9">
        <w:rPr>
          <w:rFonts w:ascii="Century Gothic" w:hAnsi="Century Gothic" w:cstheme="minorHAnsi"/>
          <w:sz w:val="20"/>
          <w:szCs w:val="20"/>
        </w:rPr>
        <w:t xml:space="preserve"> niekomercyjnego badania klinicznego</w:t>
      </w:r>
      <w:r w:rsidR="00064EE8" w:rsidRPr="00721BF9">
        <w:rPr>
          <w:rFonts w:ascii="Century Gothic" w:hAnsi="Century Gothic" w:cstheme="minorHAnsi"/>
          <w:sz w:val="20"/>
          <w:szCs w:val="20"/>
        </w:rPr>
        <w:t>:</w:t>
      </w:r>
      <w:r w:rsidRPr="00721BF9">
        <w:rPr>
          <w:rFonts w:ascii="Century Gothic" w:hAnsi="Century Gothic" w:cstheme="minorHAnsi"/>
          <w:sz w:val="20"/>
          <w:szCs w:val="20"/>
        </w:rPr>
        <w:t xml:space="preserve"> </w:t>
      </w:r>
      <w:r w:rsidRPr="00721BF9">
        <w:rPr>
          <w:rFonts w:ascii="Century Gothic" w:hAnsi="Century Gothic" w:cstheme="minorHAnsi"/>
          <w:b/>
          <w:sz w:val="20"/>
          <w:szCs w:val="20"/>
        </w:rPr>
        <w:t>„</w:t>
      </w:r>
      <w:r w:rsidR="00CD707A" w:rsidRPr="00721BF9">
        <w:rPr>
          <w:rFonts w:ascii="Century Gothic" w:hAnsi="Century Gothic" w:cstheme="minorHAnsi"/>
          <w:b/>
          <w:sz w:val="20"/>
          <w:szCs w:val="20"/>
        </w:rPr>
        <w:t xml:space="preserve">Efekt </w:t>
      </w:r>
      <w:proofErr w:type="spellStart"/>
      <w:r w:rsidR="00CD707A" w:rsidRPr="00721BF9">
        <w:rPr>
          <w:rFonts w:ascii="Century Gothic" w:hAnsi="Century Gothic" w:cstheme="minorHAnsi"/>
          <w:b/>
          <w:sz w:val="20"/>
          <w:szCs w:val="20"/>
        </w:rPr>
        <w:t>sertraliny</w:t>
      </w:r>
      <w:proofErr w:type="spellEnd"/>
      <w:r w:rsidR="00CD707A" w:rsidRPr="00721BF9">
        <w:rPr>
          <w:rFonts w:ascii="Century Gothic" w:hAnsi="Century Gothic" w:cstheme="minorHAnsi"/>
          <w:b/>
          <w:sz w:val="20"/>
          <w:szCs w:val="20"/>
        </w:rPr>
        <w:t xml:space="preserve"> na objawy depresyjno-lękowe, dysfunkcję śródbłonka oraz </w:t>
      </w:r>
      <w:proofErr w:type="spellStart"/>
      <w:r w:rsidR="00CD707A" w:rsidRPr="00721BF9">
        <w:rPr>
          <w:rFonts w:ascii="Century Gothic" w:hAnsi="Century Gothic" w:cstheme="minorHAnsi"/>
          <w:b/>
          <w:sz w:val="20"/>
          <w:szCs w:val="20"/>
        </w:rPr>
        <w:t>biomarkery</w:t>
      </w:r>
      <w:proofErr w:type="spellEnd"/>
      <w:r w:rsidR="00CD707A" w:rsidRPr="00721BF9">
        <w:rPr>
          <w:rFonts w:ascii="Century Gothic" w:hAnsi="Century Gothic" w:cstheme="minorHAnsi"/>
          <w:b/>
          <w:sz w:val="20"/>
          <w:szCs w:val="20"/>
        </w:rPr>
        <w:t xml:space="preserve"> u pacjentów z niewydolnością serca z zachowaną frakcją wyrzutow</w:t>
      </w:r>
      <w:r w:rsidR="007C3C42" w:rsidRPr="00721BF9">
        <w:rPr>
          <w:rFonts w:ascii="Century Gothic" w:hAnsi="Century Gothic" w:cstheme="minorHAnsi"/>
          <w:b/>
          <w:sz w:val="20"/>
          <w:szCs w:val="20"/>
        </w:rPr>
        <w:t>ą</w:t>
      </w:r>
      <w:r w:rsidR="00CD707A" w:rsidRPr="00721BF9">
        <w:rPr>
          <w:rFonts w:ascii="Century Gothic" w:hAnsi="Century Gothic" w:cstheme="minorHAnsi"/>
          <w:b/>
          <w:sz w:val="20"/>
          <w:szCs w:val="20"/>
        </w:rPr>
        <w:t>”</w:t>
      </w:r>
      <w:r w:rsidR="00963F77" w:rsidRPr="00721BF9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721BF9">
        <w:rPr>
          <w:rFonts w:ascii="Century Gothic" w:hAnsi="Century Gothic" w:cstheme="minorHAnsi"/>
          <w:sz w:val="20"/>
          <w:szCs w:val="20"/>
        </w:rPr>
        <w:t xml:space="preserve">w ramach </w:t>
      </w:r>
      <w:r w:rsidR="00CD707A" w:rsidRPr="00721BF9">
        <w:rPr>
          <w:rFonts w:ascii="Century Gothic" w:hAnsi="Century Gothic" w:cstheme="minorHAnsi"/>
          <w:sz w:val="20"/>
          <w:szCs w:val="20"/>
        </w:rPr>
        <w:t xml:space="preserve">Konkursu na niekomercyjne badania kliniczne w obszarze psychiatrii i neurologii </w:t>
      </w:r>
      <w:r w:rsidRPr="00721BF9">
        <w:rPr>
          <w:rFonts w:ascii="Century Gothic" w:hAnsi="Century Gothic" w:cstheme="minorHAnsi"/>
          <w:sz w:val="20"/>
          <w:szCs w:val="20"/>
        </w:rPr>
        <w:t xml:space="preserve">Agencji Badań Medycznych (ABM). Gdański Uniwersytet Medyczny pełni rolę Sponsora niekomercyjnego badania klinicznego (zgodnie z założeniami Dobrej Praktyki Klinicznej, GCP). </w:t>
      </w:r>
    </w:p>
    <w:p w14:paraId="4656810F" w14:textId="77777777" w:rsidR="00D973B5" w:rsidRPr="00721BF9" w:rsidRDefault="00D973B5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FA2093E" w14:textId="77777777" w:rsidR="00B80E45" w:rsidRPr="00721BF9" w:rsidRDefault="00B80E45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4985D7" w14:textId="77777777" w:rsidR="003F57F9" w:rsidRPr="00721BF9" w:rsidRDefault="00B80E45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b/>
          <w:sz w:val="20"/>
          <w:szCs w:val="20"/>
        </w:rPr>
        <w:t>PODSTAWOWE INFORMACJE DOT. NIEKOMERCYJNEGO BADANIA KLINICZNEGO</w:t>
      </w:r>
    </w:p>
    <w:p w14:paraId="4DA03563" w14:textId="51C18840" w:rsidR="004D242C" w:rsidRPr="00721BF9" w:rsidRDefault="006F35B2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Celem niekomercyjnego badania klinicznego jest </w:t>
      </w:r>
      <w:r w:rsidR="009745CD" w:rsidRPr="00721BF9">
        <w:rPr>
          <w:rFonts w:ascii="Century Gothic" w:hAnsi="Century Gothic" w:cstheme="minorHAnsi"/>
          <w:sz w:val="20"/>
          <w:szCs w:val="20"/>
        </w:rPr>
        <w:t>ocena</w:t>
      </w:r>
      <w:r w:rsidR="00151A3A" w:rsidRPr="00721BF9">
        <w:rPr>
          <w:rFonts w:ascii="Century Gothic" w:hAnsi="Century Gothic" w:cstheme="minorHAnsi"/>
          <w:sz w:val="20"/>
          <w:szCs w:val="20"/>
        </w:rPr>
        <w:t xml:space="preserve"> wpływu </w:t>
      </w:r>
      <w:proofErr w:type="spellStart"/>
      <w:r w:rsidR="00151A3A" w:rsidRPr="00721BF9">
        <w:rPr>
          <w:rFonts w:ascii="Century Gothic" w:hAnsi="Century Gothic" w:cstheme="minorHAnsi"/>
          <w:sz w:val="20"/>
          <w:szCs w:val="20"/>
        </w:rPr>
        <w:t>sertraliny</w:t>
      </w:r>
      <w:proofErr w:type="spellEnd"/>
      <w:r w:rsidR="00151A3A" w:rsidRPr="00721BF9">
        <w:rPr>
          <w:rFonts w:ascii="Century Gothic" w:hAnsi="Century Gothic" w:cstheme="minorHAnsi"/>
          <w:sz w:val="20"/>
          <w:szCs w:val="20"/>
        </w:rPr>
        <w:t xml:space="preserve"> na występowanie objawów depresyjno-lękowych u pacjentów z </w:t>
      </w:r>
      <w:proofErr w:type="spellStart"/>
      <w:r w:rsidR="00151A3A" w:rsidRPr="00721BF9">
        <w:rPr>
          <w:rFonts w:ascii="Century Gothic" w:hAnsi="Century Gothic" w:cstheme="minorHAnsi"/>
          <w:sz w:val="20"/>
          <w:szCs w:val="20"/>
        </w:rPr>
        <w:t>HFpEF</w:t>
      </w:r>
      <w:proofErr w:type="spellEnd"/>
      <w:r w:rsidR="00151A3A" w:rsidRPr="00721BF9">
        <w:rPr>
          <w:rFonts w:ascii="Century Gothic" w:hAnsi="Century Gothic" w:cstheme="minorHAnsi"/>
          <w:sz w:val="20"/>
          <w:szCs w:val="20"/>
        </w:rPr>
        <w:t>.</w:t>
      </w:r>
    </w:p>
    <w:p w14:paraId="162CFE38" w14:textId="77777777" w:rsidR="00DF5B60" w:rsidRPr="00721BF9" w:rsidRDefault="00DF5B60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721695B" w14:textId="77777777" w:rsidR="00DF5B60" w:rsidRPr="00721BF9" w:rsidRDefault="00DF5B60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21BF9">
        <w:rPr>
          <w:rFonts w:ascii="Century Gothic" w:hAnsi="Century Gothic" w:cstheme="minorHAnsi"/>
          <w:b/>
          <w:sz w:val="20"/>
          <w:szCs w:val="20"/>
        </w:rPr>
        <w:t>Cechy badania:</w:t>
      </w:r>
    </w:p>
    <w:p w14:paraId="37D3BF0C" w14:textId="77777777" w:rsidR="00DF5B60" w:rsidRPr="00721BF9" w:rsidRDefault="00DF5B60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bookmarkStart w:id="1" w:name="_Hlk107921190"/>
      <w:r w:rsidRPr="00721BF9">
        <w:rPr>
          <w:rFonts w:ascii="Century Gothic" w:hAnsi="Century Gothic" w:cstheme="minorHAnsi"/>
          <w:sz w:val="20"/>
          <w:szCs w:val="20"/>
        </w:rPr>
        <w:t>- badanie</w:t>
      </w:r>
      <w:r w:rsidR="00064EE8" w:rsidRPr="00721BF9">
        <w:rPr>
          <w:rFonts w:ascii="Century Gothic" w:hAnsi="Century Gothic" w:cstheme="minorHAnsi"/>
          <w:sz w:val="20"/>
          <w:szCs w:val="20"/>
        </w:rPr>
        <w:t xml:space="preserve"> wieloośrodkowe,</w:t>
      </w:r>
      <w:r w:rsidRPr="00721BF9">
        <w:rPr>
          <w:rFonts w:ascii="Century Gothic" w:hAnsi="Century Gothic" w:cstheme="minorHAnsi"/>
          <w:sz w:val="20"/>
          <w:szCs w:val="20"/>
        </w:rPr>
        <w:t xml:space="preserve"> podwójnie zaślepione</w:t>
      </w:r>
      <w:r w:rsidR="00064EE8" w:rsidRPr="00721BF9">
        <w:rPr>
          <w:rFonts w:ascii="Century Gothic" w:hAnsi="Century Gothic" w:cstheme="minorHAnsi"/>
          <w:sz w:val="20"/>
          <w:szCs w:val="20"/>
        </w:rPr>
        <w:t xml:space="preserve"> z grupą kontrolną placebo, randomizowane</w:t>
      </w:r>
      <w:r w:rsidRPr="00721BF9">
        <w:rPr>
          <w:rFonts w:ascii="Century Gothic" w:hAnsi="Century Gothic" w:cstheme="minorHAnsi"/>
          <w:sz w:val="20"/>
          <w:szCs w:val="20"/>
        </w:rPr>
        <w:t xml:space="preserve">, </w:t>
      </w:r>
    </w:p>
    <w:p w14:paraId="5154F3EB" w14:textId="77777777" w:rsidR="00D20596" w:rsidRPr="00721BF9" w:rsidRDefault="00693294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- badane produkty lecznicze: </w:t>
      </w:r>
    </w:p>
    <w:p w14:paraId="431E5FEE" w14:textId="77777777" w:rsidR="00D20596" w:rsidRPr="00721BF9" w:rsidRDefault="00693294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1) produkt leczniczy zawierający w swoim składzie substancję czynną </w:t>
      </w:r>
      <w:proofErr w:type="spellStart"/>
      <w:r w:rsidRPr="00721BF9">
        <w:rPr>
          <w:rFonts w:ascii="Century Gothic" w:hAnsi="Century Gothic" w:cstheme="minorHAnsi"/>
          <w:sz w:val="20"/>
          <w:szCs w:val="20"/>
        </w:rPr>
        <w:t>sertralinę</w:t>
      </w:r>
      <w:proofErr w:type="spellEnd"/>
      <w:r w:rsidRPr="00721BF9">
        <w:rPr>
          <w:rFonts w:ascii="Century Gothic" w:hAnsi="Century Gothic" w:cstheme="minorHAnsi"/>
          <w:sz w:val="20"/>
          <w:szCs w:val="20"/>
        </w:rPr>
        <w:t xml:space="preserve">; </w:t>
      </w:r>
    </w:p>
    <w:p w14:paraId="7F52F3F7" w14:textId="77777777" w:rsidR="00693294" w:rsidRPr="00721BF9" w:rsidRDefault="00693294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2) placebo</w:t>
      </w:r>
    </w:p>
    <w:bookmarkEnd w:id="1"/>
    <w:p w14:paraId="2C664803" w14:textId="77777777" w:rsidR="00DF5B60" w:rsidRPr="00721BF9" w:rsidRDefault="00DF5B60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- planowana liczba uczestników badania klinicznego: </w:t>
      </w:r>
      <w:r w:rsidR="006E192E" w:rsidRPr="00721BF9">
        <w:rPr>
          <w:rFonts w:ascii="Century Gothic" w:hAnsi="Century Gothic" w:cstheme="minorHAnsi"/>
          <w:sz w:val="20"/>
          <w:szCs w:val="20"/>
        </w:rPr>
        <w:t>485</w:t>
      </w:r>
      <w:r w:rsidR="003E1B59" w:rsidRPr="00721BF9">
        <w:rPr>
          <w:rFonts w:ascii="Century Gothic" w:hAnsi="Century Gothic" w:cstheme="minorHAnsi"/>
          <w:sz w:val="20"/>
          <w:szCs w:val="20"/>
        </w:rPr>
        <w:t>,</w:t>
      </w:r>
    </w:p>
    <w:p w14:paraId="6AE5698A" w14:textId="77777777" w:rsidR="00D850D8" w:rsidRPr="00721BF9" w:rsidRDefault="00D850D8" w:rsidP="009E098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  <w:u w:val="single"/>
        </w:rPr>
        <w:t xml:space="preserve">- stosunek </w:t>
      </w:r>
      <w:r w:rsidRPr="00721BF9">
        <w:rPr>
          <w:rFonts w:ascii="Century Gothic" w:eastAsiaTheme="minorHAnsi" w:hAnsi="Century Gothic" w:cstheme="minorHAnsi"/>
          <w:sz w:val="20"/>
          <w:szCs w:val="20"/>
          <w:u w:val="single"/>
          <w:lang w:eastAsia="en-US"/>
        </w:rPr>
        <w:t xml:space="preserve">liczebności grupy </w:t>
      </w:r>
      <w:r w:rsidR="0060259C" w:rsidRPr="00721BF9">
        <w:rPr>
          <w:rFonts w:ascii="Century Gothic" w:eastAsiaTheme="minorHAnsi" w:hAnsi="Century Gothic" w:cstheme="minorHAnsi"/>
          <w:sz w:val="20"/>
          <w:szCs w:val="20"/>
          <w:u w:val="single"/>
          <w:lang w:eastAsia="en-US"/>
        </w:rPr>
        <w:t xml:space="preserve">z </w:t>
      </w:r>
      <w:proofErr w:type="spellStart"/>
      <w:r w:rsidR="0060259C" w:rsidRPr="00721BF9">
        <w:rPr>
          <w:rFonts w:ascii="Century Gothic" w:eastAsiaTheme="minorHAnsi" w:hAnsi="Century Gothic" w:cstheme="minorHAnsi"/>
          <w:sz w:val="20"/>
          <w:szCs w:val="20"/>
          <w:u w:val="single"/>
          <w:lang w:eastAsia="en-US"/>
        </w:rPr>
        <w:t>sertraliną</w:t>
      </w:r>
      <w:proofErr w:type="spellEnd"/>
      <w:r w:rsidRPr="00721BF9">
        <w:rPr>
          <w:rFonts w:ascii="Century Gothic" w:eastAsiaTheme="minorHAnsi" w:hAnsi="Century Gothic" w:cstheme="minorHAnsi"/>
          <w:sz w:val="20"/>
          <w:szCs w:val="20"/>
          <w:u w:val="single"/>
          <w:lang w:eastAsia="en-US"/>
        </w:rPr>
        <w:t xml:space="preserve"> do placebo to 2:1, 323 w grupie </w:t>
      </w:r>
      <w:proofErr w:type="spellStart"/>
      <w:r w:rsidR="0060259C" w:rsidRPr="00721BF9">
        <w:rPr>
          <w:rFonts w:ascii="Century Gothic" w:eastAsiaTheme="minorHAnsi" w:hAnsi="Century Gothic" w:cstheme="minorHAnsi"/>
          <w:sz w:val="20"/>
          <w:szCs w:val="20"/>
          <w:u w:val="single"/>
          <w:lang w:eastAsia="en-US"/>
        </w:rPr>
        <w:t>sertraliny</w:t>
      </w:r>
      <w:proofErr w:type="spellEnd"/>
      <w:r w:rsidR="0060259C" w:rsidRPr="00721BF9">
        <w:rPr>
          <w:rFonts w:ascii="Century Gothic" w:eastAsiaTheme="minorHAnsi" w:hAnsi="Century Gothic" w:cstheme="minorHAnsi"/>
          <w:sz w:val="20"/>
          <w:szCs w:val="20"/>
          <w:u w:val="single"/>
          <w:lang w:eastAsia="en-US"/>
        </w:rPr>
        <w:t xml:space="preserve"> </w:t>
      </w:r>
      <w:r w:rsidRPr="00721BF9">
        <w:rPr>
          <w:rFonts w:ascii="Century Gothic" w:eastAsiaTheme="minorHAnsi" w:hAnsi="Century Gothic" w:cstheme="minorHAnsi"/>
          <w:sz w:val="20"/>
          <w:szCs w:val="20"/>
          <w:u w:val="single"/>
          <w:lang w:eastAsia="en-US"/>
        </w:rPr>
        <w:t>i 162 w grupie placebo</w:t>
      </w:r>
    </w:p>
    <w:p w14:paraId="7E0EB3C9" w14:textId="77777777" w:rsidR="006D517A" w:rsidRPr="00721BF9" w:rsidRDefault="006D517A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- </w:t>
      </w:r>
      <w:r w:rsidR="003E1B59" w:rsidRPr="00721BF9">
        <w:rPr>
          <w:rFonts w:ascii="Century Gothic" w:hAnsi="Century Gothic" w:cstheme="minorHAnsi"/>
          <w:sz w:val="20"/>
          <w:szCs w:val="20"/>
        </w:rPr>
        <w:t xml:space="preserve">wiek uczestników badania klinicznego: </w:t>
      </w:r>
      <w:r w:rsidR="006E192E" w:rsidRPr="00721BF9">
        <w:rPr>
          <w:rFonts w:ascii="Century Gothic" w:hAnsi="Century Gothic" w:cstheme="minorHAnsi"/>
          <w:sz w:val="20"/>
          <w:szCs w:val="20"/>
        </w:rPr>
        <w:t>≥ 60 i &lt;85</w:t>
      </w:r>
      <w:r w:rsidR="003E1B59" w:rsidRPr="00721BF9">
        <w:rPr>
          <w:rFonts w:ascii="Century Gothic" w:hAnsi="Century Gothic" w:cstheme="minorHAnsi"/>
          <w:sz w:val="20"/>
          <w:szCs w:val="20"/>
        </w:rPr>
        <w:t>,</w:t>
      </w:r>
    </w:p>
    <w:p w14:paraId="15143283" w14:textId="77777777" w:rsidR="003E1B59" w:rsidRPr="00721BF9" w:rsidRDefault="003E1B59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- warunkiem koniecznym</w:t>
      </w:r>
      <w:r w:rsidR="00151A3A" w:rsidRPr="00721BF9">
        <w:rPr>
          <w:rFonts w:ascii="Century Gothic" w:hAnsi="Century Gothic" w:cstheme="minorHAnsi"/>
          <w:sz w:val="20"/>
          <w:szCs w:val="20"/>
        </w:rPr>
        <w:t xml:space="preserve"> do</w:t>
      </w:r>
      <w:r w:rsidRPr="00721BF9">
        <w:rPr>
          <w:rFonts w:ascii="Century Gothic" w:hAnsi="Century Gothic" w:cstheme="minorHAnsi"/>
          <w:sz w:val="20"/>
          <w:szCs w:val="20"/>
        </w:rPr>
        <w:t xml:space="preserve"> realizacji badania klinicznego jest dostępność </w:t>
      </w:r>
      <w:r w:rsidR="00151A3A" w:rsidRPr="00721BF9">
        <w:rPr>
          <w:rFonts w:ascii="Century Gothic" w:hAnsi="Century Gothic" w:cstheme="minorHAnsi"/>
          <w:sz w:val="20"/>
          <w:szCs w:val="20"/>
        </w:rPr>
        <w:t>produktu leczniczego</w:t>
      </w:r>
      <w:r w:rsidR="00FD5FC8" w:rsidRPr="00721BF9">
        <w:rPr>
          <w:rFonts w:ascii="Century Gothic" w:hAnsi="Century Gothic" w:cstheme="minorHAnsi"/>
          <w:sz w:val="20"/>
          <w:szCs w:val="20"/>
        </w:rPr>
        <w:t xml:space="preserve"> zwierającego w swoim składzie substancję czynną </w:t>
      </w:r>
      <w:proofErr w:type="spellStart"/>
      <w:r w:rsidR="00433C53" w:rsidRPr="00721BF9">
        <w:rPr>
          <w:rFonts w:ascii="Century Gothic" w:hAnsi="Century Gothic" w:cstheme="minorHAnsi"/>
          <w:i/>
          <w:sz w:val="20"/>
          <w:szCs w:val="20"/>
        </w:rPr>
        <w:t>Sertralinu</w:t>
      </w:r>
      <w:r w:rsidR="00433C53" w:rsidRPr="00721BF9">
        <w:rPr>
          <w:rFonts w:ascii="Century Gothic" w:hAnsi="Century Gothic" w:cstheme="minorHAnsi"/>
          <w:sz w:val="20"/>
          <w:szCs w:val="20"/>
        </w:rPr>
        <w:t>m</w:t>
      </w:r>
      <w:proofErr w:type="spellEnd"/>
      <w:r w:rsidR="00433C53" w:rsidRPr="00721BF9">
        <w:rPr>
          <w:rFonts w:ascii="Century Gothic" w:hAnsi="Century Gothic" w:cstheme="minorHAnsi"/>
          <w:sz w:val="20"/>
          <w:szCs w:val="20"/>
        </w:rPr>
        <w:t xml:space="preserve"> </w:t>
      </w:r>
      <w:r w:rsidR="00151A3A" w:rsidRPr="00721BF9">
        <w:rPr>
          <w:rFonts w:ascii="Century Gothic" w:hAnsi="Century Gothic" w:cstheme="minorHAnsi"/>
          <w:sz w:val="20"/>
          <w:szCs w:val="20"/>
        </w:rPr>
        <w:t xml:space="preserve">w dawce </w:t>
      </w:r>
      <w:r w:rsidRPr="00721BF9">
        <w:rPr>
          <w:rFonts w:ascii="Century Gothic" w:hAnsi="Century Gothic" w:cstheme="minorHAnsi"/>
          <w:sz w:val="20"/>
          <w:szCs w:val="20"/>
        </w:rPr>
        <w:t>jednostkowej</w:t>
      </w:r>
      <w:r w:rsidR="00963F77" w:rsidRPr="00721BF9">
        <w:rPr>
          <w:rFonts w:ascii="Century Gothic" w:hAnsi="Century Gothic" w:cstheme="minorHAnsi"/>
          <w:sz w:val="20"/>
          <w:szCs w:val="20"/>
        </w:rPr>
        <w:t xml:space="preserve"> </w:t>
      </w:r>
      <w:r w:rsidR="00AD4FD6" w:rsidRPr="00721BF9">
        <w:rPr>
          <w:rFonts w:ascii="Century Gothic" w:hAnsi="Century Gothic" w:cstheme="minorHAnsi"/>
          <w:sz w:val="20"/>
          <w:szCs w:val="20"/>
        </w:rPr>
        <w:t>50 mg</w:t>
      </w:r>
      <w:r w:rsidR="00151A3A" w:rsidRPr="00721BF9">
        <w:rPr>
          <w:rFonts w:ascii="Century Gothic" w:hAnsi="Century Gothic" w:cstheme="minorHAnsi"/>
          <w:sz w:val="20"/>
          <w:szCs w:val="20"/>
        </w:rPr>
        <w:t>,</w:t>
      </w:r>
      <w:r w:rsidR="00FD5FC8" w:rsidRPr="00721BF9">
        <w:rPr>
          <w:rFonts w:ascii="Century Gothic" w:hAnsi="Century Gothic" w:cstheme="minorHAnsi"/>
          <w:sz w:val="20"/>
          <w:szCs w:val="20"/>
        </w:rPr>
        <w:t xml:space="preserve"> tabletki muszą posiadać rowek dzielący umożliwiający podzielenie jej na dwie równe części. </w:t>
      </w:r>
    </w:p>
    <w:p w14:paraId="42E2953F" w14:textId="77777777" w:rsidR="00B730EF" w:rsidRPr="00721BF9" w:rsidRDefault="00B730EF" w:rsidP="009E0986">
      <w:pPr>
        <w:tabs>
          <w:tab w:val="right" w:pos="9072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bookmarkEnd w:id="0"/>
    <w:p w14:paraId="09845A92" w14:textId="77777777" w:rsidR="002E674E" w:rsidRPr="00721BF9" w:rsidRDefault="00B80E45" w:rsidP="009E0986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21BF9">
        <w:rPr>
          <w:rFonts w:ascii="Century Gothic" w:hAnsi="Century Gothic" w:cstheme="minorHAnsi"/>
          <w:b/>
          <w:sz w:val="20"/>
          <w:szCs w:val="20"/>
        </w:rPr>
        <w:t>OGÓLNY ZAKRES PRZEDMIOTU ZAMÓWIENIA</w:t>
      </w:r>
    </w:p>
    <w:p w14:paraId="35934DDC" w14:textId="77777777" w:rsidR="00933239" w:rsidRPr="00721BF9" w:rsidRDefault="00933239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Przedmiotem zamówienia jest sukcesywna dostawa produktów leczniczych zawierających substancję aktywną </w:t>
      </w:r>
      <w:proofErr w:type="spellStart"/>
      <w:r w:rsidRPr="00721BF9">
        <w:rPr>
          <w:rFonts w:ascii="Century Gothic" w:hAnsi="Century Gothic" w:cstheme="minorHAnsi"/>
          <w:sz w:val="20"/>
          <w:szCs w:val="20"/>
        </w:rPr>
        <w:t>Sertralinum</w:t>
      </w:r>
      <w:proofErr w:type="spellEnd"/>
      <w:r w:rsidRPr="00721BF9">
        <w:rPr>
          <w:rFonts w:ascii="Century Gothic" w:hAnsi="Century Gothic" w:cstheme="minorHAnsi"/>
          <w:sz w:val="20"/>
          <w:szCs w:val="20"/>
        </w:rPr>
        <w:t xml:space="preserve"> oraz placebo (dalej łącznie „Badane Produkty Lecznicze”), na potrzeby realizacji Badania zgodnie z zasadami rozporządzenia Ministra Zdrowia z dnia 9 listopada 2015 r. w sprawie wymagań Dobrej Praktyki Wytwarzania (tj. Dz.U. z 2019 r. poz. 728; „GMP”) oraz rozporządzenia Ministra Zdrowia z dnia 13 marca 2015 r. w sprawie wymagań Dobrej Praktyki Dystrybucyjnej (</w:t>
      </w:r>
      <w:proofErr w:type="spellStart"/>
      <w:r w:rsidRPr="00721BF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21BF9">
        <w:rPr>
          <w:rFonts w:ascii="Century Gothic" w:hAnsi="Century Gothic" w:cstheme="minorHAnsi"/>
          <w:sz w:val="20"/>
          <w:szCs w:val="20"/>
        </w:rPr>
        <w:t xml:space="preserve">. Dz. U. z 2017 r. poz. 509 z </w:t>
      </w:r>
      <w:proofErr w:type="spellStart"/>
      <w:r w:rsidRPr="00721BF9">
        <w:rPr>
          <w:rFonts w:ascii="Century Gothic" w:hAnsi="Century Gothic" w:cstheme="minorHAnsi"/>
          <w:sz w:val="20"/>
          <w:szCs w:val="20"/>
        </w:rPr>
        <w:t>późn</w:t>
      </w:r>
      <w:proofErr w:type="spellEnd"/>
      <w:r w:rsidRPr="00721BF9">
        <w:rPr>
          <w:rFonts w:ascii="Century Gothic" w:hAnsi="Century Gothic" w:cstheme="minorHAnsi"/>
          <w:sz w:val="20"/>
          <w:szCs w:val="20"/>
        </w:rPr>
        <w:t>. zm.; „GDP”), jak również przygotowanie i dostarczenie Zamawiającemu dokumentacji badanego produktu leczniczego (IMPD) dla placebo.</w:t>
      </w:r>
    </w:p>
    <w:p w14:paraId="6F1EBAF3" w14:textId="77777777" w:rsidR="00B34909" w:rsidRPr="00721BF9" w:rsidRDefault="002E674E" w:rsidP="009E0986">
      <w:pPr>
        <w:pStyle w:val="NormalnyWeb1"/>
        <w:spacing w:before="0"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21BF9">
        <w:rPr>
          <w:rFonts w:ascii="Century Gothic" w:hAnsi="Century Gothic" w:cstheme="minorHAnsi"/>
          <w:b/>
          <w:sz w:val="20"/>
          <w:szCs w:val="20"/>
        </w:rPr>
        <w:lastRenderedPageBreak/>
        <w:t>Przedmiotem niniejszego zamówienia jest:</w:t>
      </w:r>
    </w:p>
    <w:p w14:paraId="08F6E7CE" w14:textId="77777777" w:rsidR="00D33E98" w:rsidRPr="00721BF9" w:rsidRDefault="00D33E98" w:rsidP="009E0986">
      <w:pPr>
        <w:pStyle w:val="Akapitzlist"/>
        <w:numPr>
          <w:ilvl w:val="0"/>
          <w:numId w:val="26"/>
        </w:numPr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Zapewnienie </w:t>
      </w:r>
      <w:r w:rsidR="00B75E55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i dostawa </w:t>
      </w:r>
      <w:r w:rsidR="00770C1B" w:rsidRPr="00721BF9">
        <w:rPr>
          <w:rFonts w:ascii="Century Gothic" w:hAnsi="Century Gothic" w:cstheme="minorHAnsi"/>
          <w:sz w:val="20"/>
          <w:szCs w:val="20"/>
          <w:lang w:eastAsia="ar-SA"/>
        </w:rPr>
        <w:t>B</w:t>
      </w:r>
      <w:r w:rsidR="00B75E55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adanego </w:t>
      </w:r>
      <w:r w:rsidR="00770C1B" w:rsidRPr="00721BF9">
        <w:rPr>
          <w:rFonts w:ascii="Century Gothic" w:hAnsi="Century Gothic" w:cstheme="minorHAnsi"/>
          <w:sz w:val="20"/>
          <w:szCs w:val="20"/>
          <w:lang w:eastAsia="ar-SA"/>
        </w:rPr>
        <w:t>P</w:t>
      </w:r>
      <w:r w:rsidR="00B75E55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roduktu </w:t>
      </w:r>
      <w:r w:rsidR="00770C1B" w:rsidRPr="00721BF9">
        <w:rPr>
          <w:rFonts w:ascii="Century Gothic" w:hAnsi="Century Gothic" w:cstheme="minorHAnsi"/>
          <w:sz w:val="20"/>
          <w:szCs w:val="20"/>
          <w:lang w:eastAsia="ar-SA"/>
        </w:rPr>
        <w:t>L</w:t>
      </w:r>
      <w:r w:rsidR="00B75E55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eczniczego </w:t>
      </w:r>
      <w:r w:rsidRPr="00721BF9">
        <w:rPr>
          <w:rFonts w:ascii="Century Gothic" w:hAnsi="Century Gothic" w:cstheme="minorHAnsi"/>
          <w:sz w:val="20"/>
          <w:szCs w:val="20"/>
          <w:lang w:eastAsia="ar-SA"/>
        </w:rPr>
        <w:t>przez cały okres trwania badania klinicznego</w:t>
      </w:r>
      <w:r w:rsidR="00C406D1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, z terminem ważności </w:t>
      </w:r>
      <w:r w:rsidR="00C406D1" w:rsidRPr="00721BF9">
        <w:rPr>
          <w:rFonts w:ascii="Century Gothic" w:hAnsi="Century Gothic" w:cstheme="minorHAnsi"/>
          <w:b/>
          <w:sz w:val="20"/>
          <w:szCs w:val="20"/>
          <w:u w:val="single"/>
          <w:lang w:eastAsia="ar-SA"/>
        </w:rPr>
        <w:t>min. 24 miesiące</w:t>
      </w:r>
      <w:r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 </w:t>
      </w:r>
      <w:r w:rsidR="00963F77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od dnia dostarczenia towaru do Ośrodka badawczego. </w:t>
      </w:r>
    </w:p>
    <w:p w14:paraId="03277021" w14:textId="77777777" w:rsidR="00B34909" w:rsidRPr="00721BF9" w:rsidRDefault="002E674E" w:rsidP="009E0986">
      <w:pPr>
        <w:pStyle w:val="NormalnyWeb1"/>
        <w:numPr>
          <w:ilvl w:val="0"/>
          <w:numId w:val="26"/>
        </w:numPr>
        <w:spacing w:before="0"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Przygotowanie dokumentacji na potrzeby badania klinicznego dot. </w:t>
      </w:r>
      <w:r w:rsidR="00B34909" w:rsidRPr="00721BF9">
        <w:rPr>
          <w:rFonts w:ascii="Century Gothic" w:hAnsi="Century Gothic" w:cstheme="minorHAnsi"/>
          <w:bCs/>
          <w:sz w:val="20"/>
          <w:szCs w:val="20"/>
        </w:rPr>
        <w:t>Badanego Produktu L</w:t>
      </w:r>
      <w:r w:rsidRPr="00721BF9">
        <w:rPr>
          <w:rFonts w:ascii="Century Gothic" w:hAnsi="Century Gothic" w:cstheme="minorHAnsi"/>
          <w:bCs/>
          <w:sz w:val="20"/>
          <w:szCs w:val="20"/>
        </w:rPr>
        <w:t>eczniczego</w:t>
      </w:r>
      <w:r w:rsidR="00DC55A3" w:rsidRPr="00721BF9">
        <w:rPr>
          <w:rFonts w:ascii="Century Gothic" w:hAnsi="Century Gothic" w:cstheme="minorHAnsi"/>
          <w:bCs/>
          <w:sz w:val="20"/>
          <w:szCs w:val="20"/>
        </w:rPr>
        <w:t xml:space="preserve"> oraz placebo</w:t>
      </w:r>
      <w:r w:rsidR="00B34909" w:rsidRPr="00721BF9">
        <w:rPr>
          <w:rFonts w:ascii="Century Gothic" w:hAnsi="Century Gothic" w:cstheme="minorHAnsi"/>
          <w:bCs/>
          <w:sz w:val="20"/>
          <w:szCs w:val="20"/>
        </w:rPr>
        <w:t>:</w:t>
      </w:r>
    </w:p>
    <w:p w14:paraId="1B054E80" w14:textId="77777777" w:rsidR="00B34909" w:rsidRPr="00721BF9" w:rsidRDefault="00B34909" w:rsidP="009E0986">
      <w:pPr>
        <w:pStyle w:val="NormalnyWeb1"/>
        <w:numPr>
          <w:ilvl w:val="1"/>
          <w:numId w:val="26"/>
        </w:num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Dokumentacji Badanego Produktu Leczniczego (IMPD) dla placebo – zgodnie z </w:t>
      </w:r>
      <w:r w:rsidRPr="00721BF9">
        <w:rPr>
          <w:rFonts w:ascii="Century Gothic" w:hAnsi="Century Gothic" w:cstheme="minorHAnsi"/>
          <w:i/>
          <w:sz w:val="20"/>
          <w:szCs w:val="20"/>
        </w:rPr>
        <w:t>Rozporządzenie Ministra Zdrowia z dnia 12 października 2018 r. w sprawie wzorów dokumentów przedkładanych w związku z badaniem klinicznym produktu leczniczego oraz opłat za złożenie wniosku o rozpoczęcie badania klinicznego</w:t>
      </w:r>
      <w:r w:rsidRPr="00721BF9">
        <w:rPr>
          <w:rFonts w:ascii="Century Gothic" w:hAnsi="Century Gothic" w:cstheme="minorHAnsi"/>
          <w:sz w:val="20"/>
          <w:szCs w:val="20"/>
        </w:rPr>
        <w:t xml:space="preserve"> (Dz. U. 2018, poz. 94) oraz </w:t>
      </w:r>
      <w:r w:rsidR="00AF0AB0" w:rsidRPr="00721BF9">
        <w:rPr>
          <w:rFonts w:ascii="Century Gothic" w:hAnsi="Century Gothic" w:cstheme="minorHAnsi"/>
          <w:sz w:val="20"/>
          <w:szCs w:val="20"/>
        </w:rPr>
        <w:t xml:space="preserve">mając na uwadze </w:t>
      </w:r>
      <w:r w:rsidRPr="00721BF9">
        <w:rPr>
          <w:rFonts w:ascii="Century Gothic" w:hAnsi="Century Gothic" w:cstheme="minorHAnsi"/>
          <w:i/>
          <w:sz w:val="20"/>
          <w:szCs w:val="20"/>
        </w:rPr>
        <w:t>Rozporządzenia Parlamentu Europejskiego nr 536/2014 z dnia 16 kwietnia 2014 r. w sprawie badań klinicznych produktów leczniczych stosowanych u ludzi oraz uchylenia dyrektywy 2001/20/WE</w:t>
      </w:r>
      <w:r w:rsidR="00AF0AB0" w:rsidRPr="00721BF9">
        <w:rPr>
          <w:rFonts w:ascii="Century Gothic" w:hAnsi="Century Gothic" w:cstheme="minorHAnsi"/>
          <w:i/>
          <w:sz w:val="20"/>
          <w:szCs w:val="20"/>
        </w:rPr>
        <w:t>,</w:t>
      </w:r>
      <w:r w:rsidR="00AF0AB0" w:rsidRPr="00721BF9">
        <w:rPr>
          <w:rFonts w:ascii="Century Gothic" w:hAnsi="Century Gothic" w:cstheme="minorHAnsi"/>
          <w:sz w:val="20"/>
          <w:szCs w:val="20"/>
        </w:rPr>
        <w:t xml:space="preserve"> </w:t>
      </w:r>
    </w:p>
    <w:p w14:paraId="35A133EF" w14:textId="77777777" w:rsidR="00AF0AB0" w:rsidRPr="00721BF9" w:rsidRDefault="00AF0AB0" w:rsidP="009E0986">
      <w:pPr>
        <w:pStyle w:val="NormalnyWeb1"/>
        <w:numPr>
          <w:ilvl w:val="1"/>
          <w:numId w:val="26"/>
        </w:num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Certyfikat GMP Wytwórcy,</w:t>
      </w:r>
    </w:p>
    <w:p w14:paraId="0452217C" w14:textId="77777777" w:rsidR="00AF0AB0" w:rsidRPr="00721BF9" w:rsidRDefault="00C553D6" w:rsidP="009E0986">
      <w:pPr>
        <w:pStyle w:val="NormalnyWeb1"/>
        <w:numPr>
          <w:ilvl w:val="1"/>
          <w:numId w:val="26"/>
        </w:num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Z</w:t>
      </w:r>
      <w:r w:rsidR="00AF0AB0" w:rsidRPr="00721BF9">
        <w:rPr>
          <w:rFonts w:ascii="Century Gothic" w:hAnsi="Century Gothic" w:cstheme="minorHAnsi"/>
          <w:sz w:val="20"/>
          <w:szCs w:val="20"/>
        </w:rPr>
        <w:t>ezwol</w:t>
      </w:r>
      <w:r w:rsidR="00616CD3" w:rsidRPr="00721BF9">
        <w:rPr>
          <w:rFonts w:ascii="Century Gothic" w:hAnsi="Century Gothic" w:cstheme="minorHAnsi"/>
          <w:sz w:val="20"/>
          <w:szCs w:val="20"/>
        </w:rPr>
        <w:t>enie na wytwarzanie lub import Badanych Produktów L</w:t>
      </w:r>
      <w:r w:rsidR="00AF0AB0" w:rsidRPr="00721BF9">
        <w:rPr>
          <w:rFonts w:ascii="Century Gothic" w:hAnsi="Century Gothic" w:cstheme="minorHAnsi"/>
          <w:sz w:val="20"/>
          <w:szCs w:val="20"/>
        </w:rPr>
        <w:t>eczniczych</w:t>
      </w:r>
      <w:r w:rsidR="00D710AC" w:rsidRPr="00721BF9">
        <w:rPr>
          <w:rFonts w:ascii="Century Gothic" w:hAnsi="Century Gothic" w:cstheme="minorHAnsi"/>
          <w:sz w:val="20"/>
          <w:szCs w:val="20"/>
        </w:rPr>
        <w:t>,</w:t>
      </w:r>
    </w:p>
    <w:p w14:paraId="5DDB345D" w14:textId="2422DEAD" w:rsidR="00693294" w:rsidRPr="00721BF9" w:rsidRDefault="00D710AC" w:rsidP="009E0986">
      <w:pPr>
        <w:numPr>
          <w:ilvl w:val="1"/>
          <w:numId w:val="26"/>
        </w:numPr>
        <w:suppressAutoHyphens/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Certyfikat analizy surowców i komponentów opakowań</w:t>
      </w:r>
      <w:r w:rsidR="00BC6F97" w:rsidRPr="00721BF9">
        <w:rPr>
          <w:rFonts w:ascii="Century Gothic" w:hAnsi="Century Gothic" w:cstheme="minorHAnsi"/>
          <w:sz w:val="20"/>
          <w:szCs w:val="20"/>
        </w:rPr>
        <w:t>.</w:t>
      </w:r>
    </w:p>
    <w:p w14:paraId="3D74B4F8" w14:textId="77777777" w:rsidR="009E0986" w:rsidRPr="00721BF9" w:rsidRDefault="00481A7C" w:rsidP="009E0986">
      <w:pPr>
        <w:numPr>
          <w:ilvl w:val="1"/>
          <w:numId w:val="26"/>
        </w:numPr>
        <w:suppressAutoHyphens/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bookmarkStart w:id="2" w:name="_Hlk108082462"/>
      <w:r w:rsidRPr="00721BF9">
        <w:rPr>
          <w:rFonts w:ascii="Century Gothic" w:hAnsi="Century Gothic" w:cs="Arial"/>
          <w:sz w:val="20"/>
          <w:szCs w:val="20"/>
        </w:rPr>
        <w:t xml:space="preserve">Wypełnionych Formularzy </w:t>
      </w:r>
      <w:r w:rsidR="009E0986" w:rsidRPr="00721BF9">
        <w:rPr>
          <w:rFonts w:ascii="Century Gothic" w:hAnsi="Century Gothic" w:cs="Arial"/>
          <w:sz w:val="20"/>
          <w:szCs w:val="20"/>
        </w:rPr>
        <w:t xml:space="preserve">dostawcy usług (według </w:t>
      </w:r>
      <w:r w:rsidRPr="00721BF9">
        <w:rPr>
          <w:rFonts w:ascii="Century Gothic" w:hAnsi="Century Gothic" w:cs="Arial"/>
          <w:sz w:val="20"/>
          <w:szCs w:val="20"/>
        </w:rPr>
        <w:t xml:space="preserve">szablonów </w:t>
      </w:r>
      <w:r w:rsidR="009E0986" w:rsidRPr="00721BF9">
        <w:rPr>
          <w:rFonts w:ascii="Century Gothic" w:hAnsi="Century Gothic" w:cs="Arial"/>
          <w:sz w:val="20"/>
          <w:szCs w:val="20"/>
        </w:rPr>
        <w:t>Zamawiającego)</w:t>
      </w:r>
    </w:p>
    <w:bookmarkEnd w:id="2"/>
    <w:p w14:paraId="414F5820" w14:textId="77777777" w:rsidR="00D33E98" w:rsidRPr="00721BF9" w:rsidRDefault="00D33E98" w:rsidP="009E0986">
      <w:pPr>
        <w:suppressAutoHyphens/>
        <w:spacing w:after="120" w:line="360" w:lineRule="auto"/>
        <w:ind w:left="851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W przypadku zamówienia produktu leczniczego w Hurtowni Farmaceutycznej dodatkowo: </w:t>
      </w:r>
    </w:p>
    <w:p w14:paraId="1BF488C9" w14:textId="77777777" w:rsidR="00D33E98" w:rsidRPr="00721BF9" w:rsidRDefault="00D33E98" w:rsidP="009E0986">
      <w:pPr>
        <w:pStyle w:val="Akapitzlist"/>
        <w:numPr>
          <w:ilvl w:val="0"/>
          <w:numId w:val="27"/>
        </w:numPr>
        <w:suppressAutoHyphens/>
        <w:spacing w:after="120" w:line="360" w:lineRule="auto"/>
        <w:ind w:left="1418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Zezwolenia na prowadzenie obrotu hurtowego badanymi produktami leczniczymi, </w:t>
      </w:r>
    </w:p>
    <w:p w14:paraId="0F305399" w14:textId="68C567F7" w:rsidR="00963F77" w:rsidRPr="00721BF9" w:rsidRDefault="00D33E98" w:rsidP="009E0986">
      <w:pPr>
        <w:pStyle w:val="Akapitzlist"/>
        <w:numPr>
          <w:ilvl w:val="0"/>
          <w:numId w:val="27"/>
        </w:numPr>
        <w:suppressAutoHyphens/>
        <w:spacing w:after="120" w:line="360" w:lineRule="auto"/>
        <w:ind w:left="1418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Certyfikatu GDP – jeśli hurtownia posiada</w:t>
      </w:r>
      <w:r w:rsidR="00963F77" w:rsidRPr="00721BF9">
        <w:rPr>
          <w:rFonts w:ascii="Century Gothic" w:hAnsi="Century Gothic" w:cstheme="minorHAnsi"/>
          <w:sz w:val="20"/>
          <w:szCs w:val="20"/>
        </w:rPr>
        <w:t>.</w:t>
      </w:r>
    </w:p>
    <w:p w14:paraId="3DE5EDF9" w14:textId="77777777" w:rsidR="00BC6F97" w:rsidRPr="00721BF9" w:rsidRDefault="00BC6F97" w:rsidP="00BC6F97">
      <w:pPr>
        <w:spacing w:after="0" w:line="240" w:lineRule="auto"/>
        <w:ind w:left="1080"/>
        <w:jc w:val="both"/>
        <w:rPr>
          <w:rFonts w:ascii="Century Gothic" w:eastAsia="Calibri" w:hAnsi="Century Gothic" w:cstheme="majorHAnsi"/>
          <w:sz w:val="20"/>
          <w:szCs w:val="20"/>
          <w:lang w:eastAsia="en-US"/>
        </w:rPr>
      </w:pPr>
    </w:p>
    <w:p w14:paraId="4C03E07C" w14:textId="77777777" w:rsidR="00A84FD6" w:rsidRPr="00721BF9" w:rsidRDefault="00A84FD6" w:rsidP="009237AE">
      <w:pPr>
        <w:pStyle w:val="Akapitzlist"/>
        <w:numPr>
          <w:ilvl w:val="0"/>
          <w:numId w:val="26"/>
        </w:numPr>
        <w:spacing w:after="120" w:line="360" w:lineRule="auto"/>
        <w:ind w:left="714" w:hanging="357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bookmarkStart w:id="3" w:name="_Hlk104814622"/>
      <w:r w:rsidRPr="00721BF9">
        <w:rPr>
          <w:rFonts w:ascii="Century Gothic" w:hAnsi="Century Gothic" w:cstheme="minorHAnsi"/>
          <w:sz w:val="20"/>
          <w:szCs w:val="20"/>
        </w:rPr>
        <w:t xml:space="preserve">Zaprojektowanie i produkcja etykiet i opakowań. </w:t>
      </w:r>
      <w:r w:rsidRPr="00721BF9">
        <w:rPr>
          <w:rFonts w:ascii="Century Gothic" w:eastAsiaTheme="minorHAnsi" w:hAnsi="Century Gothic" w:cstheme="minorHAnsi"/>
          <w:sz w:val="20"/>
          <w:szCs w:val="20"/>
          <w:lang w:eastAsia="en-US"/>
        </w:rPr>
        <w:t xml:space="preserve">Wzór etykiety zatwierdzonej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721BF9">
        <w:rPr>
          <w:rFonts w:ascii="Century Gothic" w:eastAsiaTheme="minorHAnsi" w:hAnsi="Century Gothic" w:cstheme="minorHAnsi"/>
          <w:sz w:val="20"/>
          <w:szCs w:val="20"/>
          <w:lang w:eastAsia="en-US"/>
        </w:rPr>
        <w:t>submisyjnej</w:t>
      </w:r>
      <w:proofErr w:type="spellEnd"/>
      <w:r w:rsidRPr="00721BF9">
        <w:rPr>
          <w:rFonts w:ascii="Century Gothic" w:eastAsiaTheme="minorHAnsi" w:hAnsi="Century Gothic" w:cstheme="minorHAnsi"/>
          <w:sz w:val="20"/>
          <w:szCs w:val="20"/>
          <w:lang w:eastAsia="en-US"/>
        </w:rPr>
        <w:t xml:space="preserve"> przez Sponsora i uzgodnione z Wykonawcą</w:t>
      </w:r>
      <w:bookmarkEnd w:id="3"/>
    </w:p>
    <w:p w14:paraId="4BC7CEF6" w14:textId="77777777" w:rsidR="005A76FE" w:rsidRPr="00721BF9" w:rsidRDefault="00693294" w:rsidP="009237AE">
      <w:pPr>
        <w:pStyle w:val="Akapitzlist"/>
        <w:numPr>
          <w:ilvl w:val="0"/>
          <w:numId w:val="26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Wytwarzanie placebo o wyglądzie identycznym jak lek badany zawierający w swoim składzie substancję czynną </w:t>
      </w:r>
      <w:proofErr w:type="spellStart"/>
      <w:r w:rsidR="001847A1" w:rsidRPr="00721BF9">
        <w:rPr>
          <w:rFonts w:ascii="Century Gothic" w:hAnsi="Century Gothic" w:cstheme="minorHAnsi"/>
          <w:i/>
          <w:sz w:val="20"/>
          <w:szCs w:val="20"/>
        </w:rPr>
        <w:t>Sertralinum</w:t>
      </w:r>
      <w:proofErr w:type="spellEnd"/>
      <w:r w:rsidR="00CC2E18" w:rsidRPr="00721BF9">
        <w:rPr>
          <w:rFonts w:ascii="Century Gothic" w:hAnsi="Century Gothic" w:cstheme="minorHAnsi"/>
          <w:sz w:val="20"/>
          <w:szCs w:val="20"/>
        </w:rPr>
        <w:t>.</w:t>
      </w:r>
    </w:p>
    <w:p w14:paraId="4B5B8C02" w14:textId="77777777" w:rsidR="00A84FD6" w:rsidRPr="00721BF9" w:rsidRDefault="00A84FD6" w:rsidP="009237AE">
      <w:pPr>
        <w:pStyle w:val="Zwykytekst"/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Zapakowanie placebo do pojemników - po 30 sztuk w pojemniku,</w:t>
      </w:r>
    </w:p>
    <w:p w14:paraId="1216FE00" w14:textId="456A384B" w:rsidR="00A84FD6" w:rsidRPr="00721BF9" w:rsidRDefault="009E0986" w:rsidP="009237AE">
      <w:pPr>
        <w:pStyle w:val="Zwykytekst"/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P</w:t>
      </w:r>
      <w:r w:rsidR="00A84FD6" w:rsidRPr="00721BF9">
        <w:rPr>
          <w:rFonts w:ascii="Century Gothic" w:hAnsi="Century Gothic" w:cstheme="minorHAnsi"/>
          <w:sz w:val="20"/>
          <w:szCs w:val="20"/>
        </w:rPr>
        <w:t>rzepakowanie</w:t>
      </w:r>
      <w:r w:rsidR="006777FA" w:rsidRPr="00721BF9">
        <w:rPr>
          <w:rFonts w:ascii="Century Gothic" w:hAnsi="Century Gothic" w:cstheme="minorHAnsi"/>
          <w:sz w:val="20"/>
          <w:szCs w:val="20"/>
        </w:rPr>
        <w:t xml:space="preserve">, ustalenie i potwierdzenie daty ważności </w:t>
      </w:r>
      <w:r w:rsidR="00A84FD6" w:rsidRPr="00721BF9">
        <w:rPr>
          <w:rFonts w:ascii="Century Gothic" w:hAnsi="Century Gothic" w:cstheme="minorHAnsi"/>
          <w:sz w:val="20"/>
          <w:szCs w:val="20"/>
        </w:rPr>
        <w:t xml:space="preserve">produktów leczniczych zawierających w swoim składzie </w:t>
      </w:r>
      <w:proofErr w:type="spellStart"/>
      <w:r w:rsidR="00367793" w:rsidRPr="00721BF9">
        <w:rPr>
          <w:rFonts w:ascii="Century Gothic" w:hAnsi="Century Gothic" w:cstheme="minorHAnsi"/>
          <w:i/>
          <w:sz w:val="20"/>
          <w:szCs w:val="20"/>
        </w:rPr>
        <w:t>Sertralinum</w:t>
      </w:r>
      <w:proofErr w:type="spellEnd"/>
      <w:r w:rsidR="00367793" w:rsidRPr="00721BF9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A84FD6" w:rsidRPr="00721BF9">
        <w:rPr>
          <w:rFonts w:ascii="Century Gothic" w:hAnsi="Century Gothic" w:cstheme="minorHAnsi"/>
          <w:sz w:val="20"/>
          <w:szCs w:val="20"/>
        </w:rPr>
        <w:t>z blistrów do pojemników - po 30 sztuk w pojemniku</w:t>
      </w:r>
      <w:r w:rsidR="006777FA" w:rsidRPr="00721BF9">
        <w:rPr>
          <w:rFonts w:ascii="Century Gothic" w:hAnsi="Century Gothic" w:cstheme="minorHAnsi"/>
          <w:sz w:val="20"/>
          <w:szCs w:val="20"/>
        </w:rPr>
        <w:t xml:space="preserve"> oraz jego etykietowanie,</w:t>
      </w:r>
    </w:p>
    <w:p w14:paraId="171AEE3D" w14:textId="77777777" w:rsidR="00A84FD6" w:rsidRPr="00721BF9" w:rsidRDefault="009E0986" w:rsidP="009E0986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W</w:t>
      </w:r>
      <w:r w:rsidR="00A84FD6" w:rsidRPr="00721BF9">
        <w:rPr>
          <w:rFonts w:ascii="Century Gothic" w:hAnsi="Century Gothic" w:cstheme="minorHAnsi"/>
          <w:sz w:val="20"/>
          <w:szCs w:val="20"/>
        </w:rPr>
        <w:t>ykonanie badań stabilności zgodnie z wytycznymi ICH i GMP,</w:t>
      </w:r>
    </w:p>
    <w:p w14:paraId="7F326263" w14:textId="77777777" w:rsidR="00A84FD6" w:rsidRPr="00721BF9" w:rsidRDefault="009E0986" w:rsidP="009237AE">
      <w:pPr>
        <w:pStyle w:val="Zwykytekst"/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lastRenderedPageBreak/>
        <w:t>Z</w:t>
      </w:r>
      <w:r w:rsidR="00A84FD6" w:rsidRPr="00721BF9">
        <w:rPr>
          <w:rFonts w:ascii="Century Gothic" w:hAnsi="Century Gothic" w:cstheme="minorHAnsi"/>
          <w:sz w:val="20"/>
          <w:szCs w:val="20"/>
        </w:rPr>
        <w:t>aślepienie Badanych Produktów Leczniczych zgodnie z kluczem zaślepienia opracowanym w ścisłej współpracy ze Sponsorem badania; wykonawca zobowiązany jest do przekazania Zamawiającemu protokołu zaślepienia,</w:t>
      </w:r>
    </w:p>
    <w:p w14:paraId="4AF57410" w14:textId="77777777" w:rsidR="00A84FD6" w:rsidRPr="00721BF9" w:rsidRDefault="009E0986" w:rsidP="009237AE">
      <w:pPr>
        <w:pStyle w:val="Zwykytekst"/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P</w:t>
      </w:r>
      <w:r w:rsidR="00A84FD6" w:rsidRPr="00721BF9">
        <w:rPr>
          <w:rFonts w:ascii="Century Gothic" w:hAnsi="Century Gothic" w:cstheme="minorHAnsi"/>
          <w:sz w:val="20"/>
          <w:szCs w:val="20"/>
        </w:rPr>
        <w:t>rzechowywanie/ obsługa magazynowa</w:t>
      </w:r>
      <w:r w:rsidR="004F0701" w:rsidRPr="00721BF9">
        <w:rPr>
          <w:rFonts w:ascii="Century Gothic" w:hAnsi="Century Gothic" w:cstheme="minorHAnsi"/>
          <w:sz w:val="20"/>
          <w:szCs w:val="20"/>
        </w:rPr>
        <w:t xml:space="preserve"> </w:t>
      </w:r>
      <w:r w:rsidRPr="00721BF9">
        <w:rPr>
          <w:rFonts w:ascii="Century Gothic" w:hAnsi="Century Gothic" w:cstheme="minorHAnsi"/>
          <w:sz w:val="20"/>
          <w:szCs w:val="20"/>
        </w:rPr>
        <w:t>,</w:t>
      </w:r>
      <w:r w:rsidR="00A84FD6" w:rsidRPr="00721BF9">
        <w:rPr>
          <w:rFonts w:ascii="Century Gothic" w:hAnsi="Century Gothic" w:cstheme="minorHAnsi"/>
          <w:sz w:val="20"/>
          <w:szCs w:val="20"/>
        </w:rPr>
        <w:t xml:space="preserve"> w tym przechowywanie prób </w:t>
      </w:r>
      <w:bookmarkStart w:id="4" w:name="_Hlk108083161"/>
      <w:r w:rsidR="00A84FD6" w:rsidRPr="00721BF9">
        <w:rPr>
          <w:rFonts w:ascii="Century Gothic" w:hAnsi="Century Gothic" w:cstheme="minorHAnsi"/>
          <w:sz w:val="20"/>
          <w:szCs w:val="20"/>
        </w:rPr>
        <w:t>archiwalnych</w:t>
      </w:r>
      <w:r w:rsidR="004F0701" w:rsidRPr="00721BF9">
        <w:rPr>
          <w:rFonts w:ascii="Century Gothic" w:hAnsi="Century Gothic" w:cstheme="minorHAnsi"/>
          <w:sz w:val="20"/>
          <w:szCs w:val="20"/>
        </w:rPr>
        <w:t xml:space="preserve"> w kontrolowanych warunkach temperaturowych</w:t>
      </w:r>
      <w:r w:rsidR="00A84FD6" w:rsidRPr="00721BF9">
        <w:rPr>
          <w:rFonts w:ascii="Century Gothic" w:hAnsi="Century Gothic" w:cstheme="minorHAnsi"/>
          <w:sz w:val="20"/>
          <w:szCs w:val="20"/>
        </w:rPr>
        <w:t xml:space="preserve">. </w:t>
      </w:r>
    </w:p>
    <w:bookmarkEnd w:id="4"/>
    <w:p w14:paraId="45726CA5" w14:textId="77777777" w:rsidR="00A84FD6" w:rsidRPr="00721BF9" w:rsidRDefault="009E0986" w:rsidP="00BF7FDF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T</w:t>
      </w:r>
      <w:r w:rsidR="00A84FD6" w:rsidRPr="00721BF9">
        <w:rPr>
          <w:rFonts w:ascii="Century Gothic" w:hAnsi="Century Gothic" w:cstheme="minorHAnsi"/>
          <w:sz w:val="20"/>
          <w:szCs w:val="20"/>
        </w:rPr>
        <w:t>ransport</w:t>
      </w:r>
      <w:bookmarkStart w:id="5" w:name="_Hlk108083201"/>
      <w:r w:rsidR="004F0701" w:rsidRPr="00721BF9">
        <w:rPr>
          <w:rFonts w:ascii="Century Gothic" w:hAnsi="Century Gothic" w:cstheme="minorHAnsi"/>
          <w:sz w:val="20"/>
          <w:szCs w:val="20"/>
        </w:rPr>
        <w:t xml:space="preserve"> w warunkach kontrolowanych</w:t>
      </w:r>
      <w:r w:rsidR="00A84FD6" w:rsidRPr="00721BF9">
        <w:rPr>
          <w:rFonts w:ascii="Century Gothic" w:hAnsi="Century Gothic" w:cstheme="minorHAnsi"/>
          <w:sz w:val="20"/>
          <w:szCs w:val="20"/>
        </w:rPr>
        <w:t xml:space="preserve"> </w:t>
      </w:r>
      <w:bookmarkEnd w:id="5"/>
      <w:r w:rsidR="00A84FD6" w:rsidRPr="00721BF9">
        <w:rPr>
          <w:rFonts w:ascii="Century Gothic" w:hAnsi="Century Gothic" w:cstheme="minorHAnsi"/>
          <w:sz w:val="20"/>
          <w:szCs w:val="20"/>
        </w:rPr>
        <w:t>do ośmiu Ośrodków Badawczych na terenie RP (m.in. Gdańsk, Gdynia, Słupsk, Elbląg, Włocławek) – pełna lista zostanie dostarczona w terminie późniejszym. Zamawiający zastrzega możliwość zmniejszenia liczby Ośrodków biorących udział w Niekomercyjnym Badaniu Klinicznym. Wykonawca jest zobowiązany transportować Badane Produkty Lecznicze zgodnie z Dobrą Praktyką Dystrybucyjną. Sponsor musi otrzymać:</w:t>
      </w:r>
    </w:p>
    <w:p w14:paraId="51BEBFD2" w14:textId="77777777" w:rsidR="00A84FD6" w:rsidRPr="00721BF9" w:rsidRDefault="009E0986" w:rsidP="00BF7FDF">
      <w:pPr>
        <w:pStyle w:val="Zwykytekst"/>
        <w:numPr>
          <w:ilvl w:val="0"/>
          <w:numId w:val="3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P</w:t>
      </w:r>
      <w:r w:rsidR="00A84FD6" w:rsidRPr="00721BF9">
        <w:rPr>
          <w:rFonts w:ascii="Century Gothic" w:hAnsi="Century Gothic" w:cstheme="minorHAnsi"/>
          <w:sz w:val="20"/>
          <w:szCs w:val="20"/>
        </w:rPr>
        <w:t xml:space="preserve">oświadczenie </w:t>
      </w:r>
      <w:r w:rsidR="004F0701" w:rsidRPr="00721BF9">
        <w:rPr>
          <w:rFonts w:ascii="Century Gothic" w:hAnsi="Century Gothic" w:cstheme="minorHAnsi"/>
          <w:sz w:val="20"/>
          <w:szCs w:val="20"/>
        </w:rPr>
        <w:t>dostawy/</w:t>
      </w:r>
      <w:r w:rsidR="00A84FD6" w:rsidRPr="00721BF9">
        <w:rPr>
          <w:rFonts w:ascii="Century Gothic" w:hAnsi="Century Gothic" w:cstheme="minorHAnsi"/>
          <w:sz w:val="20"/>
          <w:szCs w:val="20"/>
        </w:rPr>
        <w:t xml:space="preserve">odbioru Badanego Produktu Leczniczego przez upoważnioną osobę w danym Ośrodku, </w:t>
      </w:r>
    </w:p>
    <w:p w14:paraId="1DD1B8E0" w14:textId="77777777" w:rsidR="00A84FD6" w:rsidRPr="00721BF9" w:rsidRDefault="009E0986" w:rsidP="009237AE">
      <w:pPr>
        <w:pStyle w:val="Zwykytekst"/>
        <w:numPr>
          <w:ilvl w:val="0"/>
          <w:numId w:val="32"/>
        </w:numPr>
        <w:spacing w:after="120" w:line="360" w:lineRule="auto"/>
        <w:ind w:hanging="357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W</w:t>
      </w:r>
      <w:r w:rsidR="00A84FD6" w:rsidRPr="00721BF9">
        <w:rPr>
          <w:rFonts w:ascii="Century Gothic" w:hAnsi="Century Gothic" w:cstheme="minorHAnsi"/>
          <w:sz w:val="20"/>
          <w:szCs w:val="20"/>
        </w:rPr>
        <w:t xml:space="preserve">ydruk pomiarów temperatury i wilgotności powietrza (jeśli dotyczy) z rejestratorów, które zostały zarejestrowane podczas transportu badanych produktów leczniczych.   </w:t>
      </w:r>
    </w:p>
    <w:p w14:paraId="11AE3E32" w14:textId="77777777" w:rsidR="00A84FD6" w:rsidRPr="00721BF9" w:rsidRDefault="00A84FD6" w:rsidP="009237AE">
      <w:pPr>
        <w:pStyle w:val="Zwykytekst"/>
        <w:numPr>
          <w:ilvl w:val="0"/>
          <w:numId w:val="26"/>
        </w:numPr>
        <w:spacing w:after="120" w:line="360" w:lineRule="auto"/>
        <w:ind w:hanging="357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>Przeprowadzenie 2-stopniowej procedury zwolnienia Badanych Produktów Leczniczych do użycia w niekomercyjnym badaniu klinicznym :</w:t>
      </w:r>
    </w:p>
    <w:p w14:paraId="3BB44EB3" w14:textId="77777777" w:rsidR="00BC6F97" w:rsidRPr="00721BF9" w:rsidRDefault="00BC6F97" w:rsidP="00BF7FDF">
      <w:pPr>
        <w:pStyle w:val="Akapitzlist"/>
        <w:numPr>
          <w:ilvl w:val="1"/>
          <w:numId w:val="26"/>
        </w:numPr>
        <w:spacing w:before="120" w:after="0" w:line="360" w:lineRule="auto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721BF9">
        <w:rPr>
          <w:rFonts w:ascii="Century Gothic" w:hAnsi="Century Gothic" w:cstheme="majorHAnsi"/>
          <w:sz w:val="20"/>
          <w:szCs w:val="20"/>
        </w:rPr>
        <w:t>stopień pierwszy:</w:t>
      </w:r>
    </w:p>
    <w:p w14:paraId="0F3C0B43" w14:textId="77777777" w:rsidR="00BC6F97" w:rsidRPr="00721BF9" w:rsidRDefault="00BC6F97" w:rsidP="00BF7FDF">
      <w:pPr>
        <w:pStyle w:val="Akapitzlist"/>
        <w:numPr>
          <w:ilvl w:val="2"/>
          <w:numId w:val="26"/>
        </w:numPr>
        <w:spacing w:before="120" w:after="0" w:line="360" w:lineRule="auto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721BF9">
        <w:rPr>
          <w:rFonts w:ascii="Century Gothic" w:hAnsi="Century Gothic" w:cstheme="majorHAnsi"/>
          <w:sz w:val="20"/>
          <w:szCs w:val="20"/>
        </w:rPr>
        <w:t xml:space="preserve">Etap 1 – oświadczenie/potwierdzenie podpisane przez osobę wykwalifikowaną (ang. </w:t>
      </w:r>
      <w:proofErr w:type="spellStart"/>
      <w:r w:rsidRPr="00721BF9">
        <w:rPr>
          <w:rFonts w:ascii="Century Gothic" w:hAnsi="Century Gothic" w:cstheme="majorHAnsi"/>
          <w:sz w:val="20"/>
          <w:szCs w:val="20"/>
        </w:rPr>
        <w:t>Qualified</w:t>
      </w:r>
      <w:proofErr w:type="spellEnd"/>
      <w:r w:rsidRPr="00721BF9">
        <w:rPr>
          <w:rFonts w:ascii="Century Gothic" w:hAnsi="Century Gothic" w:cstheme="majorHAnsi"/>
          <w:sz w:val="20"/>
          <w:szCs w:val="20"/>
        </w:rPr>
        <w:t xml:space="preserve"> Person, QP), że proces lub badanie zostały  przeprowadzone zgodnie z wymaganiami GMP, z odpowiednim pozwoleniem i dokumentacją dotyczącą wprowadzenia do obrotu produktu leczniczego, jak również warunkami, na podstawie których zostało wydane pozwolenie na prowadzenie badania klinicznego; oraz</w:t>
      </w:r>
    </w:p>
    <w:p w14:paraId="0D88C1D7" w14:textId="77777777" w:rsidR="00BC6F97" w:rsidRPr="00721BF9" w:rsidRDefault="00BC6F97" w:rsidP="00BF7FDF">
      <w:pPr>
        <w:pStyle w:val="Akapitzlist"/>
        <w:numPr>
          <w:ilvl w:val="2"/>
          <w:numId w:val="26"/>
        </w:numPr>
        <w:spacing w:before="120" w:after="0" w:line="360" w:lineRule="auto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721BF9">
        <w:rPr>
          <w:rFonts w:ascii="Century Gothic" w:hAnsi="Century Gothic" w:cstheme="majorHAnsi"/>
          <w:sz w:val="20"/>
          <w:szCs w:val="20"/>
        </w:rPr>
        <w:t>Etap 2 – „certyfikacja serii”, tj. zwolnienie jakościowe przez QP;</w:t>
      </w:r>
    </w:p>
    <w:p w14:paraId="528106EF" w14:textId="77777777" w:rsidR="00BC6F97" w:rsidRPr="00721BF9" w:rsidRDefault="00BC6F97" w:rsidP="00BF7FDF">
      <w:pPr>
        <w:pStyle w:val="Akapitzlist"/>
        <w:numPr>
          <w:ilvl w:val="1"/>
          <w:numId w:val="26"/>
        </w:numPr>
        <w:spacing w:before="120" w:after="0" w:line="360" w:lineRule="auto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721BF9">
        <w:rPr>
          <w:rFonts w:ascii="Century Gothic" w:hAnsi="Century Gothic" w:cstheme="majorHAnsi"/>
          <w:sz w:val="20"/>
          <w:szCs w:val="20"/>
        </w:rPr>
        <w:t xml:space="preserve">stopień drugi – zwolnienie badanego produktu leczniczego do użycia w Badaniu w imieniu Zamawiającego. </w:t>
      </w:r>
    </w:p>
    <w:p w14:paraId="70738616" w14:textId="77777777" w:rsidR="00D33E98" w:rsidRPr="00721BF9" w:rsidRDefault="003E13D2" w:rsidP="00BF7FDF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="Century Gothic" w:hAnsi="Century Gothic" w:cstheme="minorHAnsi"/>
          <w:sz w:val="20"/>
          <w:szCs w:val="20"/>
          <w:lang w:eastAsia="ar-SA"/>
        </w:rPr>
      </w:pPr>
      <w:r w:rsidRPr="00721BF9">
        <w:rPr>
          <w:rFonts w:ascii="Century Gothic" w:hAnsi="Century Gothic" w:cstheme="minorHAnsi"/>
          <w:sz w:val="20"/>
          <w:szCs w:val="20"/>
          <w:lang w:eastAsia="ar-SA"/>
        </w:rPr>
        <w:t>Odbiór z Ośrodków i u</w:t>
      </w:r>
      <w:r w:rsidR="00D33E98" w:rsidRPr="00721BF9">
        <w:rPr>
          <w:rFonts w:ascii="Century Gothic" w:hAnsi="Century Gothic" w:cstheme="minorHAnsi"/>
          <w:sz w:val="20"/>
          <w:szCs w:val="20"/>
          <w:lang w:eastAsia="ar-SA"/>
        </w:rPr>
        <w:t>tylizacja</w:t>
      </w:r>
      <w:r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 </w:t>
      </w:r>
      <w:r w:rsidR="009E0986" w:rsidRPr="00721BF9">
        <w:rPr>
          <w:rFonts w:ascii="Century Gothic" w:hAnsi="Century Gothic" w:cstheme="minorHAnsi"/>
          <w:sz w:val="20"/>
          <w:szCs w:val="20"/>
          <w:lang w:eastAsia="ar-SA"/>
        </w:rPr>
        <w:t>Badanych Produktów Leczniczych</w:t>
      </w:r>
      <w:r w:rsidR="00D33E98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. </w:t>
      </w:r>
    </w:p>
    <w:p w14:paraId="1AEBF1E1" w14:textId="5D6367BE" w:rsidR="001338EA" w:rsidRPr="00721BF9" w:rsidRDefault="00A5705D" w:rsidP="00BF7FDF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="Century Gothic" w:hAnsi="Century Gothic" w:cstheme="minorHAnsi"/>
          <w:sz w:val="20"/>
          <w:szCs w:val="20"/>
          <w:lang w:eastAsia="ar-SA"/>
        </w:rPr>
      </w:pPr>
      <w:r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Administracja projektem: </w:t>
      </w:r>
      <w:r w:rsidR="001338EA" w:rsidRPr="00721BF9">
        <w:rPr>
          <w:rFonts w:ascii="Century Gothic" w:hAnsi="Century Gothic" w:cstheme="minorHAnsi"/>
          <w:sz w:val="20"/>
          <w:szCs w:val="20"/>
          <w:lang w:eastAsia="ar-SA"/>
        </w:rPr>
        <w:t>Koordynowanie</w:t>
      </w:r>
      <w:r w:rsidRPr="00721BF9">
        <w:rPr>
          <w:rFonts w:ascii="Century Gothic" w:hAnsi="Century Gothic" w:cstheme="minorHAnsi"/>
          <w:sz w:val="20"/>
          <w:szCs w:val="20"/>
          <w:lang w:eastAsia="ar-SA"/>
        </w:rPr>
        <w:t>,</w:t>
      </w:r>
      <w:r w:rsidR="001338EA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 komunikacja z wytwórcą oraz CRO</w:t>
      </w:r>
      <w:r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. </w:t>
      </w:r>
      <w:r w:rsidR="001338EA" w:rsidRPr="00721BF9">
        <w:rPr>
          <w:rFonts w:ascii="Century Gothic" w:hAnsi="Century Gothic" w:cstheme="minorHAnsi"/>
          <w:sz w:val="20"/>
          <w:szCs w:val="20"/>
          <w:lang w:eastAsia="ar-SA"/>
        </w:rPr>
        <w:t xml:space="preserve"> </w:t>
      </w:r>
    </w:p>
    <w:p w14:paraId="498FD0AB" w14:textId="1B846221" w:rsidR="00ED56E9" w:rsidRPr="00721BF9" w:rsidRDefault="00ED56E9" w:rsidP="00BF7FDF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="Century Gothic" w:hAnsi="Century Gothic" w:cstheme="minorHAnsi"/>
          <w:sz w:val="20"/>
          <w:szCs w:val="20"/>
          <w:lang w:eastAsia="ar-SA"/>
        </w:rPr>
      </w:pPr>
      <w:r w:rsidRPr="00721BF9">
        <w:rPr>
          <w:rFonts w:ascii="Century Gothic" w:hAnsi="Century Gothic" w:cs="Arial"/>
          <w:sz w:val="20"/>
          <w:szCs w:val="20"/>
        </w:rPr>
        <w:t>Zgodnie z założeniami Zamawiającego, Badanie trwać ma do dnia 31 października 2027 r.</w:t>
      </w:r>
    </w:p>
    <w:p w14:paraId="40F75457" w14:textId="77777777" w:rsidR="005053FF" w:rsidRPr="00721BF9" w:rsidRDefault="005053FF" w:rsidP="00BF7FDF">
      <w:pPr>
        <w:pStyle w:val="NormalnyWeb1"/>
        <w:numPr>
          <w:ilvl w:val="0"/>
          <w:numId w:val="26"/>
        </w:num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21BF9">
        <w:rPr>
          <w:rFonts w:ascii="Century Gothic" w:hAnsi="Century Gothic" w:cs="Arial"/>
          <w:sz w:val="20"/>
          <w:szCs w:val="20"/>
        </w:rPr>
        <w:t>Przeprowadzenie weryfikacji autentyczności oraz wycofania niepowtarzalnego identyfikatora (</w:t>
      </w:r>
      <w:proofErr w:type="spellStart"/>
      <w:r w:rsidRPr="00721BF9">
        <w:rPr>
          <w:rFonts w:ascii="Century Gothic" w:hAnsi="Century Gothic" w:cs="Arial"/>
          <w:sz w:val="20"/>
          <w:szCs w:val="20"/>
        </w:rPr>
        <w:t>decommissioning</w:t>
      </w:r>
      <w:proofErr w:type="spellEnd"/>
      <w:r w:rsidRPr="00721BF9">
        <w:rPr>
          <w:rFonts w:ascii="Century Gothic" w:hAnsi="Century Gothic" w:cs="Arial"/>
          <w:sz w:val="20"/>
          <w:szCs w:val="20"/>
        </w:rPr>
        <w:t xml:space="preserve">) zgodnie z założeniami: „Dyrektywy Parlamentu Europejskiego i Rady 2011/62/UE z dnia 8 czerwca 2011 r. zmieniającej dyrektywę 2001/83/WE w sprawie wspólnotowego kodeksu odnoszącego się do produktów </w:t>
      </w:r>
      <w:r w:rsidRPr="00721BF9">
        <w:rPr>
          <w:rFonts w:ascii="Century Gothic" w:hAnsi="Century Gothic" w:cs="Arial"/>
          <w:sz w:val="20"/>
          <w:szCs w:val="20"/>
        </w:rPr>
        <w:lastRenderedPageBreak/>
        <w:t xml:space="preserve">leczniczych stosowanych u ludzi – w zakresie zapobiegania wprowadzaniu sfałszowanych produktów leczniczych do legalnego łańcucha dystrybucji” oraz „Rozporządzenia Delegowanego Komisji (UE) 2016/161 z dn. 2 października 2015 r.” w odniesieniu do dostarczanych produktów leczniczych oraz </w:t>
      </w:r>
      <w:bookmarkStart w:id="6" w:name="_Hlk108686492"/>
      <w:r w:rsidRPr="00721BF9">
        <w:rPr>
          <w:rFonts w:ascii="Century Gothic" w:hAnsi="Century Gothic" w:cs="Arial"/>
          <w:sz w:val="20"/>
          <w:szCs w:val="20"/>
        </w:rPr>
        <w:t>potwierdzenie tego procesu w formie dokumentowej (skan podpisanego oświadczenia).</w:t>
      </w:r>
      <w:bookmarkEnd w:id="6"/>
      <w:r w:rsidRPr="00721BF9">
        <w:rPr>
          <w:rFonts w:ascii="Century Gothic" w:hAnsi="Century Gothic" w:cs="Arial"/>
          <w:sz w:val="20"/>
          <w:szCs w:val="20"/>
        </w:rPr>
        <w:t xml:space="preserve">  </w:t>
      </w:r>
    </w:p>
    <w:p w14:paraId="40E71932" w14:textId="1D94AE03" w:rsidR="00287089" w:rsidRPr="00721BF9" w:rsidRDefault="00287089" w:rsidP="00287089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eastAsia="Batang" w:hAnsi="Century Gothic" w:cstheme="minorHAnsi"/>
          <w:color w:val="000000"/>
          <w:sz w:val="20"/>
          <w:szCs w:val="20"/>
        </w:rPr>
        <w:t>Liczba pojemników Badanych Produktów Leczniczych</w:t>
      </w:r>
    </w:p>
    <w:tbl>
      <w:tblPr>
        <w:tblStyle w:val="Tabela-Siatka"/>
        <w:tblW w:w="4183" w:type="pct"/>
        <w:tblInd w:w="846" w:type="dxa"/>
        <w:tblLook w:val="04A0" w:firstRow="1" w:lastRow="0" w:firstColumn="1" w:lastColumn="0" w:noHBand="0" w:noVBand="1"/>
      </w:tblPr>
      <w:tblGrid>
        <w:gridCol w:w="3119"/>
        <w:gridCol w:w="3119"/>
        <w:gridCol w:w="1699"/>
      </w:tblGrid>
      <w:tr w:rsidR="00BF7FDF" w:rsidRPr="00721BF9" w14:paraId="02A88A81" w14:textId="77777777" w:rsidTr="00BF7FDF">
        <w:tc>
          <w:tcPr>
            <w:tcW w:w="1964" w:type="pct"/>
          </w:tcPr>
          <w:p w14:paraId="737E5A32" w14:textId="77777777" w:rsidR="00BF7FDF" w:rsidRPr="00721BF9" w:rsidRDefault="00BF7FDF" w:rsidP="002C472C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65" w:type="pct"/>
          </w:tcPr>
          <w:p w14:paraId="51571A43" w14:textId="77777777" w:rsidR="00BF7FDF" w:rsidRPr="00721BF9" w:rsidRDefault="00BF7FDF" w:rsidP="002C472C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070" w:type="pct"/>
          </w:tcPr>
          <w:p w14:paraId="15975DF9" w14:textId="77777777" w:rsidR="00BF7FDF" w:rsidRPr="00721BF9" w:rsidRDefault="00BF7FDF" w:rsidP="002C472C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b/>
                <w:sz w:val="20"/>
                <w:szCs w:val="20"/>
              </w:rPr>
              <w:t>ilość</w:t>
            </w:r>
          </w:p>
        </w:tc>
      </w:tr>
      <w:tr w:rsidR="00BF7FDF" w:rsidRPr="00721BF9" w14:paraId="2FB88607" w14:textId="77777777" w:rsidTr="00BF7FDF">
        <w:trPr>
          <w:trHeight w:val="1038"/>
        </w:trPr>
        <w:tc>
          <w:tcPr>
            <w:tcW w:w="1964" w:type="pct"/>
          </w:tcPr>
          <w:p w14:paraId="250F7825" w14:textId="77777777" w:rsidR="00BF7FDF" w:rsidRPr="00721BF9" w:rsidRDefault="00BF7FDF" w:rsidP="002C472C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sz w:val="20"/>
                <w:szCs w:val="20"/>
              </w:rPr>
              <w:t xml:space="preserve">Lek zawierający  </w:t>
            </w:r>
            <w:proofErr w:type="spellStart"/>
            <w:r w:rsidRPr="00721BF9">
              <w:rPr>
                <w:rFonts w:ascii="Century Gothic" w:hAnsi="Century Gothic" w:cstheme="minorHAnsi"/>
                <w:sz w:val="20"/>
                <w:szCs w:val="20"/>
              </w:rPr>
              <w:t>Sertralinum</w:t>
            </w:r>
            <w:proofErr w:type="spellEnd"/>
            <w:r w:rsidRPr="00721BF9">
              <w:rPr>
                <w:rFonts w:ascii="Century Gothic" w:hAnsi="Century Gothic" w:cstheme="minorHAnsi"/>
                <w:sz w:val="20"/>
                <w:szCs w:val="20"/>
              </w:rPr>
              <w:t xml:space="preserve">  - dawka 50 mg</w:t>
            </w:r>
          </w:p>
        </w:tc>
        <w:tc>
          <w:tcPr>
            <w:tcW w:w="1965" w:type="pct"/>
          </w:tcPr>
          <w:p w14:paraId="5D80E0F5" w14:textId="77777777" w:rsidR="00BF7FDF" w:rsidRPr="00721BF9" w:rsidRDefault="00BF7FDF" w:rsidP="002C472C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sz w:val="20"/>
                <w:szCs w:val="20"/>
              </w:rPr>
              <w:t>pojemnik (zawierający 30 tabletek)</w:t>
            </w:r>
          </w:p>
        </w:tc>
        <w:tc>
          <w:tcPr>
            <w:tcW w:w="1070" w:type="pct"/>
          </w:tcPr>
          <w:p w14:paraId="3442F5B7" w14:textId="77777777" w:rsidR="00BF7FDF" w:rsidRPr="00721BF9" w:rsidRDefault="00BF7FDF" w:rsidP="002C472C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sz w:val="20"/>
                <w:szCs w:val="20"/>
              </w:rPr>
              <w:t>8406</w:t>
            </w:r>
          </w:p>
        </w:tc>
      </w:tr>
      <w:tr w:rsidR="00BF7FDF" w:rsidRPr="00721BF9" w14:paraId="7CB60635" w14:textId="77777777" w:rsidTr="00BF7FDF">
        <w:tc>
          <w:tcPr>
            <w:tcW w:w="1964" w:type="pct"/>
          </w:tcPr>
          <w:p w14:paraId="54FA89E4" w14:textId="77777777" w:rsidR="00BF7FDF" w:rsidRPr="00721BF9" w:rsidRDefault="00BF7FDF" w:rsidP="002C472C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sz w:val="20"/>
                <w:szCs w:val="20"/>
              </w:rPr>
              <w:t>Placebo dla leku - dawka 50 mg</w:t>
            </w:r>
          </w:p>
        </w:tc>
        <w:tc>
          <w:tcPr>
            <w:tcW w:w="1965" w:type="pct"/>
          </w:tcPr>
          <w:p w14:paraId="5EBB7F20" w14:textId="5BB0CF52" w:rsidR="00BF7FDF" w:rsidRPr="00721BF9" w:rsidRDefault="009A356B" w:rsidP="00BF7FD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</w:t>
            </w:r>
            <w:r w:rsidR="00BF7FDF" w:rsidRPr="00721BF9">
              <w:rPr>
                <w:rFonts w:ascii="Century Gothic" w:hAnsi="Century Gothic" w:cstheme="minorHAnsi"/>
                <w:sz w:val="20"/>
                <w:szCs w:val="20"/>
              </w:rPr>
              <w:t>ojemnik (zawierający 30 tabletek)</w:t>
            </w:r>
          </w:p>
        </w:tc>
        <w:tc>
          <w:tcPr>
            <w:tcW w:w="1070" w:type="pct"/>
          </w:tcPr>
          <w:p w14:paraId="5A08D520" w14:textId="77777777" w:rsidR="00BF7FDF" w:rsidRPr="00721BF9" w:rsidRDefault="00BF7FDF" w:rsidP="002C472C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21BF9">
              <w:rPr>
                <w:rFonts w:ascii="Century Gothic" w:hAnsi="Century Gothic" w:cstheme="minorHAnsi"/>
                <w:sz w:val="20"/>
                <w:szCs w:val="20"/>
              </w:rPr>
              <w:t>4204</w:t>
            </w:r>
          </w:p>
        </w:tc>
      </w:tr>
    </w:tbl>
    <w:p w14:paraId="0598FE46" w14:textId="03154D91" w:rsidR="00445DC3" w:rsidRPr="00721BF9" w:rsidRDefault="00445DC3" w:rsidP="009E0986">
      <w:pPr>
        <w:pStyle w:val="NormalnyWeb1"/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95F6812" w14:textId="77777777" w:rsidR="00AF417D" w:rsidRPr="00721BF9" w:rsidRDefault="00AF417D" w:rsidP="009E098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b/>
          <w:sz w:val="20"/>
          <w:szCs w:val="20"/>
        </w:rPr>
      </w:pPr>
      <w:r w:rsidRPr="00721BF9">
        <w:rPr>
          <w:rFonts w:ascii="Century Gothic" w:hAnsi="Century Gothic" w:cstheme="minorHAnsi"/>
          <w:b/>
          <w:sz w:val="20"/>
          <w:szCs w:val="20"/>
        </w:rPr>
        <w:t>Okres realizacji</w:t>
      </w:r>
      <w:r w:rsidR="008E10D5" w:rsidRPr="00721BF9">
        <w:rPr>
          <w:rFonts w:ascii="Century Gothic" w:hAnsi="Century Gothic" w:cstheme="minorHAnsi"/>
          <w:b/>
          <w:sz w:val="20"/>
          <w:szCs w:val="20"/>
        </w:rPr>
        <w:t xml:space="preserve"> dostawy</w:t>
      </w:r>
      <w:r w:rsidRPr="00721BF9">
        <w:rPr>
          <w:rFonts w:ascii="Century Gothic" w:hAnsi="Century Gothic" w:cstheme="minorHAnsi"/>
          <w:b/>
          <w:sz w:val="20"/>
          <w:szCs w:val="20"/>
        </w:rPr>
        <w:t>:</w:t>
      </w:r>
    </w:p>
    <w:p w14:paraId="3C284D8F" w14:textId="77777777" w:rsidR="00933239" w:rsidRPr="00721BF9" w:rsidRDefault="00933239" w:rsidP="009E0986">
      <w:pPr>
        <w:pStyle w:val="Zwykytekst"/>
        <w:numPr>
          <w:ilvl w:val="3"/>
          <w:numId w:val="30"/>
        </w:numPr>
        <w:spacing w:line="360" w:lineRule="auto"/>
        <w:ind w:left="426" w:hanging="32"/>
        <w:jc w:val="both"/>
        <w:rPr>
          <w:rFonts w:ascii="Century Gothic" w:hAnsi="Century Gothic" w:cstheme="minorHAnsi"/>
          <w:bCs/>
          <w:sz w:val="20"/>
          <w:szCs w:val="20"/>
        </w:rPr>
      </w:pPr>
      <w:bookmarkStart w:id="7" w:name="_Hlk55132216"/>
      <w:r w:rsidRPr="00721BF9">
        <w:rPr>
          <w:rFonts w:ascii="Century Gothic" w:hAnsi="Century Gothic" w:cstheme="minorHAnsi"/>
          <w:bCs/>
          <w:sz w:val="20"/>
          <w:szCs w:val="20"/>
        </w:rPr>
        <w:t>Realizacja przedmiotu umowy następować będzie w dwóch modułach, z czego:</w:t>
      </w:r>
    </w:p>
    <w:p w14:paraId="71344AAD" w14:textId="3F9FEBA4" w:rsidR="00933239" w:rsidRPr="00721BF9" w:rsidRDefault="00933239" w:rsidP="009E0986">
      <w:pPr>
        <w:pStyle w:val="Zwykytekst"/>
        <w:numPr>
          <w:ilvl w:val="1"/>
          <w:numId w:val="31"/>
        </w:numPr>
        <w:spacing w:line="360" w:lineRule="auto"/>
        <w:ind w:left="99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>Moduł 1 -  obejmował będzie przygotowanie i dostarczenie Zamawiającemu Dokumentacji IMPD</w:t>
      </w:r>
      <w:r w:rsidR="00BC6F97" w:rsidRPr="00721BF9">
        <w:rPr>
          <w:rFonts w:ascii="Century Gothic" w:hAnsi="Century Gothic" w:cstheme="minorHAnsi"/>
          <w:bCs/>
          <w:sz w:val="20"/>
          <w:szCs w:val="20"/>
        </w:rPr>
        <w:t xml:space="preserve"> i zrealizowany zostanie w terminie określonym w Ofercie;</w:t>
      </w:r>
    </w:p>
    <w:p w14:paraId="7E21C5FB" w14:textId="77777777" w:rsidR="00933239" w:rsidRPr="00721BF9" w:rsidRDefault="00933239" w:rsidP="009E0986">
      <w:pPr>
        <w:pStyle w:val="Zwykytekst"/>
        <w:numPr>
          <w:ilvl w:val="0"/>
          <w:numId w:val="31"/>
        </w:numPr>
        <w:spacing w:line="360" w:lineRule="auto"/>
        <w:ind w:left="99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Moduł 2 - obejmować będzie procesy wytworzenia Badanych Produktów Leczniczych (a jeśli Wykonawca nie jest wytwórcą produktu leczniczego zawierającego </w:t>
      </w:r>
      <w:proofErr w:type="spellStart"/>
      <w:r w:rsidRPr="00721BF9">
        <w:rPr>
          <w:rFonts w:ascii="Century Gothic" w:hAnsi="Century Gothic" w:cstheme="minorHAnsi"/>
          <w:bCs/>
          <w:sz w:val="20"/>
          <w:szCs w:val="20"/>
        </w:rPr>
        <w:t>Sertralinum</w:t>
      </w:r>
      <w:proofErr w:type="spellEnd"/>
      <w:r w:rsidRPr="00721BF9">
        <w:rPr>
          <w:rFonts w:ascii="Century Gothic" w:hAnsi="Century Gothic" w:cstheme="minorHAnsi"/>
          <w:bCs/>
          <w:sz w:val="20"/>
          <w:szCs w:val="20"/>
        </w:rPr>
        <w:t xml:space="preserve"> – nabycie tego produktu oraz procesy wytworzenia placebo) oraz ich sukcesywną dostawę do Ośrodków zgodnie z zamówieniami składanymi przez Zamawiającego, wskazującymi termin realizacji dostawy, ilości pojemników zawierających Badane Produkty Lecznicze, które trafić mają do poszczególnych Ośrodków, i ich parametry (w ramach ilości szacunkowych określonych w treści OPZ), przy czym:</w:t>
      </w:r>
    </w:p>
    <w:p w14:paraId="70B52731" w14:textId="77777777" w:rsidR="00933239" w:rsidRPr="00721BF9" w:rsidRDefault="00933239" w:rsidP="00D31A2B">
      <w:pPr>
        <w:pStyle w:val="Zwykytekst"/>
        <w:numPr>
          <w:ilvl w:val="0"/>
          <w:numId w:val="35"/>
        </w:numPr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łączna liczba zamówień nie przekroczy </w:t>
      </w:r>
      <w:r w:rsidR="0042460E" w:rsidRPr="00721BF9">
        <w:rPr>
          <w:rFonts w:ascii="Century Gothic" w:hAnsi="Century Gothic" w:cstheme="minorHAnsi"/>
          <w:bCs/>
          <w:sz w:val="20"/>
          <w:szCs w:val="20"/>
        </w:rPr>
        <w:t>32</w:t>
      </w:r>
      <w:r w:rsidRPr="00721BF9">
        <w:rPr>
          <w:rFonts w:ascii="Century Gothic" w:hAnsi="Century Gothic" w:cstheme="minorHAnsi"/>
          <w:bCs/>
          <w:sz w:val="20"/>
          <w:szCs w:val="20"/>
        </w:rPr>
        <w:t>;</w:t>
      </w:r>
    </w:p>
    <w:p w14:paraId="70AD6A20" w14:textId="77777777" w:rsidR="00933239" w:rsidRPr="00721BF9" w:rsidRDefault="00933239" w:rsidP="00D31A2B">
      <w:pPr>
        <w:pStyle w:val="Zwykytekst"/>
        <w:numPr>
          <w:ilvl w:val="0"/>
          <w:numId w:val="35"/>
        </w:numPr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pierwsze zamówienie złożone zostanie nie wcześniej niż </w:t>
      </w:r>
      <w:r w:rsidR="0042460E" w:rsidRPr="00721BF9">
        <w:rPr>
          <w:rFonts w:ascii="Century Gothic" w:hAnsi="Century Gothic" w:cstheme="minorHAnsi"/>
          <w:bCs/>
          <w:sz w:val="20"/>
          <w:szCs w:val="20"/>
        </w:rPr>
        <w:t>3 miesiące</w:t>
      </w:r>
      <w:r w:rsidRPr="00721BF9">
        <w:rPr>
          <w:rFonts w:ascii="Century Gothic" w:hAnsi="Century Gothic" w:cstheme="minorHAnsi"/>
          <w:bCs/>
          <w:sz w:val="20"/>
          <w:szCs w:val="20"/>
        </w:rPr>
        <w:t xml:space="preserve"> i nie później niż </w:t>
      </w:r>
      <w:r w:rsidR="0042460E" w:rsidRPr="00721BF9">
        <w:rPr>
          <w:rFonts w:ascii="Century Gothic" w:hAnsi="Century Gothic" w:cstheme="minorHAnsi"/>
          <w:bCs/>
          <w:sz w:val="20"/>
          <w:szCs w:val="20"/>
        </w:rPr>
        <w:t>6 miesięcy</w:t>
      </w:r>
      <w:r w:rsidRPr="00721BF9">
        <w:rPr>
          <w:rFonts w:ascii="Century Gothic" w:hAnsi="Century Gothic" w:cstheme="minorHAnsi"/>
          <w:bCs/>
          <w:sz w:val="20"/>
          <w:szCs w:val="20"/>
        </w:rPr>
        <w:t xml:space="preserve"> od dnia zawarcia niniejszej umowy;</w:t>
      </w:r>
    </w:p>
    <w:p w14:paraId="47CD3A0C" w14:textId="77777777" w:rsidR="00D31A2B" w:rsidRPr="00721BF9" w:rsidRDefault="00933239" w:rsidP="00D31A2B">
      <w:pPr>
        <w:pStyle w:val="Zwykytekst"/>
        <w:numPr>
          <w:ilvl w:val="0"/>
          <w:numId w:val="35"/>
        </w:numPr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kolejne zamówienia składane będą nie częściej niż co </w:t>
      </w:r>
      <w:r w:rsidR="0042460E" w:rsidRPr="00721BF9">
        <w:rPr>
          <w:rFonts w:ascii="Century Gothic" w:hAnsi="Century Gothic" w:cstheme="minorHAnsi"/>
          <w:bCs/>
          <w:sz w:val="20"/>
          <w:szCs w:val="20"/>
        </w:rPr>
        <w:t>6 miesięcy</w:t>
      </w:r>
      <w:r w:rsidRPr="00721BF9">
        <w:rPr>
          <w:rFonts w:ascii="Century Gothic" w:hAnsi="Century Gothic" w:cstheme="minorHAnsi"/>
          <w:bCs/>
          <w:sz w:val="20"/>
          <w:szCs w:val="20"/>
        </w:rPr>
        <w:t>;</w:t>
      </w:r>
    </w:p>
    <w:p w14:paraId="2738B1E8" w14:textId="77777777" w:rsidR="00D31A2B" w:rsidRPr="00721BF9" w:rsidRDefault="00933239" w:rsidP="00D31A2B">
      <w:pPr>
        <w:pStyle w:val="Zwykytekst"/>
        <w:numPr>
          <w:ilvl w:val="0"/>
          <w:numId w:val="35"/>
        </w:numPr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termin realizacji </w:t>
      </w:r>
      <w:r w:rsidR="00DD3071" w:rsidRPr="00721BF9">
        <w:rPr>
          <w:rFonts w:ascii="Century Gothic" w:hAnsi="Century Gothic" w:cstheme="minorHAnsi"/>
          <w:bCs/>
          <w:sz w:val="20"/>
          <w:szCs w:val="20"/>
        </w:rPr>
        <w:t xml:space="preserve">dostawy </w:t>
      </w:r>
      <w:r w:rsidRPr="00721BF9">
        <w:rPr>
          <w:rFonts w:ascii="Century Gothic" w:hAnsi="Century Gothic" w:cstheme="minorHAnsi"/>
          <w:bCs/>
          <w:sz w:val="20"/>
          <w:szCs w:val="20"/>
        </w:rPr>
        <w:t xml:space="preserve">nie będzie krótszy niż </w:t>
      </w:r>
      <w:r w:rsidR="00DD3071" w:rsidRPr="00721BF9">
        <w:rPr>
          <w:rFonts w:ascii="Century Gothic" w:hAnsi="Century Gothic" w:cstheme="minorHAnsi"/>
          <w:bCs/>
          <w:sz w:val="20"/>
          <w:szCs w:val="20"/>
        </w:rPr>
        <w:t xml:space="preserve">60 </w:t>
      </w:r>
      <w:r w:rsidRPr="00721BF9">
        <w:rPr>
          <w:rFonts w:ascii="Century Gothic" w:hAnsi="Century Gothic" w:cstheme="minorHAnsi"/>
          <w:bCs/>
          <w:sz w:val="20"/>
          <w:szCs w:val="20"/>
        </w:rPr>
        <w:t>dni;</w:t>
      </w:r>
    </w:p>
    <w:p w14:paraId="450DD910" w14:textId="77777777" w:rsidR="00933239" w:rsidRPr="00721BF9" w:rsidRDefault="00933239" w:rsidP="00D31A2B">
      <w:pPr>
        <w:pStyle w:val="Zwykytekst"/>
        <w:numPr>
          <w:ilvl w:val="0"/>
          <w:numId w:val="35"/>
        </w:numPr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Zamawiający ma prawo zadecydować, czy w ramach pojedynczego zamówienia realizowane będą dostawy do wszystkich lub wybranych przez Zamawiającego Ośrodków objętych umową. </w:t>
      </w:r>
    </w:p>
    <w:p w14:paraId="3F4D151A" w14:textId="77777777" w:rsidR="00933239" w:rsidRPr="00721BF9" w:rsidRDefault="00933239" w:rsidP="009E0986">
      <w:pPr>
        <w:pStyle w:val="Zwykytekst"/>
        <w:numPr>
          <w:ilvl w:val="0"/>
          <w:numId w:val="30"/>
        </w:numPr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Zamawiający składać będzie zamówienia, przesyłając je na adres </w:t>
      </w:r>
      <w:r w:rsidR="00DD3071" w:rsidRPr="00721BF9">
        <w:rPr>
          <w:rFonts w:ascii="Century Gothic" w:hAnsi="Century Gothic" w:cstheme="minorHAnsi"/>
          <w:bCs/>
          <w:sz w:val="20"/>
          <w:szCs w:val="20"/>
        </w:rPr>
        <w:t xml:space="preserve">e-mail </w:t>
      </w:r>
      <w:r w:rsidRPr="00721BF9">
        <w:rPr>
          <w:rFonts w:ascii="Century Gothic" w:hAnsi="Century Gothic" w:cstheme="minorHAnsi"/>
          <w:bCs/>
          <w:sz w:val="20"/>
          <w:szCs w:val="20"/>
        </w:rPr>
        <w:t>przedstawiciela Wykonawcy.</w:t>
      </w:r>
    </w:p>
    <w:p w14:paraId="0B2F5B91" w14:textId="77777777" w:rsidR="00933239" w:rsidRPr="00721BF9" w:rsidRDefault="00933239" w:rsidP="009237AE">
      <w:pPr>
        <w:pStyle w:val="Zwykytekst"/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lastRenderedPageBreak/>
        <w:t>Dokumentacja objęta przedmiotem Modułu 1 dostarczona zostanie w formie elektronicznej na adres przedstawiciela Zamawiającego. Odbiór dokumentacji potwierdzony zostanie w protokole sporządzonym przez Strony w formie dokumentowej.</w:t>
      </w:r>
    </w:p>
    <w:p w14:paraId="32D88A57" w14:textId="2525D97F" w:rsidR="00933239" w:rsidRPr="00721BF9" w:rsidRDefault="00933239" w:rsidP="009237AE">
      <w:pPr>
        <w:pStyle w:val="Zwykytekst"/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Liczba pojemników Badanych Produktów Leczniczych określona </w:t>
      </w:r>
      <w:r w:rsidR="00721BF9" w:rsidRPr="00721BF9">
        <w:rPr>
          <w:rFonts w:ascii="Century Gothic" w:hAnsi="Century Gothic" w:cstheme="minorHAnsi"/>
          <w:bCs/>
          <w:sz w:val="20"/>
          <w:szCs w:val="20"/>
        </w:rPr>
        <w:t xml:space="preserve">w punkcie 16 </w:t>
      </w:r>
      <w:r w:rsidR="00BF7FDF" w:rsidRPr="00721BF9">
        <w:rPr>
          <w:rFonts w:ascii="Century Gothic" w:hAnsi="Century Gothic" w:cstheme="minorHAnsi"/>
          <w:bCs/>
          <w:sz w:val="20"/>
          <w:szCs w:val="20"/>
        </w:rPr>
        <w:t>powyżej</w:t>
      </w:r>
      <w:r w:rsidRPr="00721BF9">
        <w:rPr>
          <w:rFonts w:ascii="Century Gothic" w:hAnsi="Century Gothic" w:cstheme="minorHAnsi"/>
          <w:bCs/>
          <w:sz w:val="20"/>
          <w:szCs w:val="20"/>
        </w:rPr>
        <w:t xml:space="preserve"> stanowi wielkość szacunkową i może ulec zmniejszeniu w zależności od potrzeb Zamawiającego, jednak nie więcej niż o </w:t>
      </w:r>
      <w:r w:rsidR="0016766F" w:rsidRPr="00721BF9">
        <w:rPr>
          <w:rFonts w:ascii="Century Gothic" w:hAnsi="Century Gothic" w:cstheme="minorHAnsi"/>
          <w:bCs/>
          <w:sz w:val="20"/>
          <w:szCs w:val="20"/>
        </w:rPr>
        <w:t>7</w:t>
      </w:r>
      <w:r w:rsidRPr="00721BF9">
        <w:rPr>
          <w:rFonts w:ascii="Century Gothic" w:hAnsi="Century Gothic" w:cstheme="minorHAnsi"/>
          <w:bCs/>
          <w:sz w:val="20"/>
          <w:szCs w:val="20"/>
        </w:rPr>
        <w:t xml:space="preserve">0 %. </w:t>
      </w:r>
    </w:p>
    <w:bookmarkEnd w:id="7"/>
    <w:p w14:paraId="383FFC14" w14:textId="77777777" w:rsidR="0016766F" w:rsidRPr="00721BF9" w:rsidRDefault="0016766F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09B66841" w14:textId="77777777" w:rsidR="00565667" w:rsidRPr="00721BF9" w:rsidRDefault="0016766F" w:rsidP="009E0986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21BF9">
        <w:rPr>
          <w:rFonts w:ascii="Century Gothic" w:hAnsi="Century Gothic" w:cstheme="minorHAnsi"/>
          <w:b/>
          <w:sz w:val="20"/>
          <w:szCs w:val="20"/>
        </w:rPr>
        <w:t>INNE UWAGI:</w:t>
      </w:r>
    </w:p>
    <w:p w14:paraId="35CA490D" w14:textId="77777777" w:rsidR="0016766F" w:rsidRPr="00721BF9" w:rsidRDefault="0016766F" w:rsidP="009E0986">
      <w:pPr>
        <w:pStyle w:val="Zwykytekst"/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>1. Ostateczne terminy uzależnione są od szybkości rekrutacji i ustalone zostaną z Zamawiającym w trakcie realizacji badania drogą e-mailową z przedstawicielem Sponsora.</w:t>
      </w:r>
    </w:p>
    <w:p w14:paraId="2C613D7B" w14:textId="77777777" w:rsidR="0016766F" w:rsidRPr="00721BF9" w:rsidRDefault="0016766F" w:rsidP="009E0986">
      <w:pPr>
        <w:pStyle w:val="Zwykytekst"/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>2. Wykonawca zobowiązany jest do współpracy ze Sponsorem Niekomercyjnego Badania Klinicznego w zakresie udzielani odpowiedzi na pytania URPL i KB dot. Badanych Produktów Leczniczych.</w:t>
      </w:r>
    </w:p>
    <w:p w14:paraId="298075A5" w14:textId="77777777" w:rsidR="0016766F" w:rsidRPr="00721BF9" w:rsidRDefault="0016766F" w:rsidP="009E0986">
      <w:pPr>
        <w:pStyle w:val="Zwykytekst"/>
        <w:spacing w:line="360" w:lineRule="auto"/>
        <w:jc w:val="both"/>
        <w:rPr>
          <w:rFonts w:ascii="Century Gothic" w:hAnsi="Century Gothic" w:cstheme="minorHAnsi"/>
          <w:bCs/>
          <w:sz w:val="20"/>
          <w:szCs w:val="20"/>
          <w:lang w:val="en-US"/>
        </w:rPr>
      </w:pPr>
      <w:r w:rsidRPr="00721BF9">
        <w:rPr>
          <w:rFonts w:ascii="Century Gothic" w:hAnsi="Century Gothic" w:cstheme="minorHAnsi"/>
          <w:bCs/>
          <w:sz w:val="20"/>
          <w:szCs w:val="20"/>
        </w:rPr>
        <w:t xml:space="preserve">3. Wykonawca zobowiązany jest do współpracy ze Sponsorem Niekomercyjnego Badania Klinicznego w aspektach związanych z implementacją Rozporządzenia Parlamentu Europejskiego i Rady UE nr 536/2014 z dnia 16 kwietnia 2014 r. w sprawie badań klinicznych produktów leczniczych stosowanych u ludzi oraz uchylenia dyrektywy 2001/20/WE dot. Badanych Produktów Leczniczych, w tym placebo. Wykonawca powinien mieć na uwadze wytyczną, tj. </w:t>
      </w:r>
      <w:r w:rsidRPr="00721BF9">
        <w:rPr>
          <w:rFonts w:ascii="Century Gothic" w:hAnsi="Century Gothic" w:cstheme="minorHAnsi"/>
          <w:bCs/>
          <w:i/>
          <w:sz w:val="20"/>
          <w:szCs w:val="20"/>
          <w:lang w:val="en-US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721BF9">
        <w:rPr>
          <w:rFonts w:ascii="Century Gothic" w:hAnsi="Century Gothic" w:cstheme="minorHAnsi"/>
          <w:bCs/>
          <w:sz w:val="20"/>
          <w:szCs w:val="20"/>
          <w:lang w:val="en-US"/>
        </w:rPr>
        <w:t>oraz</w:t>
      </w:r>
      <w:proofErr w:type="spellEnd"/>
      <w:r w:rsidRPr="00721BF9">
        <w:rPr>
          <w:rFonts w:ascii="Century Gothic" w:hAnsi="Century Gothic" w:cstheme="minorHAnsi"/>
          <w:bCs/>
          <w:sz w:val="20"/>
          <w:szCs w:val="20"/>
          <w:lang w:val="en-US"/>
        </w:rPr>
        <w:t xml:space="preserve"> </w:t>
      </w:r>
      <w:r w:rsidRPr="00721BF9">
        <w:rPr>
          <w:rFonts w:ascii="Century Gothic" w:hAnsi="Century Gothic" w:cstheme="minorHAnsi"/>
          <w:bCs/>
          <w:i/>
          <w:sz w:val="20"/>
          <w:szCs w:val="20"/>
          <w:lang w:val="en-US"/>
        </w:rPr>
        <w:t>Template for IMP batch release (applicable as from the date of entry into application of Regulation (EU) No 536/2014 on Clinical Trials).</w:t>
      </w:r>
      <w:r w:rsidRPr="00721BF9">
        <w:rPr>
          <w:rFonts w:ascii="Century Gothic" w:hAnsi="Century Gothic" w:cstheme="minorHAnsi"/>
          <w:bCs/>
          <w:sz w:val="20"/>
          <w:szCs w:val="20"/>
          <w:lang w:val="en-US"/>
        </w:rPr>
        <w:t xml:space="preserve"> </w:t>
      </w:r>
    </w:p>
    <w:p w14:paraId="402E0C3D" w14:textId="77777777" w:rsidR="0016766F" w:rsidRPr="00721BF9" w:rsidRDefault="0016766F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21BF9">
        <w:rPr>
          <w:rFonts w:ascii="Century Gothic" w:hAnsi="Century Gothic" w:cstheme="minorHAnsi"/>
          <w:sz w:val="20"/>
          <w:szCs w:val="20"/>
        </w:rPr>
        <w:t xml:space="preserve">4. Badany produkt leczniczy musi być dopuszczony do obrotu gospodarczego na terenie RP; dopuszcza się pozyskanie produktów referencyjnych przeznaczonych do użycia w niekomercyjnym badaniu klinicznych z rynków UE. W takiej sytuacji, wykonawca zobowiązany jest do przygotowania dokumentacji wymaganej przepisami prawa umożliwiającej wykorzystanie produktu referencyjnego jako Badanego Produktu Leczniczego w Niekomercyjnym Badaniu Klinicznym. </w:t>
      </w:r>
    </w:p>
    <w:p w14:paraId="41985D12" w14:textId="77777777" w:rsidR="0016766F" w:rsidRPr="00721BF9" w:rsidRDefault="0016766F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18C7762A" w14:textId="77777777" w:rsidR="0016766F" w:rsidRPr="00721BF9" w:rsidRDefault="0016766F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70CFB3B" w14:textId="77777777" w:rsidR="009E0986" w:rsidRPr="00721BF9" w:rsidRDefault="009E0986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080ED556" w14:textId="77777777" w:rsidR="009E0986" w:rsidRPr="00721BF9" w:rsidRDefault="009E0986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C1B01FC" w14:textId="77777777" w:rsidR="009E0986" w:rsidRPr="00721BF9" w:rsidRDefault="009E0986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327EDCC" w14:textId="77777777" w:rsidR="00D31A2B" w:rsidRPr="00721BF9" w:rsidRDefault="00D31A2B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2B062EC8" w14:textId="6264C76A" w:rsidR="00D31A2B" w:rsidRDefault="00D31A2B" w:rsidP="009E0986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bookmarkStart w:id="8" w:name="_GoBack"/>
      <w:bookmarkEnd w:id="8"/>
    </w:p>
    <w:sectPr w:rsidR="00D31A2B" w:rsidSect="00416BD4">
      <w:footerReference w:type="default" r:id="rId11"/>
      <w:endnotePr>
        <w:numFmt w:val="decimal"/>
      </w:endnotePr>
      <w:type w:val="continuous"/>
      <w:pgSz w:w="11906" w:h="16838"/>
      <w:pgMar w:top="1135" w:right="1133" w:bottom="709" w:left="1276" w:header="680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AE96" w14:textId="77777777" w:rsidR="004D0C8C" w:rsidRDefault="004D0C8C" w:rsidP="00DD236D">
      <w:pPr>
        <w:spacing w:after="0" w:line="240" w:lineRule="auto"/>
      </w:pPr>
      <w:r>
        <w:separator/>
      </w:r>
    </w:p>
  </w:endnote>
  <w:endnote w:type="continuationSeparator" w:id="0">
    <w:p w14:paraId="58F4F1C9" w14:textId="77777777" w:rsidR="004D0C8C" w:rsidRDefault="004D0C8C" w:rsidP="00DD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948440"/>
      <w:docPartObj>
        <w:docPartGallery w:val="Page Numbers (Bottom of Page)"/>
        <w:docPartUnique/>
      </w:docPartObj>
    </w:sdtPr>
    <w:sdtEndPr/>
    <w:sdtContent>
      <w:p w14:paraId="476AF10B" w14:textId="470A5700" w:rsidR="00F25A02" w:rsidRDefault="00F25A02">
        <w:pPr>
          <w:pStyle w:val="Stopka"/>
          <w:jc w:val="right"/>
        </w:pPr>
        <w:r w:rsidRPr="0051337D">
          <w:rPr>
            <w:rFonts w:ascii="Arial" w:hAnsi="Arial" w:cs="Arial"/>
            <w:sz w:val="16"/>
            <w:szCs w:val="16"/>
          </w:rPr>
          <w:t xml:space="preserve">Strona | </w:t>
        </w:r>
        <w:r w:rsidRPr="0051337D">
          <w:rPr>
            <w:rFonts w:ascii="Arial" w:hAnsi="Arial" w:cs="Arial"/>
            <w:sz w:val="16"/>
            <w:szCs w:val="16"/>
          </w:rPr>
          <w:fldChar w:fldCharType="begin"/>
        </w:r>
        <w:r w:rsidRPr="0051337D">
          <w:rPr>
            <w:rFonts w:ascii="Arial" w:hAnsi="Arial" w:cs="Arial"/>
            <w:sz w:val="16"/>
            <w:szCs w:val="16"/>
          </w:rPr>
          <w:instrText>PAGE   \* MERGEFORMAT</w:instrText>
        </w:r>
        <w:r w:rsidRPr="0051337D">
          <w:rPr>
            <w:rFonts w:ascii="Arial" w:hAnsi="Arial" w:cs="Arial"/>
            <w:sz w:val="16"/>
            <w:szCs w:val="16"/>
          </w:rPr>
          <w:fldChar w:fldCharType="separate"/>
        </w:r>
        <w:r w:rsidR="009237AE">
          <w:rPr>
            <w:rFonts w:ascii="Arial" w:hAnsi="Arial" w:cs="Arial"/>
            <w:noProof/>
            <w:sz w:val="16"/>
            <w:szCs w:val="16"/>
          </w:rPr>
          <w:t>5</w:t>
        </w:r>
        <w:r w:rsidRPr="0051337D">
          <w:rPr>
            <w:rFonts w:ascii="Arial" w:hAnsi="Arial" w:cs="Arial"/>
            <w:sz w:val="16"/>
            <w:szCs w:val="16"/>
          </w:rPr>
          <w:fldChar w:fldCharType="end"/>
        </w:r>
        <w:r>
          <w:t xml:space="preserve"> </w:t>
        </w:r>
      </w:p>
    </w:sdtContent>
  </w:sdt>
  <w:p w14:paraId="6CAE1500" w14:textId="77777777" w:rsidR="00F25A02" w:rsidRDefault="00F25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B609" w14:textId="77777777" w:rsidR="004D0C8C" w:rsidRDefault="004D0C8C" w:rsidP="00DD236D">
      <w:pPr>
        <w:spacing w:after="0" w:line="240" w:lineRule="auto"/>
      </w:pPr>
      <w:r>
        <w:separator/>
      </w:r>
    </w:p>
  </w:footnote>
  <w:footnote w:type="continuationSeparator" w:id="0">
    <w:p w14:paraId="579359E9" w14:textId="77777777" w:rsidR="004D0C8C" w:rsidRDefault="004D0C8C" w:rsidP="00DD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A6A3FE"/>
    <w:lvl w:ilvl="0">
      <w:start w:val="1"/>
      <w:numFmt w:val="decimal"/>
      <w:lvlText w:val="%1."/>
      <w:lvlJc w:val="left"/>
      <w:pPr>
        <w:ind w:left="655" w:hanging="360"/>
      </w:pPr>
      <w:rPr>
        <w:rFonts w:ascii="Century Gothic" w:eastAsia="Times New Roman" w:hAnsi="Century Gothic" w:cs="Arial" w:hint="default"/>
        <w:b w:val="0"/>
        <w:bCs/>
      </w:rPr>
    </w:lvl>
    <w:lvl w:ilvl="1">
      <w:start w:val="1"/>
      <w:numFmt w:val="lowerLetter"/>
      <w:lvlText w:val="%2)"/>
      <w:lvlJc w:val="left"/>
      <w:pPr>
        <w:ind w:left="1015" w:hanging="360"/>
      </w:pPr>
    </w:lvl>
    <w:lvl w:ilvl="2">
      <w:start w:val="1"/>
      <w:numFmt w:val="lowerRoman"/>
      <w:lvlText w:val="%3)"/>
      <w:lvlJc w:val="left"/>
      <w:pPr>
        <w:ind w:left="1375" w:hanging="360"/>
      </w:pPr>
    </w:lvl>
    <w:lvl w:ilvl="3">
      <w:start w:val="1"/>
      <w:numFmt w:val="decimal"/>
      <w:lvlText w:val="(%4)"/>
      <w:lvlJc w:val="left"/>
      <w:pPr>
        <w:ind w:left="1735" w:hanging="360"/>
      </w:pPr>
    </w:lvl>
    <w:lvl w:ilvl="4">
      <w:start w:val="1"/>
      <w:numFmt w:val="lowerLetter"/>
      <w:lvlText w:val="(%5)"/>
      <w:lvlJc w:val="left"/>
      <w:pPr>
        <w:ind w:left="2095" w:hanging="360"/>
      </w:pPr>
    </w:lvl>
    <w:lvl w:ilvl="5">
      <w:start w:val="1"/>
      <w:numFmt w:val="lowerRoman"/>
      <w:lvlText w:val="(%6)"/>
      <w:lvlJc w:val="left"/>
      <w:pPr>
        <w:ind w:left="2455" w:hanging="360"/>
      </w:pPr>
    </w:lvl>
    <w:lvl w:ilvl="6">
      <w:start w:val="1"/>
      <w:numFmt w:val="decimal"/>
      <w:lvlText w:val="%7."/>
      <w:lvlJc w:val="left"/>
      <w:pPr>
        <w:ind w:left="2815" w:hanging="360"/>
      </w:pPr>
    </w:lvl>
    <w:lvl w:ilvl="7">
      <w:start w:val="1"/>
      <w:numFmt w:val="lowerLetter"/>
      <w:lvlText w:val="%8."/>
      <w:lvlJc w:val="left"/>
      <w:pPr>
        <w:ind w:left="3175" w:hanging="360"/>
      </w:pPr>
    </w:lvl>
    <w:lvl w:ilvl="8">
      <w:start w:val="1"/>
      <w:numFmt w:val="lowerRoman"/>
      <w:lvlText w:val="%9."/>
      <w:lvlJc w:val="left"/>
      <w:pPr>
        <w:ind w:left="3535" w:hanging="360"/>
      </w:pPr>
    </w:lvl>
  </w:abstractNum>
  <w:abstractNum w:abstractNumId="1" w15:restartNumberingAfterBreak="0">
    <w:nsid w:val="00000003"/>
    <w:multiLevelType w:val="multilevel"/>
    <w:tmpl w:val="40B830EA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0" w:hanging="180"/>
      </w:pPr>
      <w:rPr>
        <w:rFonts w:hint="default"/>
      </w:rPr>
    </w:lvl>
  </w:abstractNum>
  <w:abstractNum w:abstractNumId="2" w15:restartNumberingAfterBreak="0">
    <w:nsid w:val="0126330A"/>
    <w:multiLevelType w:val="hybridMultilevel"/>
    <w:tmpl w:val="88AA80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54FCF"/>
    <w:multiLevelType w:val="hybridMultilevel"/>
    <w:tmpl w:val="F678DCBE"/>
    <w:lvl w:ilvl="0" w:tplc="F25661C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A248B"/>
    <w:multiLevelType w:val="hybridMultilevel"/>
    <w:tmpl w:val="4F34D50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6BC1B9F"/>
    <w:multiLevelType w:val="hybridMultilevel"/>
    <w:tmpl w:val="964EC1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1005A"/>
    <w:multiLevelType w:val="hybridMultilevel"/>
    <w:tmpl w:val="3CA6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32EC"/>
    <w:multiLevelType w:val="hybridMultilevel"/>
    <w:tmpl w:val="5A3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798"/>
    <w:multiLevelType w:val="multilevel"/>
    <w:tmpl w:val="6046E3B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387953"/>
    <w:multiLevelType w:val="hybridMultilevel"/>
    <w:tmpl w:val="6038DD0C"/>
    <w:lvl w:ilvl="0" w:tplc="A45AA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30042C"/>
    <w:multiLevelType w:val="hybridMultilevel"/>
    <w:tmpl w:val="65A84350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1" w15:restartNumberingAfterBreak="0">
    <w:nsid w:val="257651D4"/>
    <w:multiLevelType w:val="hybridMultilevel"/>
    <w:tmpl w:val="0430E6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7F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2F61FE"/>
    <w:multiLevelType w:val="hybridMultilevel"/>
    <w:tmpl w:val="4F865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C59AF"/>
    <w:multiLevelType w:val="hybridMultilevel"/>
    <w:tmpl w:val="0EFE9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21E"/>
    <w:multiLevelType w:val="hybridMultilevel"/>
    <w:tmpl w:val="C830608A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3A7C71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680DF1"/>
    <w:multiLevelType w:val="hybridMultilevel"/>
    <w:tmpl w:val="2D48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B33BA"/>
    <w:multiLevelType w:val="hybridMultilevel"/>
    <w:tmpl w:val="F2BA7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29B2"/>
    <w:multiLevelType w:val="hybridMultilevel"/>
    <w:tmpl w:val="D2629F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42D21"/>
    <w:multiLevelType w:val="hybridMultilevel"/>
    <w:tmpl w:val="18E8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E6464"/>
    <w:multiLevelType w:val="hybridMultilevel"/>
    <w:tmpl w:val="ADE60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6AD536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3040A"/>
    <w:multiLevelType w:val="hybridMultilevel"/>
    <w:tmpl w:val="6032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5A21"/>
    <w:multiLevelType w:val="multilevel"/>
    <w:tmpl w:val="41B884A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bCs/>
      </w:rPr>
    </w:lvl>
    <w:lvl w:ilvl="1">
      <w:start w:val="1"/>
      <w:numFmt w:val="lowerLetter"/>
      <w:lvlText w:val="%2)"/>
      <w:lvlJc w:val="left"/>
      <w:pPr>
        <w:ind w:left="1015" w:hanging="360"/>
      </w:pPr>
    </w:lvl>
    <w:lvl w:ilvl="2">
      <w:start w:val="1"/>
      <w:numFmt w:val="lowerRoman"/>
      <w:lvlText w:val="%3)"/>
      <w:lvlJc w:val="left"/>
      <w:pPr>
        <w:ind w:left="1375" w:hanging="360"/>
      </w:pPr>
    </w:lvl>
    <w:lvl w:ilvl="3">
      <w:start w:val="1"/>
      <w:numFmt w:val="decimal"/>
      <w:lvlText w:val="(%4)"/>
      <w:lvlJc w:val="left"/>
      <w:pPr>
        <w:ind w:left="1735" w:hanging="360"/>
      </w:pPr>
    </w:lvl>
    <w:lvl w:ilvl="4">
      <w:start w:val="1"/>
      <w:numFmt w:val="lowerLetter"/>
      <w:lvlText w:val="(%5)"/>
      <w:lvlJc w:val="left"/>
      <w:pPr>
        <w:ind w:left="2095" w:hanging="360"/>
      </w:pPr>
    </w:lvl>
    <w:lvl w:ilvl="5">
      <w:start w:val="1"/>
      <w:numFmt w:val="lowerRoman"/>
      <w:lvlText w:val="(%6)"/>
      <w:lvlJc w:val="left"/>
      <w:pPr>
        <w:ind w:left="2455" w:hanging="360"/>
      </w:pPr>
    </w:lvl>
    <w:lvl w:ilvl="6">
      <w:start w:val="1"/>
      <w:numFmt w:val="decimal"/>
      <w:lvlText w:val="%7."/>
      <w:lvlJc w:val="left"/>
      <w:pPr>
        <w:ind w:left="2815" w:hanging="360"/>
      </w:pPr>
    </w:lvl>
    <w:lvl w:ilvl="7">
      <w:start w:val="1"/>
      <w:numFmt w:val="lowerLetter"/>
      <w:lvlText w:val="%8."/>
      <w:lvlJc w:val="left"/>
      <w:pPr>
        <w:ind w:left="3175" w:hanging="360"/>
      </w:pPr>
    </w:lvl>
    <w:lvl w:ilvl="8">
      <w:start w:val="1"/>
      <w:numFmt w:val="lowerRoman"/>
      <w:lvlText w:val="%9."/>
      <w:lvlJc w:val="left"/>
      <w:pPr>
        <w:ind w:left="3535" w:hanging="360"/>
      </w:pPr>
    </w:lvl>
  </w:abstractNum>
  <w:abstractNum w:abstractNumId="24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69B5"/>
    <w:multiLevelType w:val="hybridMultilevel"/>
    <w:tmpl w:val="05D4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732E9"/>
    <w:multiLevelType w:val="hybridMultilevel"/>
    <w:tmpl w:val="C6B6E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14551"/>
    <w:multiLevelType w:val="hybridMultilevel"/>
    <w:tmpl w:val="545A64DC"/>
    <w:lvl w:ilvl="0" w:tplc="E79603E8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029E"/>
    <w:multiLevelType w:val="hybridMultilevel"/>
    <w:tmpl w:val="FB7C6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53E5"/>
    <w:multiLevelType w:val="hybridMultilevel"/>
    <w:tmpl w:val="8C74C438"/>
    <w:lvl w:ilvl="0" w:tplc="3FFAE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E4229"/>
    <w:multiLevelType w:val="hybridMultilevel"/>
    <w:tmpl w:val="B2B090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F1797"/>
    <w:multiLevelType w:val="hybridMultilevel"/>
    <w:tmpl w:val="3E06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058D1"/>
    <w:multiLevelType w:val="hybridMultilevel"/>
    <w:tmpl w:val="C72EE9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1E79"/>
    <w:multiLevelType w:val="hybridMultilevel"/>
    <w:tmpl w:val="6D78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D2F18"/>
    <w:multiLevelType w:val="hybridMultilevel"/>
    <w:tmpl w:val="86B2E4A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5" w15:restartNumberingAfterBreak="0">
    <w:nsid w:val="79DC32BD"/>
    <w:multiLevelType w:val="hybridMultilevel"/>
    <w:tmpl w:val="983840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B2344FF"/>
    <w:multiLevelType w:val="hybridMultilevel"/>
    <w:tmpl w:val="0B005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72B1F"/>
    <w:multiLevelType w:val="hybridMultilevel"/>
    <w:tmpl w:val="23A27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0"/>
  </w:num>
  <w:num w:numId="4">
    <w:abstractNumId w:val="29"/>
  </w:num>
  <w:num w:numId="5">
    <w:abstractNumId w:val="1"/>
  </w:num>
  <w:num w:numId="6">
    <w:abstractNumId w:val="8"/>
  </w:num>
  <w:num w:numId="7">
    <w:abstractNumId w:val="35"/>
  </w:num>
  <w:num w:numId="8">
    <w:abstractNumId w:val="4"/>
  </w:num>
  <w:num w:numId="9">
    <w:abstractNumId w:val="16"/>
  </w:num>
  <w:num w:numId="10">
    <w:abstractNumId w:val="9"/>
  </w:num>
  <w:num w:numId="11">
    <w:abstractNumId w:val="28"/>
  </w:num>
  <w:num w:numId="12">
    <w:abstractNumId w:val="7"/>
  </w:num>
  <w:num w:numId="13">
    <w:abstractNumId w:val="30"/>
  </w:num>
  <w:num w:numId="14">
    <w:abstractNumId w:val="20"/>
  </w:num>
  <w:num w:numId="15">
    <w:abstractNumId w:val="10"/>
  </w:num>
  <w:num w:numId="16">
    <w:abstractNumId w:val="34"/>
  </w:num>
  <w:num w:numId="17">
    <w:abstractNumId w:val="6"/>
  </w:num>
  <w:num w:numId="18">
    <w:abstractNumId w:val="27"/>
  </w:num>
  <w:num w:numId="19">
    <w:abstractNumId w:val="37"/>
  </w:num>
  <w:num w:numId="20">
    <w:abstractNumId w:val="2"/>
  </w:num>
  <w:num w:numId="21">
    <w:abstractNumId w:val="5"/>
  </w:num>
  <w:num w:numId="22">
    <w:abstractNumId w:val="3"/>
  </w:num>
  <w:num w:numId="23">
    <w:abstractNumId w:val="14"/>
  </w:num>
  <w:num w:numId="24">
    <w:abstractNumId w:val="17"/>
  </w:num>
  <w:num w:numId="25">
    <w:abstractNumId w:val="31"/>
  </w:num>
  <w:num w:numId="26">
    <w:abstractNumId w:val="25"/>
  </w:num>
  <w:num w:numId="27">
    <w:abstractNumId w:val="18"/>
  </w:num>
  <w:num w:numId="28">
    <w:abstractNumId w:val="21"/>
  </w:num>
  <w:num w:numId="29">
    <w:abstractNumId w:val="11"/>
  </w:num>
  <w:num w:numId="30">
    <w:abstractNumId w:val="24"/>
  </w:num>
  <w:num w:numId="31">
    <w:abstractNumId w:val="32"/>
  </w:num>
  <w:num w:numId="32">
    <w:abstractNumId w:val="36"/>
  </w:num>
  <w:num w:numId="33">
    <w:abstractNumId w:val="22"/>
  </w:num>
  <w:num w:numId="34">
    <w:abstractNumId w:val="15"/>
  </w:num>
  <w:num w:numId="35">
    <w:abstractNumId w:val="1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C"/>
    <w:rsid w:val="0000444C"/>
    <w:rsid w:val="00007B8C"/>
    <w:rsid w:val="00012AE9"/>
    <w:rsid w:val="000138A9"/>
    <w:rsid w:val="000139E8"/>
    <w:rsid w:val="00014A04"/>
    <w:rsid w:val="00020751"/>
    <w:rsid w:val="00026485"/>
    <w:rsid w:val="00026C48"/>
    <w:rsid w:val="0003291F"/>
    <w:rsid w:val="00036A31"/>
    <w:rsid w:val="0003722F"/>
    <w:rsid w:val="000375BF"/>
    <w:rsid w:val="00037F3F"/>
    <w:rsid w:val="00040281"/>
    <w:rsid w:val="0004328A"/>
    <w:rsid w:val="00045A8D"/>
    <w:rsid w:val="00047AE5"/>
    <w:rsid w:val="00051B9C"/>
    <w:rsid w:val="00052517"/>
    <w:rsid w:val="00064EE8"/>
    <w:rsid w:val="00065690"/>
    <w:rsid w:val="000668F7"/>
    <w:rsid w:val="000672AD"/>
    <w:rsid w:val="00071478"/>
    <w:rsid w:val="00074D3C"/>
    <w:rsid w:val="00083234"/>
    <w:rsid w:val="00087A35"/>
    <w:rsid w:val="0009073F"/>
    <w:rsid w:val="00092EFD"/>
    <w:rsid w:val="0009514F"/>
    <w:rsid w:val="000965BC"/>
    <w:rsid w:val="000A0018"/>
    <w:rsid w:val="000B1FB7"/>
    <w:rsid w:val="000B31D0"/>
    <w:rsid w:val="000B4D31"/>
    <w:rsid w:val="000B4D5D"/>
    <w:rsid w:val="000C21A7"/>
    <w:rsid w:val="000C3D0B"/>
    <w:rsid w:val="000C7707"/>
    <w:rsid w:val="000D0E34"/>
    <w:rsid w:val="000D2736"/>
    <w:rsid w:val="000D3499"/>
    <w:rsid w:val="000D3ED5"/>
    <w:rsid w:val="000D3FF3"/>
    <w:rsid w:val="000E1993"/>
    <w:rsid w:val="000E2F44"/>
    <w:rsid w:val="000E70C3"/>
    <w:rsid w:val="000F3838"/>
    <w:rsid w:val="000F53FF"/>
    <w:rsid w:val="001013A2"/>
    <w:rsid w:val="00101ED7"/>
    <w:rsid w:val="00103242"/>
    <w:rsid w:val="0010358C"/>
    <w:rsid w:val="00103692"/>
    <w:rsid w:val="00107527"/>
    <w:rsid w:val="00110B42"/>
    <w:rsid w:val="00111EA1"/>
    <w:rsid w:val="001248BB"/>
    <w:rsid w:val="00126D71"/>
    <w:rsid w:val="001338EA"/>
    <w:rsid w:val="00136477"/>
    <w:rsid w:val="00140FEB"/>
    <w:rsid w:val="00142F72"/>
    <w:rsid w:val="00143181"/>
    <w:rsid w:val="00151A3A"/>
    <w:rsid w:val="00157548"/>
    <w:rsid w:val="0016282A"/>
    <w:rsid w:val="00162AEE"/>
    <w:rsid w:val="0016766F"/>
    <w:rsid w:val="00171C59"/>
    <w:rsid w:val="00172B4C"/>
    <w:rsid w:val="00175053"/>
    <w:rsid w:val="00176369"/>
    <w:rsid w:val="00176E7E"/>
    <w:rsid w:val="00180709"/>
    <w:rsid w:val="001841A4"/>
    <w:rsid w:val="001847A1"/>
    <w:rsid w:val="00185A3D"/>
    <w:rsid w:val="00192D6D"/>
    <w:rsid w:val="00193702"/>
    <w:rsid w:val="001947BA"/>
    <w:rsid w:val="001954A4"/>
    <w:rsid w:val="00196A30"/>
    <w:rsid w:val="001A127F"/>
    <w:rsid w:val="001A16A6"/>
    <w:rsid w:val="001A1B3E"/>
    <w:rsid w:val="001A246D"/>
    <w:rsid w:val="001A4F0E"/>
    <w:rsid w:val="001B0B89"/>
    <w:rsid w:val="001B2520"/>
    <w:rsid w:val="001B6680"/>
    <w:rsid w:val="001C1E4F"/>
    <w:rsid w:val="001C3F2E"/>
    <w:rsid w:val="001C4745"/>
    <w:rsid w:val="001C7841"/>
    <w:rsid w:val="001D42CD"/>
    <w:rsid w:val="001D7076"/>
    <w:rsid w:val="001E0608"/>
    <w:rsid w:val="001E4F2D"/>
    <w:rsid w:val="001E66B6"/>
    <w:rsid w:val="001E6DBA"/>
    <w:rsid w:val="001F14C3"/>
    <w:rsid w:val="001F3E5C"/>
    <w:rsid w:val="00201BC4"/>
    <w:rsid w:val="0020449A"/>
    <w:rsid w:val="00204A2C"/>
    <w:rsid w:val="002100C4"/>
    <w:rsid w:val="002107F4"/>
    <w:rsid w:val="00224092"/>
    <w:rsid w:val="0023339A"/>
    <w:rsid w:val="00236689"/>
    <w:rsid w:val="00242C79"/>
    <w:rsid w:val="00247A4B"/>
    <w:rsid w:val="00250CA8"/>
    <w:rsid w:val="00261197"/>
    <w:rsid w:val="00263D2F"/>
    <w:rsid w:val="00264A71"/>
    <w:rsid w:val="00265F64"/>
    <w:rsid w:val="00272DE5"/>
    <w:rsid w:val="0027439E"/>
    <w:rsid w:val="0027623D"/>
    <w:rsid w:val="002776C8"/>
    <w:rsid w:val="0028124E"/>
    <w:rsid w:val="00281C00"/>
    <w:rsid w:val="0028309C"/>
    <w:rsid w:val="00283ED2"/>
    <w:rsid w:val="0028507C"/>
    <w:rsid w:val="00287089"/>
    <w:rsid w:val="00297B14"/>
    <w:rsid w:val="002A198E"/>
    <w:rsid w:val="002A2AA5"/>
    <w:rsid w:val="002A2F21"/>
    <w:rsid w:val="002A61C5"/>
    <w:rsid w:val="002A6EED"/>
    <w:rsid w:val="002B4AD6"/>
    <w:rsid w:val="002B6067"/>
    <w:rsid w:val="002C256B"/>
    <w:rsid w:val="002C360A"/>
    <w:rsid w:val="002C3D31"/>
    <w:rsid w:val="002C54E2"/>
    <w:rsid w:val="002C5A62"/>
    <w:rsid w:val="002C60C1"/>
    <w:rsid w:val="002C65CE"/>
    <w:rsid w:val="002C7D1E"/>
    <w:rsid w:val="002D1706"/>
    <w:rsid w:val="002D288D"/>
    <w:rsid w:val="002D3020"/>
    <w:rsid w:val="002D509C"/>
    <w:rsid w:val="002D536D"/>
    <w:rsid w:val="002E25A4"/>
    <w:rsid w:val="002E4020"/>
    <w:rsid w:val="002E4084"/>
    <w:rsid w:val="002E53C1"/>
    <w:rsid w:val="002E57CE"/>
    <w:rsid w:val="002E674E"/>
    <w:rsid w:val="002E7BF2"/>
    <w:rsid w:val="002F0A86"/>
    <w:rsid w:val="00305D00"/>
    <w:rsid w:val="00307A51"/>
    <w:rsid w:val="0031379B"/>
    <w:rsid w:val="0031529D"/>
    <w:rsid w:val="003261CE"/>
    <w:rsid w:val="00330A64"/>
    <w:rsid w:val="00330D1E"/>
    <w:rsid w:val="00334736"/>
    <w:rsid w:val="00341CA6"/>
    <w:rsid w:val="00347854"/>
    <w:rsid w:val="003503FD"/>
    <w:rsid w:val="003510CF"/>
    <w:rsid w:val="00351B2A"/>
    <w:rsid w:val="003534F0"/>
    <w:rsid w:val="00355EEA"/>
    <w:rsid w:val="00356E4E"/>
    <w:rsid w:val="00366307"/>
    <w:rsid w:val="00367793"/>
    <w:rsid w:val="003700AB"/>
    <w:rsid w:val="00375F3C"/>
    <w:rsid w:val="00380581"/>
    <w:rsid w:val="00382678"/>
    <w:rsid w:val="003864AC"/>
    <w:rsid w:val="003923A3"/>
    <w:rsid w:val="003A138B"/>
    <w:rsid w:val="003B0351"/>
    <w:rsid w:val="003B34C4"/>
    <w:rsid w:val="003B5B08"/>
    <w:rsid w:val="003C030D"/>
    <w:rsid w:val="003C0FB6"/>
    <w:rsid w:val="003C5241"/>
    <w:rsid w:val="003C6F90"/>
    <w:rsid w:val="003D1386"/>
    <w:rsid w:val="003D2D56"/>
    <w:rsid w:val="003E0D5A"/>
    <w:rsid w:val="003E13D2"/>
    <w:rsid w:val="003E1B59"/>
    <w:rsid w:val="003E4ED3"/>
    <w:rsid w:val="003E592C"/>
    <w:rsid w:val="003F5673"/>
    <w:rsid w:val="003F5744"/>
    <w:rsid w:val="003F57F9"/>
    <w:rsid w:val="003F5E95"/>
    <w:rsid w:val="004037FB"/>
    <w:rsid w:val="00406955"/>
    <w:rsid w:val="004109D5"/>
    <w:rsid w:val="0041297F"/>
    <w:rsid w:val="0041358B"/>
    <w:rsid w:val="00416BD4"/>
    <w:rsid w:val="004179CC"/>
    <w:rsid w:val="0042040D"/>
    <w:rsid w:val="00422260"/>
    <w:rsid w:val="004228E7"/>
    <w:rsid w:val="0042460E"/>
    <w:rsid w:val="00432CBC"/>
    <w:rsid w:val="00433C53"/>
    <w:rsid w:val="0043411A"/>
    <w:rsid w:val="00436625"/>
    <w:rsid w:val="0044169B"/>
    <w:rsid w:val="00442595"/>
    <w:rsid w:val="00442CBB"/>
    <w:rsid w:val="004430EA"/>
    <w:rsid w:val="00443BD4"/>
    <w:rsid w:val="00445DC3"/>
    <w:rsid w:val="00445E03"/>
    <w:rsid w:val="00452FAD"/>
    <w:rsid w:val="00455C19"/>
    <w:rsid w:val="00460DD6"/>
    <w:rsid w:val="00462844"/>
    <w:rsid w:val="00462E7B"/>
    <w:rsid w:val="0046328E"/>
    <w:rsid w:val="00463606"/>
    <w:rsid w:val="00465E5F"/>
    <w:rsid w:val="00470974"/>
    <w:rsid w:val="00472C34"/>
    <w:rsid w:val="004751D4"/>
    <w:rsid w:val="0047671A"/>
    <w:rsid w:val="00476934"/>
    <w:rsid w:val="0047739B"/>
    <w:rsid w:val="00481A7C"/>
    <w:rsid w:val="004903C7"/>
    <w:rsid w:val="00491CEC"/>
    <w:rsid w:val="00497F82"/>
    <w:rsid w:val="004A1504"/>
    <w:rsid w:val="004B490B"/>
    <w:rsid w:val="004C221F"/>
    <w:rsid w:val="004D0C8C"/>
    <w:rsid w:val="004D1634"/>
    <w:rsid w:val="004D242C"/>
    <w:rsid w:val="004D48FE"/>
    <w:rsid w:val="004E0BE1"/>
    <w:rsid w:val="004E4562"/>
    <w:rsid w:val="004E5047"/>
    <w:rsid w:val="004E65C3"/>
    <w:rsid w:val="004F0701"/>
    <w:rsid w:val="004F09C7"/>
    <w:rsid w:val="004F378A"/>
    <w:rsid w:val="00503596"/>
    <w:rsid w:val="00505344"/>
    <w:rsid w:val="005053FF"/>
    <w:rsid w:val="00507096"/>
    <w:rsid w:val="0051018B"/>
    <w:rsid w:val="0051337D"/>
    <w:rsid w:val="00515FC3"/>
    <w:rsid w:val="00520710"/>
    <w:rsid w:val="00520A9A"/>
    <w:rsid w:val="005238C6"/>
    <w:rsid w:val="00525222"/>
    <w:rsid w:val="0052767B"/>
    <w:rsid w:val="00530C22"/>
    <w:rsid w:val="00532CEE"/>
    <w:rsid w:val="0053478A"/>
    <w:rsid w:val="005349CC"/>
    <w:rsid w:val="005428C8"/>
    <w:rsid w:val="00552031"/>
    <w:rsid w:val="0055754A"/>
    <w:rsid w:val="00563B93"/>
    <w:rsid w:val="005650F6"/>
    <w:rsid w:val="00565667"/>
    <w:rsid w:val="0056747D"/>
    <w:rsid w:val="00572D80"/>
    <w:rsid w:val="005804A5"/>
    <w:rsid w:val="0058069F"/>
    <w:rsid w:val="0058551A"/>
    <w:rsid w:val="00587CEE"/>
    <w:rsid w:val="00596D01"/>
    <w:rsid w:val="00597733"/>
    <w:rsid w:val="00597DD4"/>
    <w:rsid w:val="005A0953"/>
    <w:rsid w:val="005A103A"/>
    <w:rsid w:val="005A17C5"/>
    <w:rsid w:val="005A712D"/>
    <w:rsid w:val="005A76FE"/>
    <w:rsid w:val="005B002D"/>
    <w:rsid w:val="005B52E3"/>
    <w:rsid w:val="005B75DF"/>
    <w:rsid w:val="005B7B8A"/>
    <w:rsid w:val="005C1DBC"/>
    <w:rsid w:val="005C36B5"/>
    <w:rsid w:val="005C4FAB"/>
    <w:rsid w:val="005C6097"/>
    <w:rsid w:val="005E4298"/>
    <w:rsid w:val="005F2767"/>
    <w:rsid w:val="005F38E3"/>
    <w:rsid w:val="005F4511"/>
    <w:rsid w:val="005F4D2F"/>
    <w:rsid w:val="005F5364"/>
    <w:rsid w:val="0060259C"/>
    <w:rsid w:val="00602F55"/>
    <w:rsid w:val="006037D0"/>
    <w:rsid w:val="00604A85"/>
    <w:rsid w:val="006115A7"/>
    <w:rsid w:val="00613CC6"/>
    <w:rsid w:val="00616CD3"/>
    <w:rsid w:val="00621444"/>
    <w:rsid w:val="00622841"/>
    <w:rsid w:val="00624292"/>
    <w:rsid w:val="00625B6E"/>
    <w:rsid w:val="006308B3"/>
    <w:rsid w:val="00633CFE"/>
    <w:rsid w:val="00635F5C"/>
    <w:rsid w:val="00637082"/>
    <w:rsid w:val="00637627"/>
    <w:rsid w:val="00640443"/>
    <w:rsid w:val="00640EB8"/>
    <w:rsid w:val="00644C14"/>
    <w:rsid w:val="00653A82"/>
    <w:rsid w:val="006547C2"/>
    <w:rsid w:val="00655D1E"/>
    <w:rsid w:val="00655D60"/>
    <w:rsid w:val="00661A77"/>
    <w:rsid w:val="00675104"/>
    <w:rsid w:val="006777FA"/>
    <w:rsid w:val="00680386"/>
    <w:rsid w:val="00680AC4"/>
    <w:rsid w:val="006818F1"/>
    <w:rsid w:val="00682158"/>
    <w:rsid w:val="006862D3"/>
    <w:rsid w:val="00690282"/>
    <w:rsid w:val="00693294"/>
    <w:rsid w:val="006A5B4F"/>
    <w:rsid w:val="006B4148"/>
    <w:rsid w:val="006B5417"/>
    <w:rsid w:val="006C6187"/>
    <w:rsid w:val="006D0A38"/>
    <w:rsid w:val="006D125A"/>
    <w:rsid w:val="006D250E"/>
    <w:rsid w:val="006D2A8D"/>
    <w:rsid w:val="006D4C6C"/>
    <w:rsid w:val="006D517A"/>
    <w:rsid w:val="006E0994"/>
    <w:rsid w:val="006E192E"/>
    <w:rsid w:val="006E255C"/>
    <w:rsid w:val="006E2FAD"/>
    <w:rsid w:val="006E3276"/>
    <w:rsid w:val="006E46A7"/>
    <w:rsid w:val="006E4D6F"/>
    <w:rsid w:val="006E6879"/>
    <w:rsid w:val="006F35B2"/>
    <w:rsid w:val="006F3B64"/>
    <w:rsid w:val="00700BED"/>
    <w:rsid w:val="007010BA"/>
    <w:rsid w:val="007069D2"/>
    <w:rsid w:val="00707835"/>
    <w:rsid w:val="00710C87"/>
    <w:rsid w:val="00712A82"/>
    <w:rsid w:val="00715CC5"/>
    <w:rsid w:val="007214FF"/>
    <w:rsid w:val="00721BF9"/>
    <w:rsid w:val="0073214C"/>
    <w:rsid w:val="00744B30"/>
    <w:rsid w:val="00744E6A"/>
    <w:rsid w:val="00746A29"/>
    <w:rsid w:val="00751EA7"/>
    <w:rsid w:val="00753F9A"/>
    <w:rsid w:val="00754C90"/>
    <w:rsid w:val="007560CA"/>
    <w:rsid w:val="0076092D"/>
    <w:rsid w:val="00770C1B"/>
    <w:rsid w:val="007775AA"/>
    <w:rsid w:val="00777D65"/>
    <w:rsid w:val="0078007E"/>
    <w:rsid w:val="00785F13"/>
    <w:rsid w:val="00790689"/>
    <w:rsid w:val="00793832"/>
    <w:rsid w:val="00793EA1"/>
    <w:rsid w:val="00794891"/>
    <w:rsid w:val="007A0036"/>
    <w:rsid w:val="007A1E40"/>
    <w:rsid w:val="007A690C"/>
    <w:rsid w:val="007B03C1"/>
    <w:rsid w:val="007B03DA"/>
    <w:rsid w:val="007B1428"/>
    <w:rsid w:val="007B38C4"/>
    <w:rsid w:val="007B4034"/>
    <w:rsid w:val="007C3C42"/>
    <w:rsid w:val="007D3EF9"/>
    <w:rsid w:val="007E000A"/>
    <w:rsid w:val="007E22E5"/>
    <w:rsid w:val="007F3D44"/>
    <w:rsid w:val="007F3E8A"/>
    <w:rsid w:val="00800559"/>
    <w:rsid w:val="00812F38"/>
    <w:rsid w:val="0081403F"/>
    <w:rsid w:val="008141B4"/>
    <w:rsid w:val="00814E91"/>
    <w:rsid w:val="00815A2F"/>
    <w:rsid w:val="0082559B"/>
    <w:rsid w:val="00826F35"/>
    <w:rsid w:val="008275F6"/>
    <w:rsid w:val="00831A7B"/>
    <w:rsid w:val="00834F9A"/>
    <w:rsid w:val="00836C5E"/>
    <w:rsid w:val="00836EAC"/>
    <w:rsid w:val="00836FAF"/>
    <w:rsid w:val="008406E3"/>
    <w:rsid w:val="00840D5A"/>
    <w:rsid w:val="00845225"/>
    <w:rsid w:val="00853741"/>
    <w:rsid w:val="00854427"/>
    <w:rsid w:val="0085667E"/>
    <w:rsid w:val="00861102"/>
    <w:rsid w:val="008641DD"/>
    <w:rsid w:val="00864DE6"/>
    <w:rsid w:val="00874440"/>
    <w:rsid w:val="00877257"/>
    <w:rsid w:val="00881BDF"/>
    <w:rsid w:val="00882D59"/>
    <w:rsid w:val="008863D5"/>
    <w:rsid w:val="008912B9"/>
    <w:rsid w:val="008939B5"/>
    <w:rsid w:val="00894EAA"/>
    <w:rsid w:val="00896D9C"/>
    <w:rsid w:val="0089713C"/>
    <w:rsid w:val="008A23A6"/>
    <w:rsid w:val="008A3730"/>
    <w:rsid w:val="008A41D4"/>
    <w:rsid w:val="008A5640"/>
    <w:rsid w:val="008A590E"/>
    <w:rsid w:val="008A5E8E"/>
    <w:rsid w:val="008B2E13"/>
    <w:rsid w:val="008B3CC0"/>
    <w:rsid w:val="008B538D"/>
    <w:rsid w:val="008C1785"/>
    <w:rsid w:val="008C19D9"/>
    <w:rsid w:val="008C5259"/>
    <w:rsid w:val="008D0D77"/>
    <w:rsid w:val="008D1324"/>
    <w:rsid w:val="008E10D5"/>
    <w:rsid w:val="008E6F0D"/>
    <w:rsid w:val="008F09FE"/>
    <w:rsid w:val="008F3945"/>
    <w:rsid w:val="008F50C0"/>
    <w:rsid w:val="008F605E"/>
    <w:rsid w:val="008F7359"/>
    <w:rsid w:val="009017EF"/>
    <w:rsid w:val="0090501C"/>
    <w:rsid w:val="009054DF"/>
    <w:rsid w:val="0091215D"/>
    <w:rsid w:val="009136D3"/>
    <w:rsid w:val="00914B51"/>
    <w:rsid w:val="00914C6E"/>
    <w:rsid w:val="00915527"/>
    <w:rsid w:val="00916A10"/>
    <w:rsid w:val="009237AE"/>
    <w:rsid w:val="00924CA1"/>
    <w:rsid w:val="00925ABB"/>
    <w:rsid w:val="00930631"/>
    <w:rsid w:val="00932EA1"/>
    <w:rsid w:val="00933239"/>
    <w:rsid w:val="00934212"/>
    <w:rsid w:val="009413FA"/>
    <w:rsid w:val="00943365"/>
    <w:rsid w:val="00953A03"/>
    <w:rsid w:val="009558C4"/>
    <w:rsid w:val="00955946"/>
    <w:rsid w:val="00956C28"/>
    <w:rsid w:val="0095767E"/>
    <w:rsid w:val="009578E5"/>
    <w:rsid w:val="00960674"/>
    <w:rsid w:val="00960E67"/>
    <w:rsid w:val="00963F77"/>
    <w:rsid w:val="00967788"/>
    <w:rsid w:val="00971C32"/>
    <w:rsid w:val="009745CD"/>
    <w:rsid w:val="009771B2"/>
    <w:rsid w:val="009807D3"/>
    <w:rsid w:val="00981AD9"/>
    <w:rsid w:val="00984144"/>
    <w:rsid w:val="00986470"/>
    <w:rsid w:val="00986912"/>
    <w:rsid w:val="0098748C"/>
    <w:rsid w:val="00992792"/>
    <w:rsid w:val="00994C2D"/>
    <w:rsid w:val="00995A6E"/>
    <w:rsid w:val="009964CA"/>
    <w:rsid w:val="009A356B"/>
    <w:rsid w:val="009A6A81"/>
    <w:rsid w:val="009B199D"/>
    <w:rsid w:val="009B5BB8"/>
    <w:rsid w:val="009B7F96"/>
    <w:rsid w:val="009C05E2"/>
    <w:rsid w:val="009C20EC"/>
    <w:rsid w:val="009C6C77"/>
    <w:rsid w:val="009C6D63"/>
    <w:rsid w:val="009D04B6"/>
    <w:rsid w:val="009D325F"/>
    <w:rsid w:val="009D4321"/>
    <w:rsid w:val="009D555B"/>
    <w:rsid w:val="009E0986"/>
    <w:rsid w:val="009E40A2"/>
    <w:rsid w:val="009E4B2D"/>
    <w:rsid w:val="009E60CA"/>
    <w:rsid w:val="009F329E"/>
    <w:rsid w:val="009F5AFA"/>
    <w:rsid w:val="00A04521"/>
    <w:rsid w:val="00A05465"/>
    <w:rsid w:val="00A05793"/>
    <w:rsid w:val="00A106DC"/>
    <w:rsid w:val="00A11647"/>
    <w:rsid w:val="00A15F68"/>
    <w:rsid w:val="00A21A30"/>
    <w:rsid w:val="00A23C7E"/>
    <w:rsid w:val="00A305C4"/>
    <w:rsid w:val="00A33384"/>
    <w:rsid w:val="00A42E23"/>
    <w:rsid w:val="00A43674"/>
    <w:rsid w:val="00A46CC9"/>
    <w:rsid w:val="00A50907"/>
    <w:rsid w:val="00A5621B"/>
    <w:rsid w:val="00A56521"/>
    <w:rsid w:val="00A5705D"/>
    <w:rsid w:val="00A77ACA"/>
    <w:rsid w:val="00A804A9"/>
    <w:rsid w:val="00A822F5"/>
    <w:rsid w:val="00A832FD"/>
    <w:rsid w:val="00A84FD6"/>
    <w:rsid w:val="00A85A39"/>
    <w:rsid w:val="00A86A90"/>
    <w:rsid w:val="00A87ECC"/>
    <w:rsid w:val="00A936F5"/>
    <w:rsid w:val="00A95C93"/>
    <w:rsid w:val="00A97B60"/>
    <w:rsid w:val="00AA2CD2"/>
    <w:rsid w:val="00AA4537"/>
    <w:rsid w:val="00AA6854"/>
    <w:rsid w:val="00AA6A85"/>
    <w:rsid w:val="00AB0A0C"/>
    <w:rsid w:val="00AB0DCC"/>
    <w:rsid w:val="00AB44D9"/>
    <w:rsid w:val="00AB71D7"/>
    <w:rsid w:val="00AD0811"/>
    <w:rsid w:val="00AD4FD6"/>
    <w:rsid w:val="00AE34CC"/>
    <w:rsid w:val="00AF0AB0"/>
    <w:rsid w:val="00AF308B"/>
    <w:rsid w:val="00AF417D"/>
    <w:rsid w:val="00B00DF5"/>
    <w:rsid w:val="00B06269"/>
    <w:rsid w:val="00B07764"/>
    <w:rsid w:val="00B1767C"/>
    <w:rsid w:val="00B17B50"/>
    <w:rsid w:val="00B25136"/>
    <w:rsid w:val="00B254EE"/>
    <w:rsid w:val="00B258EE"/>
    <w:rsid w:val="00B34909"/>
    <w:rsid w:val="00B42A90"/>
    <w:rsid w:val="00B43FCE"/>
    <w:rsid w:val="00B44AC2"/>
    <w:rsid w:val="00B463C4"/>
    <w:rsid w:val="00B51EEC"/>
    <w:rsid w:val="00B54E84"/>
    <w:rsid w:val="00B62E10"/>
    <w:rsid w:val="00B64276"/>
    <w:rsid w:val="00B66F69"/>
    <w:rsid w:val="00B676B3"/>
    <w:rsid w:val="00B730EF"/>
    <w:rsid w:val="00B75E55"/>
    <w:rsid w:val="00B76687"/>
    <w:rsid w:val="00B76C9C"/>
    <w:rsid w:val="00B80C8A"/>
    <w:rsid w:val="00B80E45"/>
    <w:rsid w:val="00B813D5"/>
    <w:rsid w:val="00BA4454"/>
    <w:rsid w:val="00BA51C9"/>
    <w:rsid w:val="00BA54C9"/>
    <w:rsid w:val="00BB098E"/>
    <w:rsid w:val="00BB5D77"/>
    <w:rsid w:val="00BC1492"/>
    <w:rsid w:val="00BC2B7B"/>
    <w:rsid w:val="00BC4939"/>
    <w:rsid w:val="00BC6F97"/>
    <w:rsid w:val="00BD2998"/>
    <w:rsid w:val="00BD3C75"/>
    <w:rsid w:val="00BD6A4E"/>
    <w:rsid w:val="00BD7D2F"/>
    <w:rsid w:val="00BE3FBE"/>
    <w:rsid w:val="00BF0329"/>
    <w:rsid w:val="00BF0BC5"/>
    <w:rsid w:val="00BF2F53"/>
    <w:rsid w:val="00BF3419"/>
    <w:rsid w:val="00BF5968"/>
    <w:rsid w:val="00BF64E2"/>
    <w:rsid w:val="00BF7FDF"/>
    <w:rsid w:val="00C04A6F"/>
    <w:rsid w:val="00C12653"/>
    <w:rsid w:val="00C141D9"/>
    <w:rsid w:val="00C22F6A"/>
    <w:rsid w:val="00C261A8"/>
    <w:rsid w:val="00C370AF"/>
    <w:rsid w:val="00C406D1"/>
    <w:rsid w:val="00C466A8"/>
    <w:rsid w:val="00C536F9"/>
    <w:rsid w:val="00C553D6"/>
    <w:rsid w:val="00C57710"/>
    <w:rsid w:val="00C61467"/>
    <w:rsid w:val="00C615AF"/>
    <w:rsid w:val="00C71909"/>
    <w:rsid w:val="00C75D08"/>
    <w:rsid w:val="00C76D97"/>
    <w:rsid w:val="00C838D4"/>
    <w:rsid w:val="00C8608D"/>
    <w:rsid w:val="00C86350"/>
    <w:rsid w:val="00C90C20"/>
    <w:rsid w:val="00C9468B"/>
    <w:rsid w:val="00CA23C8"/>
    <w:rsid w:val="00CA29EA"/>
    <w:rsid w:val="00CA48F0"/>
    <w:rsid w:val="00CA704E"/>
    <w:rsid w:val="00CA7DD6"/>
    <w:rsid w:val="00CB18BE"/>
    <w:rsid w:val="00CB4538"/>
    <w:rsid w:val="00CC110D"/>
    <w:rsid w:val="00CC2E18"/>
    <w:rsid w:val="00CD21D8"/>
    <w:rsid w:val="00CD43A1"/>
    <w:rsid w:val="00CD707A"/>
    <w:rsid w:val="00CD7860"/>
    <w:rsid w:val="00CF0F1A"/>
    <w:rsid w:val="00CF3BFD"/>
    <w:rsid w:val="00CF3C7F"/>
    <w:rsid w:val="00CF6810"/>
    <w:rsid w:val="00CF6EC1"/>
    <w:rsid w:val="00D02E45"/>
    <w:rsid w:val="00D04F3B"/>
    <w:rsid w:val="00D050D1"/>
    <w:rsid w:val="00D0521F"/>
    <w:rsid w:val="00D1040F"/>
    <w:rsid w:val="00D15A69"/>
    <w:rsid w:val="00D170B9"/>
    <w:rsid w:val="00D20596"/>
    <w:rsid w:val="00D22CAE"/>
    <w:rsid w:val="00D2625A"/>
    <w:rsid w:val="00D31A2B"/>
    <w:rsid w:val="00D33E98"/>
    <w:rsid w:val="00D37407"/>
    <w:rsid w:val="00D40372"/>
    <w:rsid w:val="00D43B55"/>
    <w:rsid w:val="00D4405C"/>
    <w:rsid w:val="00D4464A"/>
    <w:rsid w:val="00D44BD4"/>
    <w:rsid w:val="00D45A96"/>
    <w:rsid w:val="00D47206"/>
    <w:rsid w:val="00D47A5C"/>
    <w:rsid w:val="00D47B03"/>
    <w:rsid w:val="00D558A0"/>
    <w:rsid w:val="00D55AA6"/>
    <w:rsid w:val="00D6168B"/>
    <w:rsid w:val="00D61A70"/>
    <w:rsid w:val="00D63945"/>
    <w:rsid w:val="00D63B96"/>
    <w:rsid w:val="00D64C7F"/>
    <w:rsid w:val="00D658F0"/>
    <w:rsid w:val="00D710AC"/>
    <w:rsid w:val="00D71C3C"/>
    <w:rsid w:val="00D72666"/>
    <w:rsid w:val="00D760C1"/>
    <w:rsid w:val="00D81B64"/>
    <w:rsid w:val="00D84111"/>
    <w:rsid w:val="00D850D8"/>
    <w:rsid w:val="00D90230"/>
    <w:rsid w:val="00D903F4"/>
    <w:rsid w:val="00D95615"/>
    <w:rsid w:val="00D973B5"/>
    <w:rsid w:val="00DB122C"/>
    <w:rsid w:val="00DB4047"/>
    <w:rsid w:val="00DB4981"/>
    <w:rsid w:val="00DC0F24"/>
    <w:rsid w:val="00DC55A3"/>
    <w:rsid w:val="00DD236D"/>
    <w:rsid w:val="00DD3071"/>
    <w:rsid w:val="00DE493F"/>
    <w:rsid w:val="00DF43C5"/>
    <w:rsid w:val="00DF5B60"/>
    <w:rsid w:val="00DF75EB"/>
    <w:rsid w:val="00E14E72"/>
    <w:rsid w:val="00E167D2"/>
    <w:rsid w:val="00E1785C"/>
    <w:rsid w:val="00E216E7"/>
    <w:rsid w:val="00E317DE"/>
    <w:rsid w:val="00E40C87"/>
    <w:rsid w:val="00E41F43"/>
    <w:rsid w:val="00E43989"/>
    <w:rsid w:val="00E464F3"/>
    <w:rsid w:val="00E51E5D"/>
    <w:rsid w:val="00E53CF5"/>
    <w:rsid w:val="00E56B53"/>
    <w:rsid w:val="00E57062"/>
    <w:rsid w:val="00E5732B"/>
    <w:rsid w:val="00E578B9"/>
    <w:rsid w:val="00E65771"/>
    <w:rsid w:val="00E726A1"/>
    <w:rsid w:val="00E73997"/>
    <w:rsid w:val="00E74A87"/>
    <w:rsid w:val="00E75EA4"/>
    <w:rsid w:val="00E77753"/>
    <w:rsid w:val="00E9443F"/>
    <w:rsid w:val="00E94B9A"/>
    <w:rsid w:val="00E97A38"/>
    <w:rsid w:val="00EA186E"/>
    <w:rsid w:val="00EB047B"/>
    <w:rsid w:val="00EB20F2"/>
    <w:rsid w:val="00EB6D14"/>
    <w:rsid w:val="00EC092F"/>
    <w:rsid w:val="00EC70C4"/>
    <w:rsid w:val="00ED09F1"/>
    <w:rsid w:val="00ED56E9"/>
    <w:rsid w:val="00ED58EF"/>
    <w:rsid w:val="00ED6D0B"/>
    <w:rsid w:val="00EE2823"/>
    <w:rsid w:val="00EE2AD3"/>
    <w:rsid w:val="00EE5A59"/>
    <w:rsid w:val="00EF128A"/>
    <w:rsid w:val="00EF421A"/>
    <w:rsid w:val="00F00035"/>
    <w:rsid w:val="00F0203E"/>
    <w:rsid w:val="00F061DC"/>
    <w:rsid w:val="00F06A2D"/>
    <w:rsid w:val="00F06E85"/>
    <w:rsid w:val="00F10AA5"/>
    <w:rsid w:val="00F126B9"/>
    <w:rsid w:val="00F16202"/>
    <w:rsid w:val="00F2318A"/>
    <w:rsid w:val="00F2439D"/>
    <w:rsid w:val="00F25A02"/>
    <w:rsid w:val="00F30A5B"/>
    <w:rsid w:val="00F34A68"/>
    <w:rsid w:val="00F3738B"/>
    <w:rsid w:val="00F37A6C"/>
    <w:rsid w:val="00F50D6B"/>
    <w:rsid w:val="00F54682"/>
    <w:rsid w:val="00F57A4A"/>
    <w:rsid w:val="00F641AD"/>
    <w:rsid w:val="00F65B80"/>
    <w:rsid w:val="00F66AE1"/>
    <w:rsid w:val="00F66B87"/>
    <w:rsid w:val="00F67E14"/>
    <w:rsid w:val="00F7695A"/>
    <w:rsid w:val="00F7718A"/>
    <w:rsid w:val="00F81F81"/>
    <w:rsid w:val="00F85D19"/>
    <w:rsid w:val="00F87710"/>
    <w:rsid w:val="00F921B7"/>
    <w:rsid w:val="00F973BA"/>
    <w:rsid w:val="00FA070A"/>
    <w:rsid w:val="00FB1D2E"/>
    <w:rsid w:val="00FB2F4C"/>
    <w:rsid w:val="00FB583A"/>
    <w:rsid w:val="00FB68E8"/>
    <w:rsid w:val="00FC4FEE"/>
    <w:rsid w:val="00FC79AB"/>
    <w:rsid w:val="00FD3B99"/>
    <w:rsid w:val="00FD5137"/>
    <w:rsid w:val="00FD5FC8"/>
    <w:rsid w:val="00FD65E4"/>
    <w:rsid w:val="00FD6EAA"/>
    <w:rsid w:val="00FE317E"/>
    <w:rsid w:val="00FE506B"/>
    <w:rsid w:val="00FE5E75"/>
    <w:rsid w:val="00FF39BD"/>
    <w:rsid w:val="00FF3EB2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E064"/>
  <w15:docId w15:val="{802A6E8F-9B50-134D-870A-91F635EE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F0B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36D"/>
  </w:style>
  <w:style w:type="paragraph" w:styleId="Stopka">
    <w:name w:val="footer"/>
    <w:basedOn w:val="Normalny"/>
    <w:link w:val="Stopka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36D"/>
  </w:style>
  <w:style w:type="paragraph" w:customStyle="1" w:styleId="Default">
    <w:name w:val="Default"/>
    <w:qFormat/>
    <w:rsid w:val="00DD23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wypunktowanie,Akapit z listą3,Akapit z listą31,Wypunktowanie,Normal2,L1,Numerowanie,sw tekst,CW_Lista,List Paragraph"/>
    <w:basedOn w:val="Normalny"/>
    <w:link w:val="AkapitzlistZnak"/>
    <w:uiPriority w:val="34"/>
    <w:qFormat/>
    <w:rsid w:val="00E5706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57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06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List Paragraph Znak"/>
    <w:basedOn w:val="Domylnaczcionkaakapitu"/>
    <w:link w:val="Akapitzlist"/>
    <w:uiPriority w:val="34"/>
    <w:qFormat/>
    <w:rsid w:val="00E5706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5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7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98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4E5047"/>
  </w:style>
  <w:style w:type="character" w:styleId="Uwydatnienie">
    <w:name w:val="Emphasis"/>
    <w:basedOn w:val="Domylnaczcionkaakapitu"/>
    <w:uiPriority w:val="20"/>
    <w:qFormat/>
    <w:rsid w:val="004E5047"/>
    <w:rPr>
      <w:i/>
      <w:iCs/>
    </w:rPr>
  </w:style>
  <w:style w:type="character" w:styleId="Pogrubienie">
    <w:name w:val="Strong"/>
    <w:basedOn w:val="Domylnaczcionkaakapitu"/>
    <w:uiPriority w:val="22"/>
    <w:qFormat/>
    <w:rsid w:val="004E504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4D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7097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4D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0B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F0BC5"/>
    <w:rPr>
      <w:color w:val="0000FF"/>
      <w:u w:val="single"/>
    </w:rPr>
  </w:style>
  <w:style w:type="character" w:customStyle="1" w:styleId="hgkelc">
    <w:name w:val="hgkelc"/>
    <w:basedOn w:val="Domylnaczcionkaakapitu"/>
    <w:rsid w:val="0009514F"/>
  </w:style>
  <w:style w:type="character" w:customStyle="1" w:styleId="object">
    <w:name w:val="object"/>
    <w:basedOn w:val="Domylnaczcionkaakapitu"/>
    <w:rsid w:val="00B76C9C"/>
  </w:style>
  <w:style w:type="paragraph" w:styleId="Tekstpodstawowy">
    <w:name w:val="Body Text"/>
    <w:basedOn w:val="Normalny"/>
    <w:link w:val="TekstpodstawowyZnak"/>
    <w:rsid w:val="00476934"/>
    <w:pPr>
      <w:suppressAutoHyphens/>
      <w:spacing w:after="120"/>
    </w:pPr>
    <w:rPr>
      <w:rFonts w:eastAsia="Calibri" w:cs="Calibri"/>
      <w:color w:val="00000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6934"/>
    <w:rPr>
      <w:rFonts w:ascii="Calibri" w:eastAsia="Calibri" w:hAnsi="Calibri" w:cs="Calibri"/>
      <w:color w:val="00000A"/>
      <w:lang w:eastAsia="ar-SA"/>
    </w:rPr>
  </w:style>
  <w:style w:type="character" w:styleId="Numerstrony">
    <w:name w:val="page number"/>
    <w:basedOn w:val="Domylnaczcionkaakapitu"/>
    <w:qFormat/>
    <w:rsid w:val="002A2A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4511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258E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58EE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4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49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485"/>
    <w:rPr>
      <w:vertAlign w:val="superscript"/>
    </w:rPr>
  </w:style>
  <w:style w:type="paragraph" w:styleId="Poprawka">
    <w:name w:val="Revision"/>
    <w:hidden/>
    <w:uiPriority w:val="99"/>
    <w:semiHidden/>
    <w:rsid w:val="003152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rsid w:val="002E674E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9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8923-FE7A-41A5-A0A4-E00C711C1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89FC7-2855-4C23-AE4A-514B319F5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51C5-9E8E-4CBD-BE33-179E65841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6670E-0D18-4C3D-8AEF-7D104FE3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Stefaniuk</dc:creator>
  <cp:lastModifiedBy>GUMed</cp:lastModifiedBy>
  <cp:revision>3</cp:revision>
  <cp:lastPrinted>2022-07-26T11:25:00Z</cp:lastPrinted>
  <dcterms:created xsi:type="dcterms:W3CDTF">2022-07-26T11:26:00Z</dcterms:created>
  <dcterms:modified xsi:type="dcterms:W3CDTF">2022-07-28T07:08:00Z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