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D" w:rsidRPr="00F22AEC" w:rsidRDefault="007775BD" w:rsidP="0055099E">
      <w:pPr>
        <w:ind w:left="9912" w:firstLine="708"/>
        <w:rPr>
          <w:rFonts w:ascii="Arial" w:hAnsi="Arial" w:cs="Arial"/>
          <w:b/>
          <w:sz w:val="20"/>
          <w:szCs w:val="20"/>
        </w:rPr>
      </w:pPr>
      <w:r w:rsidRPr="00F22AEC">
        <w:rPr>
          <w:rFonts w:ascii="Arial" w:hAnsi="Arial" w:cs="Arial"/>
          <w:sz w:val="20"/>
          <w:szCs w:val="20"/>
        </w:rPr>
        <w:t xml:space="preserve">Załącznik </w:t>
      </w:r>
      <w:r w:rsidR="00E34C95">
        <w:rPr>
          <w:rFonts w:ascii="Arial" w:hAnsi="Arial" w:cs="Arial"/>
          <w:sz w:val="20"/>
          <w:szCs w:val="20"/>
        </w:rPr>
        <w:t xml:space="preserve">Nr </w:t>
      </w:r>
      <w:r w:rsidR="0055099E">
        <w:rPr>
          <w:rFonts w:ascii="Arial" w:hAnsi="Arial" w:cs="Arial"/>
          <w:sz w:val="20"/>
          <w:szCs w:val="20"/>
        </w:rPr>
        <w:t>2</w:t>
      </w:r>
      <w:r w:rsidR="00454B90">
        <w:rPr>
          <w:rFonts w:ascii="Arial" w:hAnsi="Arial" w:cs="Arial"/>
          <w:sz w:val="20"/>
          <w:szCs w:val="20"/>
        </w:rPr>
        <w:t>/</w:t>
      </w:r>
      <w:r w:rsidR="004861DF">
        <w:rPr>
          <w:rFonts w:ascii="Arial" w:hAnsi="Arial" w:cs="Arial"/>
          <w:sz w:val="20"/>
          <w:szCs w:val="20"/>
        </w:rPr>
        <w:t>2</w:t>
      </w:r>
      <w:r w:rsidR="000063E6" w:rsidRPr="000063E6">
        <w:rPr>
          <w:rFonts w:ascii="Arial" w:hAnsi="Arial" w:cs="Arial"/>
          <w:sz w:val="20"/>
          <w:szCs w:val="20"/>
        </w:rPr>
        <w:t xml:space="preserve"> </w:t>
      </w:r>
      <w:r w:rsidR="000063E6">
        <w:rPr>
          <w:rFonts w:ascii="Arial" w:hAnsi="Arial" w:cs="Arial"/>
          <w:sz w:val="20"/>
          <w:szCs w:val="20"/>
        </w:rPr>
        <w:t xml:space="preserve">do </w:t>
      </w:r>
      <w:r w:rsidR="00D95D36">
        <w:rPr>
          <w:rFonts w:ascii="Arial" w:hAnsi="Arial" w:cs="Arial"/>
          <w:sz w:val="20"/>
          <w:szCs w:val="20"/>
        </w:rPr>
        <w:t>SWZ</w:t>
      </w:r>
    </w:p>
    <w:p w:rsidR="007775BD" w:rsidRDefault="0055099E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9608A">
        <w:rPr>
          <w:rFonts w:ascii="Arial" w:hAnsi="Arial" w:cs="Arial"/>
          <w:b/>
          <w:sz w:val="20"/>
          <w:szCs w:val="20"/>
        </w:rPr>
        <w:t>ormularz cenowy</w:t>
      </w:r>
      <w:r w:rsidR="00454B90">
        <w:rPr>
          <w:rFonts w:ascii="Arial" w:hAnsi="Arial" w:cs="Arial"/>
          <w:b/>
          <w:sz w:val="20"/>
          <w:szCs w:val="20"/>
        </w:rPr>
        <w:t xml:space="preserve"> – </w:t>
      </w:r>
      <w:r w:rsidR="004861DF">
        <w:rPr>
          <w:rFonts w:ascii="Arial" w:hAnsi="Arial" w:cs="Arial"/>
          <w:b/>
          <w:sz w:val="20"/>
          <w:szCs w:val="20"/>
        </w:rPr>
        <w:t>Środki dezynfekcyjne (</w:t>
      </w:r>
      <w:r w:rsidR="008B66C5">
        <w:rPr>
          <w:rFonts w:ascii="Arial" w:hAnsi="Arial" w:cs="Arial"/>
          <w:b/>
          <w:sz w:val="20"/>
          <w:szCs w:val="20"/>
        </w:rPr>
        <w:t>Część</w:t>
      </w:r>
      <w:r w:rsidR="00454B90">
        <w:rPr>
          <w:rFonts w:ascii="Arial" w:hAnsi="Arial" w:cs="Arial"/>
          <w:b/>
          <w:sz w:val="20"/>
          <w:szCs w:val="20"/>
        </w:rPr>
        <w:t xml:space="preserve"> </w:t>
      </w:r>
      <w:r w:rsidR="003A06B7">
        <w:rPr>
          <w:rFonts w:ascii="Arial" w:hAnsi="Arial" w:cs="Arial"/>
          <w:b/>
          <w:sz w:val="20"/>
          <w:szCs w:val="20"/>
        </w:rPr>
        <w:t>2</w:t>
      </w:r>
      <w:r w:rsidR="004861DF">
        <w:rPr>
          <w:rFonts w:ascii="Arial" w:hAnsi="Arial" w:cs="Arial"/>
          <w:b/>
          <w:sz w:val="20"/>
          <w:szCs w:val="20"/>
        </w:rPr>
        <w:t>)</w:t>
      </w:r>
      <w:r w:rsidR="00454B90">
        <w:rPr>
          <w:rFonts w:ascii="Arial" w:hAnsi="Arial" w:cs="Arial"/>
          <w:b/>
          <w:sz w:val="20"/>
          <w:szCs w:val="20"/>
        </w:rPr>
        <w:t xml:space="preserve"> </w:t>
      </w:r>
    </w:p>
    <w:p w:rsidR="00C47F52" w:rsidRDefault="00C47F52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417"/>
        <w:gridCol w:w="993"/>
        <w:gridCol w:w="850"/>
        <w:gridCol w:w="992"/>
        <w:gridCol w:w="851"/>
        <w:gridCol w:w="1417"/>
        <w:gridCol w:w="1418"/>
        <w:gridCol w:w="1984"/>
      </w:tblGrid>
      <w:tr w:rsidR="002D6ABE" w:rsidRPr="00C47F52" w:rsidTr="002D6ABE">
        <w:tc>
          <w:tcPr>
            <w:tcW w:w="3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</w:t>
            </w: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rzedmiot zamówienia</w:t>
            </w: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Nazwa handlowa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(podać)</w:t>
            </w:r>
          </w:p>
        </w:tc>
        <w:tc>
          <w:tcPr>
            <w:tcW w:w="993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Opakowanie</w:t>
            </w:r>
          </w:p>
        </w:tc>
        <w:tc>
          <w:tcPr>
            <w:tcW w:w="850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Ilość opakowań</w:t>
            </w: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Cena jednostkowa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opakowania</w:t>
            </w: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netto PLN</w:t>
            </w:r>
          </w:p>
        </w:tc>
        <w:tc>
          <w:tcPr>
            <w:tcW w:w="851" w:type="dxa"/>
          </w:tcPr>
          <w:p w:rsidR="002D6ABE" w:rsidRPr="00C47F52" w:rsidRDefault="002D6ABE" w:rsidP="002D6ABE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Stawka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       </w:t>
            </w: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VAT %</w:t>
            </w:r>
          </w:p>
        </w:tc>
        <w:tc>
          <w:tcPr>
            <w:tcW w:w="1417" w:type="dxa"/>
          </w:tcPr>
          <w:p w:rsidR="002D6ABE" w:rsidRPr="00C47F52" w:rsidRDefault="002D6ABE" w:rsidP="002D6ABE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Wartość netto PLN </w:t>
            </w: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Wartość VAT PLN</w:t>
            </w: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Wartość brutto PLN</w:t>
            </w:r>
          </w:p>
        </w:tc>
      </w:tr>
      <w:tr w:rsidR="002D6ABE" w:rsidRPr="00C47F52" w:rsidTr="002D6ABE">
        <w:tc>
          <w:tcPr>
            <w:tcW w:w="392" w:type="dxa"/>
            <w:shd w:val="clear" w:color="auto" w:fill="D9D9D9" w:themeFill="background1" w:themeFillShade="D9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D6ABE" w:rsidRPr="003D3BC1" w:rsidRDefault="002D6ABE" w:rsidP="00C47F52">
            <w:pPr>
              <w:suppressAutoHyphens w:val="0"/>
              <w:rPr>
                <w:rFonts w:asciiTheme="minorHAnsi" w:eastAsiaTheme="minorHAnsi" w:hAnsiTheme="minorHAnsi"/>
                <w:b/>
                <w:sz w:val="16"/>
                <w:szCs w:val="16"/>
                <w:lang w:eastAsia="en-US"/>
              </w:rPr>
            </w:pPr>
            <w:r w:rsidRPr="003D3BC1">
              <w:rPr>
                <w:rFonts w:asciiTheme="minorHAnsi" w:eastAsiaTheme="minorHAnsi" w:hAnsiTheme="minorHAnsi"/>
                <w:b/>
                <w:sz w:val="16"/>
                <w:szCs w:val="16"/>
                <w:lang w:eastAsia="en-US"/>
              </w:rPr>
              <w:t>PŁYN DO DEZYNFEKCJI RĄK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  <w:tr w:rsidR="002D6ABE" w:rsidRPr="00C47F52" w:rsidTr="00902219">
        <w:trPr>
          <w:trHeight w:val="2432"/>
        </w:trPr>
        <w:tc>
          <w:tcPr>
            <w:tcW w:w="3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Alkoholowy płynny preparat przeznaczony do dezynfekcji higienicznej oraz chirurgicznej rąk. Zawierający w składzie alkohol alifatyczny (</w:t>
            </w:r>
            <w:r w:rsidR="00BD59A6" w:rsidRPr="00BD59A6">
              <w:rPr>
                <w:rFonts w:asciiTheme="minorHAnsi" w:eastAsiaTheme="minorHAnsi" w:hAnsiTheme="minorHAnsi"/>
                <w:color w:val="FF0000"/>
                <w:sz w:val="16"/>
                <w:szCs w:val="16"/>
                <w:lang w:eastAsia="en-US"/>
              </w:rPr>
              <w:t xml:space="preserve">etanol </w:t>
            </w:r>
            <w:r w:rsidR="00BD59A6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lub </w:t>
            </w:r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propanol lub </w:t>
            </w:r>
            <w:proofErr w:type="spellStart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izopropanol</w:t>
            </w:r>
            <w:proofErr w:type="spellEnd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min. 75-80g/100g oraz substancję pielęgnującą</w:t>
            </w:r>
            <w:r w:rsidR="00BD59A6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</w:t>
            </w:r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(w tym </w:t>
            </w:r>
            <w:proofErr w:type="spellStart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Panthenol</w:t>
            </w:r>
            <w:proofErr w:type="spellEnd"/>
            <w:r w:rsidR="00BD59A6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, </w:t>
            </w:r>
            <w:r w:rsidR="00BD59A6" w:rsidRPr="00BD59A6">
              <w:rPr>
                <w:rFonts w:asciiTheme="minorHAnsi" w:eastAsiaTheme="minorHAnsi" w:hAnsiTheme="minorHAnsi"/>
                <w:color w:val="FF0000"/>
                <w:sz w:val="16"/>
                <w:szCs w:val="16"/>
                <w:lang w:eastAsia="en-US"/>
              </w:rPr>
              <w:t>glicerynę</w:t>
            </w:r>
            <w:r w:rsidR="00BD59A6">
              <w:rPr>
                <w:rFonts w:asciiTheme="minorHAnsi" w:eastAsiaTheme="minorHAnsi" w:hAnsiTheme="minorHAnsi"/>
                <w:color w:val="FF0000"/>
                <w:sz w:val="16"/>
                <w:szCs w:val="16"/>
                <w:lang w:eastAsia="en-US"/>
              </w:rPr>
              <w:t>, witaminę E</w:t>
            </w:r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). Nie zawierający barwników, substancji </w:t>
            </w:r>
            <w:proofErr w:type="spellStart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zapachpwych</w:t>
            </w:r>
            <w:proofErr w:type="spellEnd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chlorcheksydyny</w:t>
            </w:r>
            <w:proofErr w:type="spellEnd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. Higieniczna dezynfekcja 30s, chirurgiczna 3 min. Spectrum działania B (w tym MRSA), </w:t>
            </w:r>
            <w:proofErr w:type="spellStart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Tbc</w:t>
            </w:r>
            <w:proofErr w:type="spellEnd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M.terrae</w:t>
            </w:r>
            <w:proofErr w:type="spellEnd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, M. </w:t>
            </w:r>
            <w:proofErr w:type="spellStart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avium</w:t>
            </w:r>
            <w:proofErr w:type="spellEnd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), F (Candida </w:t>
            </w:r>
            <w:proofErr w:type="spellStart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albicans</w:t>
            </w:r>
            <w:proofErr w:type="spellEnd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), V (BVDV, </w:t>
            </w:r>
            <w:proofErr w:type="spellStart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Vaccinia</w:t>
            </w:r>
            <w:proofErr w:type="spellEnd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, Rota, Noro, </w:t>
            </w:r>
            <w:proofErr w:type="spellStart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Adeno</w:t>
            </w:r>
            <w:proofErr w:type="spellEnd"/>
            <w:r w:rsidRPr="000430A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). Produkt biobójczy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500 ml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2D6ABE" w:rsidRPr="00C47F52" w:rsidRDefault="00060706" w:rsidP="00060706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</w:t>
            </w:r>
            <w:r w:rsidR="002D6ABE"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2D6ABE" w:rsidRPr="005734A6" w:rsidTr="00992B18">
        <w:trPr>
          <w:gridAfter w:val="7"/>
          <w:wAfter w:w="8505" w:type="dxa"/>
          <w:trHeight w:val="206"/>
        </w:trPr>
        <w:tc>
          <w:tcPr>
            <w:tcW w:w="392" w:type="dxa"/>
            <w:shd w:val="clear" w:color="auto" w:fill="BFBFBF" w:themeFill="background1" w:themeFillShade="BF"/>
          </w:tcPr>
          <w:p w:rsidR="002D6ABE" w:rsidRPr="005734A6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highlight w:val="lightGray"/>
                <w:lang w:eastAsia="en-US"/>
              </w:rPr>
            </w:pPr>
            <w:r w:rsidRPr="005734A6">
              <w:rPr>
                <w:rFonts w:asciiTheme="minorHAnsi" w:eastAsiaTheme="minorHAnsi" w:hAnsiTheme="minorHAnsi" w:cstheme="minorBidi"/>
                <w:b/>
                <w:szCs w:val="22"/>
                <w:highlight w:val="lightGray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D6ABE" w:rsidRPr="005734A6" w:rsidRDefault="00992B18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8"/>
                <w:szCs w:val="18"/>
                <w:highlight w:val="lightGray"/>
                <w:lang w:eastAsia="en-US"/>
              </w:rPr>
            </w:pPr>
            <w:r w:rsidRPr="005734A6">
              <w:rPr>
                <w:rFonts w:asciiTheme="minorHAnsi" w:eastAsiaTheme="minorHAnsi" w:hAnsiTheme="minorHAnsi" w:cstheme="minorBidi"/>
                <w:b/>
                <w:sz w:val="16"/>
                <w:szCs w:val="16"/>
                <w:highlight w:val="lightGray"/>
                <w:lang w:eastAsia="en-US"/>
              </w:rPr>
              <w:t>PŁYN DO DEZYNFEKCJI POWIERZCHNI Z ALKOHOLEM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6ABE" w:rsidRPr="005734A6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highlight w:val="lightGray"/>
                <w:lang w:eastAsia="en-US"/>
              </w:rPr>
            </w:pPr>
          </w:p>
        </w:tc>
      </w:tr>
      <w:tr w:rsidR="002D6ABE" w:rsidRPr="00C47F52" w:rsidTr="002D6ABE">
        <w:tc>
          <w:tcPr>
            <w:tcW w:w="3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2D6ABE" w:rsidRPr="000430A1" w:rsidRDefault="002D6ABE" w:rsidP="009E274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0430A1">
              <w:rPr>
                <w:rFonts w:asciiTheme="minorHAnsi" w:hAnsiTheme="minorHAnsi" w:cs="Arial"/>
                <w:sz w:val="16"/>
                <w:szCs w:val="16"/>
                <w:lang w:eastAsia="pl-PL"/>
              </w:rPr>
              <w:t>Gotowy do użycia alkoholowy preparat,</w:t>
            </w:r>
            <w:r w:rsidRPr="000430A1">
              <w:rPr>
                <w:rFonts w:asciiTheme="minorHAnsi" w:hAnsiTheme="minorHAnsi"/>
                <w:sz w:val="16"/>
                <w:szCs w:val="16"/>
                <w:lang w:eastAsia="pl-PL"/>
              </w:rPr>
              <w:br/>
            </w:r>
            <w:r w:rsidRPr="000430A1">
              <w:rPr>
                <w:rFonts w:asciiTheme="minorHAnsi" w:hAnsiTheme="minorHAnsi" w:cs="Arial"/>
                <w:sz w:val="16"/>
                <w:szCs w:val="16"/>
                <w:lang w:eastAsia="pl-PL"/>
              </w:rPr>
              <w:t>przeznaczony do dezynfekcji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t xml:space="preserve"> </w:t>
            </w:r>
            <w:r w:rsidRPr="000430A1">
              <w:rPr>
                <w:rFonts w:asciiTheme="minorHAnsi" w:hAnsiTheme="minorHAnsi" w:cs="Arial"/>
                <w:sz w:val="16"/>
                <w:szCs w:val="16"/>
                <w:lang w:eastAsia="pl-PL"/>
              </w:rPr>
              <w:t>powierzchni oraz wyrobów medycznych.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t xml:space="preserve"> 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Zawierający w składzie min. 2 alkohole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alifatyczne (</w:t>
            </w:r>
            <w:r w:rsidRPr="009E2749">
              <w:rPr>
                <w:rFonts w:asciiTheme="minorHAnsi" w:eastAsiaTheme="minorHAnsi" w:hAnsiTheme="minorHAnsi" w:cs="Arial"/>
                <w:color w:val="FF0000"/>
                <w:sz w:val="16"/>
                <w:szCs w:val="16"/>
                <w:lang w:eastAsia="en-US"/>
              </w:rPr>
              <w:t xml:space="preserve">w tym </w:t>
            </w:r>
            <w:r w:rsidR="009E2749" w:rsidRPr="009E2749">
              <w:rPr>
                <w:rFonts w:asciiTheme="minorHAnsi" w:eastAsiaTheme="minorHAnsi" w:hAnsiTheme="minorHAnsi" w:cs="Arial"/>
                <w:color w:val="FF0000"/>
                <w:sz w:val="16"/>
                <w:szCs w:val="16"/>
                <w:lang w:eastAsia="en-US"/>
              </w:rPr>
              <w:t>alkohol etylowy, izopropylowy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) w ilości max.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  <w:r w:rsidR="009E2749" w:rsidRPr="009E2749">
              <w:rPr>
                <w:rFonts w:asciiTheme="minorHAnsi" w:eastAsiaTheme="minorHAnsi" w:hAnsiTheme="minorHAnsi" w:cs="Arial"/>
                <w:color w:val="FF0000"/>
                <w:sz w:val="16"/>
                <w:szCs w:val="16"/>
                <w:lang w:eastAsia="en-US"/>
              </w:rPr>
              <w:t>65</w:t>
            </w:r>
            <w:r w:rsidRPr="009E2749">
              <w:rPr>
                <w:rFonts w:asciiTheme="minorHAnsi" w:eastAsiaTheme="minorHAnsi" w:hAnsiTheme="minorHAnsi" w:cs="Arial"/>
                <w:color w:val="FF0000"/>
                <w:sz w:val="16"/>
                <w:szCs w:val="16"/>
                <w:lang w:eastAsia="en-US"/>
              </w:rPr>
              <w:t>g/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100g płynu. Z dodatkiem</w:t>
            </w:r>
            <w:r w:rsidRPr="000430A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br/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amfoterycznych związków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powierzchniowo czynnych. Bez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dodatkowych substancji aktywnych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(aldehydy, związki amoniowe itp.).</w:t>
            </w:r>
            <w:r w:rsidRPr="000430A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br/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Bezbarwny. </w:t>
            </w:r>
            <w:proofErr w:type="spellStart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pH</w:t>
            </w:r>
            <w:proofErr w:type="spellEnd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6-8. Wykazujący min.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dobrą kompatybilność materiałową ze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stalą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nierdzewną, polietylenem,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aluminium oraz poliwęglanem -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p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otwierdzoną badaniami laboratoryjnymi. Spektrum działania: B</w:t>
            </w:r>
            <w:r w:rsidRPr="000430A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br/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- EN 13727, MRSA, F (Candida </w:t>
            </w:r>
            <w:proofErr w:type="spellStart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albicans</w:t>
            </w:r>
            <w:proofErr w:type="spellEnd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)</w:t>
            </w:r>
            <w:r w:rsidRPr="000430A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br/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- EN 13624, </w:t>
            </w:r>
            <w:proofErr w:type="spellStart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Tbc</w:t>
            </w:r>
            <w:proofErr w:type="spellEnd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M.Terrae</w:t>
            </w:r>
            <w:proofErr w:type="spellEnd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) - EN 14348,</w:t>
            </w:r>
            <w:r w:rsidRPr="000430A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br/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V (Rota, </w:t>
            </w:r>
            <w:proofErr w:type="spellStart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Vaccinia</w:t>
            </w:r>
            <w:proofErr w:type="spellEnd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, BVDV, Noro) w</w:t>
            </w:r>
            <w:r w:rsidRPr="000430A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br/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czasie do 1 min. Wyrób medyczny.</w:t>
            </w:r>
            <w:r w:rsidRPr="000430A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br/>
            </w:r>
          </w:p>
        </w:tc>
        <w:tc>
          <w:tcPr>
            <w:tcW w:w="1417" w:type="dxa"/>
          </w:tcPr>
          <w:p w:rsidR="002D6ABE" w:rsidRPr="00C47F52" w:rsidRDefault="002D6ABE" w:rsidP="008775B6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1000 ml</w:t>
            </w:r>
          </w:p>
        </w:tc>
        <w:tc>
          <w:tcPr>
            <w:tcW w:w="850" w:type="dxa"/>
          </w:tcPr>
          <w:p w:rsidR="002D6ABE" w:rsidRPr="00C47F52" w:rsidRDefault="00060706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2D6ABE" w:rsidRPr="00C47F52" w:rsidTr="00992B18">
        <w:tc>
          <w:tcPr>
            <w:tcW w:w="392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D6ABE" w:rsidRPr="000430A1" w:rsidRDefault="00992B18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0430A1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PŁYN DO DEZYNFEKCJI POWIERZCHNI </w:t>
            </w:r>
            <w:r w:rsidRPr="000430A1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lastRenderedPageBreak/>
              <w:t>BEZALKOHOLOWY</w:t>
            </w:r>
          </w:p>
        </w:tc>
        <w:tc>
          <w:tcPr>
            <w:tcW w:w="9922" w:type="dxa"/>
            <w:gridSpan w:val="8"/>
            <w:shd w:val="clear" w:color="auto" w:fill="BFBFBF" w:themeFill="background1" w:themeFillShade="BF"/>
          </w:tcPr>
          <w:p w:rsidR="002D6ABE" w:rsidRPr="000430A1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2D6ABE" w:rsidRPr="00C47F52" w:rsidTr="002D6ABE">
        <w:tc>
          <w:tcPr>
            <w:tcW w:w="3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2D6ABE" w:rsidRPr="000430A1" w:rsidRDefault="002D6ABE" w:rsidP="008775B6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Preparat do szybkiej dezynfekcji powierzchni oraz sprzętu medycznego wrażliwego na działanie alkoholi np. głowic USG, </w:t>
            </w:r>
            <w:proofErr w:type="spellStart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plexi</w:t>
            </w:r>
            <w:proofErr w:type="spellEnd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;</w:t>
            </w:r>
            <w:r w:rsidRPr="000430A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br/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zawierający min 3 substancje czynne; bez zawartości alkoholu, aldehydów, </w:t>
            </w:r>
            <w:proofErr w:type="spellStart"/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c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hlorheksydyny</w:t>
            </w:r>
            <w:proofErr w:type="spellEnd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, chloru, fenoli i ich pochodnych; </w:t>
            </w:r>
            <w:proofErr w:type="spellStart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pH</w:t>
            </w:r>
            <w:proofErr w:type="spellEnd"/>
            <w:r w:rsidR="008775B6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7</w:t>
            </w:r>
            <w:r w:rsidR="009E2749" w:rsidRPr="009E2749">
              <w:rPr>
                <w:rFonts w:asciiTheme="minorHAnsi" w:eastAsiaTheme="minorHAnsi" w:hAnsiTheme="minorHAnsi" w:cs="Arial"/>
                <w:color w:val="FF0000"/>
                <w:sz w:val="16"/>
                <w:szCs w:val="16"/>
                <w:lang w:eastAsia="en-US"/>
              </w:rPr>
              <w:t>-11</w:t>
            </w:r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; gotowy do użycia; bezbarwny; spektrum działania: warunki brudne, B, F, V (HIV, HBV) do 1 minuty, </w:t>
            </w:r>
            <w:proofErr w:type="spellStart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Tbc</w:t>
            </w:r>
            <w:proofErr w:type="spellEnd"/>
            <w:r w:rsidRPr="000430A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do 15 minut.</w:t>
            </w: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1000 ml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2D6ABE" w:rsidRPr="00C47F52" w:rsidRDefault="00060706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</w:t>
            </w:r>
            <w:r w:rsidR="002D6ABE"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5547"/>
        <w:tblOverlap w:val="never"/>
        <w:tblW w:w="14680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  <w:gridCol w:w="2552"/>
        <w:gridCol w:w="3373"/>
      </w:tblGrid>
      <w:tr w:rsidR="008569FB" w:rsidRPr="005F766F" w:rsidTr="008569FB">
        <w:trPr>
          <w:trHeight w:val="485"/>
        </w:trPr>
        <w:tc>
          <w:tcPr>
            <w:tcW w:w="5920" w:type="dxa"/>
            <w:shd w:val="clear" w:color="auto" w:fill="D9D9D9" w:themeFill="background1" w:themeFillShade="D9"/>
          </w:tcPr>
          <w:p w:rsidR="008569FB" w:rsidRPr="00AE33D5" w:rsidRDefault="008569FB" w:rsidP="008569FB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  <w:lang w:eastAsia="pl-PL" w:bidi="pl-PL"/>
              </w:rPr>
              <w:t xml:space="preserve">                                 </w:t>
            </w:r>
            <w:r w:rsidRPr="00AE33D5">
              <w:rPr>
                <w:rFonts w:ascii="Arial" w:hAnsi="Arial" w:cs="Arial"/>
                <w:b/>
                <w:szCs w:val="22"/>
                <w:lang w:eastAsia="pl-PL" w:bidi="pl-PL"/>
              </w:rPr>
              <w:t xml:space="preserve">Razem (cena oferty)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569FB" w:rsidRPr="00563A2E" w:rsidRDefault="008569FB" w:rsidP="008569FB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563A2E">
              <w:rPr>
                <w:rFonts w:ascii="Arial" w:hAnsi="Arial" w:cs="Arial"/>
              </w:rPr>
              <w:t>netto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569FB" w:rsidRPr="005F766F" w:rsidRDefault="008569FB" w:rsidP="008569FB">
            <w:pPr>
              <w:pStyle w:val="Zawartotabeli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:rsidR="008569FB" w:rsidRPr="005F766F" w:rsidRDefault="008569FB" w:rsidP="008569FB">
            <w:pPr>
              <w:pStyle w:val="Zawartotabeli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tbl>
      <w:tblPr>
        <w:tblW w:w="15451" w:type="dxa"/>
        <w:tblInd w:w="55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58"/>
        <w:gridCol w:w="131"/>
        <w:gridCol w:w="131"/>
        <w:gridCol w:w="131"/>
      </w:tblGrid>
      <w:tr w:rsidR="008569FB" w:rsidRPr="005F766F" w:rsidTr="008569FB">
        <w:trPr>
          <w:trHeight w:val="3484"/>
        </w:trPr>
        <w:tc>
          <w:tcPr>
            <w:tcW w:w="15058" w:type="dxa"/>
            <w:vAlign w:val="bottom"/>
          </w:tcPr>
          <w:p w:rsidR="008569FB" w:rsidRPr="00903451" w:rsidRDefault="008569FB" w:rsidP="00FF73E7">
            <w:pPr>
              <w:suppressAutoHyphens w:val="0"/>
              <w:spacing w:before="28" w:after="28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0345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Uwaga!</w:t>
            </w:r>
            <w:r w:rsidRPr="00903451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Przy sporządzaniu formularza cenowego należy podać wszystkie wartości do dwóch miejsc po przecinku. Składając ofertę należy pamiętać </w:t>
            </w:r>
            <w:r w:rsidRPr="00903451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br/>
              <w:t>o pełnym i dokładnym wypełnieniu wszystkich pozycji. Podane ceny powinny uwzględniać wszystkie koszty związane z realizacją zamówienia.</w:t>
            </w:r>
          </w:p>
          <w:p w:rsidR="008569FB" w:rsidRDefault="008569FB" w:rsidP="00FF73E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</w:p>
          <w:p w:rsidR="008569FB" w:rsidRPr="00903451" w:rsidRDefault="008569FB" w:rsidP="00FF73E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Cena</w:t>
            </w:r>
            <w:r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 netto</w:t>
            </w: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słownie: </w:t>
            </w:r>
            <w:r w:rsidRPr="00903451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</w:t>
            </w:r>
            <w:r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.</w:t>
            </w:r>
          </w:p>
          <w:p w:rsidR="008569FB" w:rsidRPr="00903451" w:rsidRDefault="008569FB" w:rsidP="00FF73E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  <w:p w:rsidR="008569FB" w:rsidRPr="00903451" w:rsidRDefault="008569FB" w:rsidP="00FF73E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P</w:t>
            </w:r>
            <w:r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odat</w:t>
            </w: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e</w:t>
            </w:r>
            <w:r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k VAT</w:t>
            </w: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słownie: </w:t>
            </w:r>
            <w:r w:rsidRPr="00903451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>.</w:t>
            </w:r>
          </w:p>
          <w:p w:rsidR="008569FB" w:rsidRPr="00903451" w:rsidRDefault="008569FB" w:rsidP="00FF73E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</w:p>
          <w:p w:rsidR="008569FB" w:rsidRPr="00903451" w:rsidRDefault="008569FB" w:rsidP="00FF73E7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:rsidR="008569FB" w:rsidRPr="00903451" w:rsidRDefault="008569FB" w:rsidP="00FF73E7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903451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CENA BRUTTO słownie:  </w:t>
            </w:r>
            <w:r w:rsidRPr="0090345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         </w:t>
            </w:r>
            <w:r w:rsidRPr="00903451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.</w:t>
            </w:r>
          </w:p>
          <w:p w:rsidR="008569FB" w:rsidRPr="00903451" w:rsidRDefault="008569FB" w:rsidP="00FF73E7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:rsidR="008569FB" w:rsidRPr="00903451" w:rsidRDefault="008569FB" w:rsidP="00FF73E7">
            <w:pPr>
              <w:rPr>
                <w:rFonts w:ascii="Arial" w:hAnsi="Arial" w:cs="Arial"/>
                <w:sz w:val="16"/>
                <w:szCs w:val="16"/>
              </w:rPr>
            </w:pPr>
          </w:p>
          <w:p w:rsidR="008569FB" w:rsidRPr="00903451" w:rsidRDefault="008569FB" w:rsidP="00FF73E7">
            <w:pPr>
              <w:rPr>
                <w:rFonts w:ascii="Arial" w:hAnsi="Arial" w:cs="Arial"/>
                <w:sz w:val="16"/>
                <w:szCs w:val="16"/>
              </w:rPr>
            </w:pPr>
            <w:r w:rsidRPr="00903451">
              <w:rPr>
                <w:rFonts w:ascii="Arial" w:hAnsi="Arial" w:cs="Arial"/>
                <w:sz w:val="16"/>
                <w:szCs w:val="16"/>
              </w:rPr>
              <w:br/>
              <w:t xml:space="preserve">             ……………………………………………………………………                                                                         ………………………………………………………………………………………………..    </w:t>
            </w:r>
          </w:p>
          <w:p w:rsidR="00542FCD" w:rsidRDefault="008569FB" w:rsidP="00542FCD">
            <w:pPr>
              <w:suppressAutoHyphens w:val="0"/>
              <w:spacing w:before="28" w:after="28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                      miejscowość, data                                                                                                                                                          czytelny podpis upoważnionego przedstawiciela Wykonawcy</w:t>
            </w: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br/>
              <w:t xml:space="preserve">                </w:t>
            </w:r>
          </w:p>
          <w:p w:rsidR="008569FB" w:rsidRPr="00542FCD" w:rsidRDefault="008569FB" w:rsidP="00542FCD">
            <w:pPr>
              <w:suppressAutoHyphens w:val="0"/>
              <w:spacing w:before="28" w:after="28"/>
              <w:rPr>
                <w:rFonts w:ascii="Arial" w:hAnsi="Arial" w:cs="Arial"/>
                <w:sz w:val="24"/>
                <w:lang w:eastAsia="pl-PL"/>
              </w:rPr>
            </w:pP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tab/>
            </w: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tab/>
            </w:r>
            <w:r w:rsidR="00BA11B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                                  </w:t>
            </w: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lub imienna pieczątka z parafką</w:t>
            </w:r>
          </w:p>
        </w:tc>
        <w:tc>
          <w:tcPr>
            <w:tcW w:w="131" w:type="dxa"/>
          </w:tcPr>
          <w:p w:rsidR="008569FB" w:rsidRPr="005F766F" w:rsidRDefault="008569FB" w:rsidP="00FF73E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8569FB" w:rsidRPr="005F766F" w:rsidRDefault="008569FB" w:rsidP="00FF73E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8569FB" w:rsidRPr="005F766F" w:rsidRDefault="008569FB" w:rsidP="00FF73E7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94A9B" w:rsidRPr="00F22AEC" w:rsidRDefault="00C94A9B" w:rsidP="00005B87">
      <w:pPr>
        <w:pStyle w:val="NormalnyWeb"/>
        <w:spacing w:before="28" w:beforeAutospacing="0" w:after="28"/>
        <w:rPr>
          <w:rFonts w:ascii="Arial" w:hAnsi="Arial" w:cs="Arial"/>
        </w:rPr>
      </w:pPr>
    </w:p>
    <w:sectPr w:rsidR="00C94A9B" w:rsidRPr="00F22AEC" w:rsidSect="009E2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28" w:rsidRDefault="00636F28" w:rsidP="007775BD">
      <w:r>
        <w:separator/>
      </w:r>
    </w:p>
  </w:endnote>
  <w:endnote w:type="continuationSeparator" w:id="0">
    <w:p w:rsidR="00636F28" w:rsidRDefault="00636F28" w:rsidP="007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536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8A74F7">
    <w:pPr>
      <w:pStyle w:val="Stopka"/>
    </w:pPr>
    <w:r>
      <w:rPr>
        <w:noProof/>
        <w:lang w:eastAsia="pl-PL"/>
      </w:rPr>
      <w:drawing>
        <wp:inline distT="0" distB="0" distL="0" distR="0" wp14:anchorId="34051F6E" wp14:editId="4393914F">
          <wp:extent cx="5704840" cy="716280"/>
          <wp:effectExtent l="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536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28" w:rsidRDefault="00636F28" w:rsidP="007775BD">
      <w:r>
        <w:separator/>
      </w:r>
    </w:p>
  </w:footnote>
  <w:footnote w:type="continuationSeparator" w:id="0">
    <w:p w:rsidR="00636F28" w:rsidRDefault="00636F28" w:rsidP="0077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536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88" w:rsidRDefault="008E6EEB" w:rsidP="00870832">
    <w:pPr>
      <w:pStyle w:val="Nagwek"/>
    </w:pPr>
    <w:r>
      <w:t>Znak postępowania: DTA.3331.2.2022</w:t>
    </w:r>
  </w:p>
  <w:p w:rsidR="00870832" w:rsidRPr="00870832" w:rsidRDefault="00870832" w:rsidP="0087083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536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D"/>
    <w:rsid w:val="00005B87"/>
    <w:rsid w:val="000063B0"/>
    <w:rsid w:val="000063E6"/>
    <w:rsid w:val="000430A1"/>
    <w:rsid w:val="00060706"/>
    <w:rsid w:val="0006344F"/>
    <w:rsid w:val="000B7202"/>
    <w:rsid w:val="000B762B"/>
    <w:rsid w:val="000D1C87"/>
    <w:rsid w:val="000E5611"/>
    <w:rsid w:val="000F030D"/>
    <w:rsid w:val="001411FF"/>
    <w:rsid w:val="00147DB4"/>
    <w:rsid w:val="00195D6C"/>
    <w:rsid w:val="001A10EA"/>
    <w:rsid w:val="001B21A3"/>
    <w:rsid w:val="001B564F"/>
    <w:rsid w:val="001D44DB"/>
    <w:rsid w:val="00210A7D"/>
    <w:rsid w:val="0022568E"/>
    <w:rsid w:val="002309FE"/>
    <w:rsid w:val="00253644"/>
    <w:rsid w:val="0029636D"/>
    <w:rsid w:val="002A1007"/>
    <w:rsid w:val="002A60AC"/>
    <w:rsid w:val="002D6ABE"/>
    <w:rsid w:val="002E443A"/>
    <w:rsid w:val="002F6D4F"/>
    <w:rsid w:val="003116A3"/>
    <w:rsid w:val="0034633D"/>
    <w:rsid w:val="0035060E"/>
    <w:rsid w:val="00383888"/>
    <w:rsid w:val="00397B0C"/>
    <w:rsid w:val="003A06B7"/>
    <w:rsid w:val="003B59A2"/>
    <w:rsid w:val="003B5FDD"/>
    <w:rsid w:val="003C4BB3"/>
    <w:rsid w:val="003D3BC1"/>
    <w:rsid w:val="003E3872"/>
    <w:rsid w:val="003E4E29"/>
    <w:rsid w:val="00431BE6"/>
    <w:rsid w:val="00453B02"/>
    <w:rsid w:val="00454B90"/>
    <w:rsid w:val="00484ED8"/>
    <w:rsid w:val="004861DF"/>
    <w:rsid w:val="004A5A6D"/>
    <w:rsid w:val="004D5857"/>
    <w:rsid w:val="004F0F12"/>
    <w:rsid w:val="004F504A"/>
    <w:rsid w:val="00506E42"/>
    <w:rsid w:val="005109A7"/>
    <w:rsid w:val="00524D7C"/>
    <w:rsid w:val="00525323"/>
    <w:rsid w:val="00541D75"/>
    <w:rsid w:val="00542FCD"/>
    <w:rsid w:val="0055099E"/>
    <w:rsid w:val="00553959"/>
    <w:rsid w:val="00563A2E"/>
    <w:rsid w:val="005734A6"/>
    <w:rsid w:val="005D15A1"/>
    <w:rsid w:val="005F57FD"/>
    <w:rsid w:val="005F766F"/>
    <w:rsid w:val="006337F1"/>
    <w:rsid w:val="00636F28"/>
    <w:rsid w:val="0066655B"/>
    <w:rsid w:val="00692CF0"/>
    <w:rsid w:val="00694DA3"/>
    <w:rsid w:val="006B720E"/>
    <w:rsid w:val="007006A7"/>
    <w:rsid w:val="00702FEA"/>
    <w:rsid w:val="007106AA"/>
    <w:rsid w:val="00716CB8"/>
    <w:rsid w:val="007306B0"/>
    <w:rsid w:val="00732C00"/>
    <w:rsid w:val="00753C2B"/>
    <w:rsid w:val="007645C0"/>
    <w:rsid w:val="00775AC4"/>
    <w:rsid w:val="007775BD"/>
    <w:rsid w:val="00782354"/>
    <w:rsid w:val="007949B1"/>
    <w:rsid w:val="007979C3"/>
    <w:rsid w:val="007F13CA"/>
    <w:rsid w:val="008569FB"/>
    <w:rsid w:val="00870832"/>
    <w:rsid w:val="008775B6"/>
    <w:rsid w:val="00894A89"/>
    <w:rsid w:val="008A74F7"/>
    <w:rsid w:val="008B5760"/>
    <w:rsid w:val="008B66C5"/>
    <w:rsid w:val="008C26D2"/>
    <w:rsid w:val="008D327F"/>
    <w:rsid w:val="008E5AB8"/>
    <w:rsid w:val="008E6EEB"/>
    <w:rsid w:val="008F261B"/>
    <w:rsid w:val="00902219"/>
    <w:rsid w:val="00903451"/>
    <w:rsid w:val="00951943"/>
    <w:rsid w:val="00992B18"/>
    <w:rsid w:val="0099608A"/>
    <w:rsid w:val="009A6497"/>
    <w:rsid w:val="009C6F85"/>
    <w:rsid w:val="009E2749"/>
    <w:rsid w:val="00A10AA9"/>
    <w:rsid w:val="00A33E64"/>
    <w:rsid w:val="00A34364"/>
    <w:rsid w:val="00A36F1D"/>
    <w:rsid w:val="00AC0659"/>
    <w:rsid w:val="00AD01F0"/>
    <w:rsid w:val="00AD499C"/>
    <w:rsid w:val="00AE33D5"/>
    <w:rsid w:val="00AF06FF"/>
    <w:rsid w:val="00B026E2"/>
    <w:rsid w:val="00B11FB3"/>
    <w:rsid w:val="00B26096"/>
    <w:rsid w:val="00B52373"/>
    <w:rsid w:val="00B574AB"/>
    <w:rsid w:val="00B72210"/>
    <w:rsid w:val="00BA11B5"/>
    <w:rsid w:val="00BC5581"/>
    <w:rsid w:val="00BD59A6"/>
    <w:rsid w:val="00C03291"/>
    <w:rsid w:val="00C10B15"/>
    <w:rsid w:val="00C37749"/>
    <w:rsid w:val="00C47F52"/>
    <w:rsid w:val="00C55D4D"/>
    <w:rsid w:val="00C56927"/>
    <w:rsid w:val="00C94A9B"/>
    <w:rsid w:val="00CB0B40"/>
    <w:rsid w:val="00CB38E6"/>
    <w:rsid w:val="00CB5BA5"/>
    <w:rsid w:val="00D01EAB"/>
    <w:rsid w:val="00D254E6"/>
    <w:rsid w:val="00D44595"/>
    <w:rsid w:val="00D54F5F"/>
    <w:rsid w:val="00D6625F"/>
    <w:rsid w:val="00D84ACB"/>
    <w:rsid w:val="00D95D36"/>
    <w:rsid w:val="00DA047E"/>
    <w:rsid w:val="00DC0FF0"/>
    <w:rsid w:val="00DE2F64"/>
    <w:rsid w:val="00DF7AD6"/>
    <w:rsid w:val="00E0298C"/>
    <w:rsid w:val="00E138FE"/>
    <w:rsid w:val="00E34C95"/>
    <w:rsid w:val="00E524AE"/>
    <w:rsid w:val="00E833E1"/>
    <w:rsid w:val="00E95841"/>
    <w:rsid w:val="00EA4C23"/>
    <w:rsid w:val="00EA4E72"/>
    <w:rsid w:val="00EF0D9D"/>
    <w:rsid w:val="00EF64F1"/>
    <w:rsid w:val="00F1496F"/>
    <w:rsid w:val="00F1704D"/>
    <w:rsid w:val="00F22AEC"/>
    <w:rsid w:val="00F317E2"/>
    <w:rsid w:val="00F75672"/>
    <w:rsid w:val="00F75A65"/>
    <w:rsid w:val="00F84311"/>
    <w:rsid w:val="00F84D76"/>
    <w:rsid w:val="00F9091C"/>
    <w:rsid w:val="00FB2DE0"/>
    <w:rsid w:val="00FD176A"/>
    <w:rsid w:val="00FE0901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B48A-42DA-404C-A405-186EB10B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9</cp:revision>
  <cp:lastPrinted>2022-04-19T09:00:00Z</cp:lastPrinted>
  <dcterms:created xsi:type="dcterms:W3CDTF">2022-04-29T08:09:00Z</dcterms:created>
  <dcterms:modified xsi:type="dcterms:W3CDTF">2022-04-29T12:39:00Z</dcterms:modified>
</cp:coreProperties>
</file>