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C3D53" w14:textId="77777777" w:rsidR="00EE66C9" w:rsidRDefault="00EE66C9" w:rsidP="00EE66C9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F95709B" wp14:editId="730DAF17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98E57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8E67CBE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D4C5665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49B4493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53A273BF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F02FBD1" wp14:editId="60836182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F5702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B409750" wp14:editId="67F99ECB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9B6E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4CC8B2D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6040A5F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40ED439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77F07641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E4DBD91" wp14:editId="376E4C20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59D03" w14:textId="77777777" w:rsidR="00EE66C9" w:rsidRDefault="00EE66C9" w:rsidP="00EE66C9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D6E1579" w14:textId="77777777" w:rsidR="003C48C8" w:rsidRDefault="003C48C8" w:rsidP="003C48C8">
      <w:pPr>
        <w:jc w:val="right"/>
        <w:rPr>
          <w:rFonts w:ascii="Tahoma" w:hAnsi="Tahoma" w:cs="Tahoma"/>
          <w:b/>
          <w:sz w:val="18"/>
          <w:szCs w:val="18"/>
        </w:rPr>
      </w:pPr>
    </w:p>
    <w:p w14:paraId="5EC8BC18" w14:textId="01D9B14D" w:rsidR="005A447A" w:rsidRPr="002C7798" w:rsidRDefault="005A447A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Załącznik nr 1</w:t>
      </w:r>
      <w:r w:rsidR="0064086E" w:rsidRPr="002C7798">
        <w:rPr>
          <w:rFonts w:ascii="Tahoma" w:hAnsi="Tahoma" w:cs="Tahoma"/>
          <w:b/>
          <w:sz w:val="18"/>
          <w:szCs w:val="18"/>
        </w:rPr>
        <w:t>.</w:t>
      </w:r>
      <w:r w:rsidR="007E0A67">
        <w:rPr>
          <w:rFonts w:ascii="Tahoma" w:hAnsi="Tahoma" w:cs="Tahoma"/>
          <w:b/>
          <w:sz w:val="18"/>
          <w:szCs w:val="18"/>
        </w:rPr>
        <w:t>8</w:t>
      </w:r>
      <w:r w:rsidR="0064086E" w:rsidRPr="002C7798">
        <w:rPr>
          <w:rFonts w:ascii="Tahoma" w:hAnsi="Tahoma" w:cs="Tahoma"/>
          <w:b/>
          <w:sz w:val="18"/>
          <w:szCs w:val="18"/>
        </w:rPr>
        <w:t xml:space="preserve"> </w:t>
      </w:r>
      <w:r w:rsidRPr="002C7798">
        <w:rPr>
          <w:rFonts w:ascii="Tahoma" w:hAnsi="Tahoma" w:cs="Tahoma"/>
          <w:b/>
          <w:sz w:val="18"/>
          <w:szCs w:val="18"/>
        </w:rPr>
        <w:t>do SWZ</w:t>
      </w:r>
    </w:p>
    <w:p w14:paraId="2C2C3F75" w14:textId="77777777" w:rsidR="005D50F2" w:rsidRDefault="005D50F2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482C4F0C" w14:textId="77777777" w:rsidR="00D21EBC" w:rsidRPr="002C7798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OPIS PRZEDMIOTU ZAMÓWIENIA</w:t>
      </w:r>
    </w:p>
    <w:p w14:paraId="66E14C02" w14:textId="518EDD70" w:rsidR="00395390" w:rsidRPr="002C7798" w:rsidRDefault="00F616D9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364178">
        <w:rPr>
          <w:rFonts w:ascii="Tahoma" w:hAnsi="Tahoma" w:cs="Tahoma"/>
          <w:b/>
          <w:sz w:val="18"/>
          <w:szCs w:val="18"/>
        </w:rPr>
        <w:t xml:space="preserve">Część </w:t>
      </w:r>
      <w:r w:rsidR="007E0A67" w:rsidRPr="00364178">
        <w:rPr>
          <w:rFonts w:ascii="Tahoma" w:hAnsi="Tahoma" w:cs="Tahoma"/>
          <w:b/>
          <w:sz w:val="18"/>
          <w:szCs w:val="18"/>
        </w:rPr>
        <w:t>8</w:t>
      </w:r>
      <w:r w:rsidRPr="00364178">
        <w:rPr>
          <w:rFonts w:ascii="Tahoma" w:hAnsi="Tahoma" w:cs="Tahoma"/>
          <w:b/>
          <w:sz w:val="18"/>
          <w:szCs w:val="18"/>
        </w:rPr>
        <w:t xml:space="preserve"> -</w:t>
      </w:r>
      <w:r w:rsidR="00F303C3" w:rsidRPr="00364178">
        <w:rPr>
          <w:rFonts w:ascii="Tahoma" w:hAnsi="Tahoma" w:cs="Tahoma"/>
          <w:b/>
          <w:sz w:val="18"/>
          <w:szCs w:val="18"/>
        </w:rPr>
        <w:t xml:space="preserve"> </w:t>
      </w:r>
      <w:r w:rsidR="007E0A67" w:rsidRPr="00364178">
        <w:rPr>
          <w:rFonts w:ascii="Tahoma" w:hAnsi="Tahoma" w:cs="Tahoma"/>
          <w:b/>
          <w:sz w:val="18"/>
          <w:szCs w:val="18"/>
        </w:rPr>
        <w:t xml:space="preserve">Dostawa komputera stacjonarnego typu „stacja robocza” typu 3 </w:t>
      </w:r>
    </w:p>
    <w:p w14:paraId="154CFC42" w14:textId="77777777" w:rsidR="00EE6973" w:rsidRDefault="00EE6973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</w:p>
    <w:p w14:paraId="6C2DE1F5" w14:textId="77777777" w:rsidR="00A53D82" w:rsidRPr="002C7798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2C779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2807543" w14:textId="64A37B27" w:rsidR="0003799B" w:rsidRDefault="0018363E" w:rsidP="0003799B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4AC1D300" w14:textId="77777777" w:rsidR="00EE6973" w:rsidRPr="002C7798" w:rsidRDefault="00EE6973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51F6793" w14:textId="77777777" w:rsidR="00F616D9" w:rsidRPr="002C7798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30D5633F" w14:textId="77777777" w:rsidR="00DC5ABE" w:rsidRPr="002C7798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2C7798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054D307F" w14:textId="77777777" w:rsidR="00C51FE2" w:rsidRPr="00136031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D4A2BF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21865710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39C6C5A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199A2E8E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</w:t>
      </w:r>
      <w:r w:rsidRPr="00136031">
        <w:rPr>
          <w:rFonts w:ascii="Tahoma" w:eastAsia="Calibri" w:hAnsi="Tahoma" w:cs="Tahoma"/>
          <w:color w:val="000000" w:themeColor="text1"/>
          <w:sz w:val="18"/>
          <w:szCs w:val="18"/>
        </w:rPr>
        <w:t>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4AF8B39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136031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136031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lastRenderedPageBreak/>
        <w:t>zamówienia należy odczytywać z wyrazami: lub równoważne. W celu oceny równoważności, zamawiający oceni, czy oferowane przez wykonawcę produkty lub usługi spełniają co najmniej wartości minimalne/wymagania minimalne, które zawarto w opisie przedmiotu zamówienia.</w:t>
      </w:r>
    </w:p>
    <w:p w14:paraId="420F4016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5E1A72B8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7AFD7CF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1C6AB643" w14:textId="77777777" w:rsidR="00624049" w:rsidRDefault="00C51FE2" w:rsidP="006240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08C89453" w14:textId="4C6EA538" w:rsidR="00EE6973" w:rsidRPr="00624049" w:rsidRDefault="00D54DE2" w:rsidP="006240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624049" w:rsidRPr="00624049">
        <w:rPr>
          <w:rFonts w:ascii="Tahoma" w:hAnsi="Tahoma" w:cs="Tahoma"/>
          <w:color w:val="C00000"/>
          <w:sz w:val="18"/>
          <w:szCs w:val="18"/>
        </w:rPr>
        <w:t>.</w:t>
      </w:r>
    </w:p>
    <w:p w14:paraId="1BD5DB8C" w14:textId="77777777" w:rsidR="00C51FE2" w:rsidRPr="00136031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543CCF" w14:textId="77777777" w:rsidR="009159B9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7E0A67">
        <w:rPr>
          <w:rFonts w:ascii="Tahoma" w:eastAsia="Calibri" w:hAnsi="Tahoma" w:cs="Tahoma"/>
          <w:sz w:val="18"/>
          <w:szCs w:val="18"/>
        </w:rPr>
        <w:t xml:space="preserve">Wymagane wartości (opis minimalnych parametrów technicznych i funkcjonalnych) </w:t>
      </w:r>
    </w:p>
    <w:p w14:paraId="11EEE828" w14:textId="77777777" w:rsidR="00EE6973" w:rsidRPr="007E0A67" w:rsidRDefault="00EE6973" w:rsidP="00EE6973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18ADBED2" w14:textId="77777777" w:rsidR="009159B9" w:rsidRPr="007E0A67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4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1702"/>
        <w:gridCol w:w="2409"/>
        <w:gridCol w:w="5811"/>
      </w:tblGrid>
      <w:tr w:rsidR="0018363E" w:rsidRPr="007E0A67" w14:paraId="09669694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A0F12" w14:textId="02442AAE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F86A" w14:textId="2B7E2A39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9F0" w14:textId="3EB04B7D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3533" w14:textId="7BFFCB4E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18363E" w:rsidRPr="007E0A67" w14:paraId="3F35C70D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4F82" w14:textId="43935979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FA5B" w14:textId="4DB28CAB" w:rsidR="0018363E" w:rsidRPr="007E0A6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23D84" w14:textId="75236ABC" w:rsidR="0018363E" w:rsidRPr="007E0A67" w:rsidRDefault="0018363E" w:rsidP="002262AE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D3B" w14:textId="4748F1B8" w:rsidR="0018363E" w:rsidRPr="007E0A67" w:rsidRDefault="0018363E" w:rsidP="002262A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</w:tr>
      <w:tr w:rsidR="007E0A67" w:rsidRPr="007E0A67" w14:paraId="436E125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14DE" w14:textId="5BF7145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5A3" w14:textId="5C8BA66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78E0" w14:textId="6D7C577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EA2F" w14:textId="11E9F5C3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 </w:t>
            </w:r>
          </w:p>
        </w:tc>
      </w:tr>
      <w:tr w:rsidR="007E0A67" w:rsidRPr="007E0A67" w14:paraId="647B83F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082B" w14:textId="46E879D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508" w14:textId="66D4A3B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DAD" w14:textId="60545C8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16A" w14:textId="4F162C0C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rdzeni co najmniej 24; liczba wątków co najmniej 32</w:t>
            </w:r>
          </w:p>
        </w:tc>
      </w:tr>
      <w:tr w:rsidR="007E0A67" w:rsidRPr="007E0A67" w14:paraId="05895CC1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4012" w14:textId="68849DF6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F776" w14:textId="7D2D6B2F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4CB3" w14:textId="0EE06C0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38E8" w14:textId="71A176BF" w:rsidR="007E0A67" w:rsidRPr="007E0A67" w:rsidRDefault="007E0A6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bookmarkStart w:id="0" w:name="_Hlk107433812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59500 lub wyższy (bez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overclokingu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), wynik dostępny na stronie </w:t>
            </w:r>
            <w:hyperlink r:id="rId11" w:history="1">
              <w:r w:rsidRPr="007E0A67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https://www.cpubenchmark.net/cpu_list.php</w:t>
              </w:r>
            </w:hyperlink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30.11.2023r.</w:t>
            </w:r>
            <w:bookmarkEnd w:id="0"/>
          </w:p>
        </w:tc>
      </w:tr>
      <w:tr w:rsidR="007E0A67" w:rsidRPr="007E0A67" w14:paraId="517F8584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035A" w14:textId="18506E9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3FC2" w14:textId="64ABE77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A176" w14:textId="4494E1C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E3D" w14:textId="5AC821B4" w:rsidR="007E0A67" w:rsidRPr="007E0A67" w:rsidRDefault="007E0A67" w:rsidP="00EE6973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 </w:t>
            </w:r>
          </w:p>
        </w:tc>
      </w:tr>
      <w:tr w:rsidR="007E0A67" w:rsidRPr="007E0A67" w14:paraId="590FB638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F98A" w14:textId="6E06CF9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DBC8" w14:textId="416D86D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76D" w14:textId="74AE6A7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C3D0" w14:textId="29AAD09F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</w:tc>
      </w:tr>
      <w:tr w:rsidR="007E0A67" w:rsidRPr="007E0A67" w14:paraId="3B49C7B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E72BC" w14:textId="69B886C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1D1" w14:textId="28D829B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21DE" w14:textId="0E753513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706B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14:paraId="5B2B9615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14:paraId="13B10DB4" w14:textId="32297BF8" w:rsidR="007E0A67" w:rsidRPr="007E0A67" w:rsidRDefault="007E0A6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długotrwałym maksymalnym obciążeniu.</w:t>
            </w:r>
          </w:p>
        </w:tc>
      </w:tr>
      <w:tr w:rsidR="007E0A67" w:rsidRPr="007E0A67" w14:paraId="0DB21EED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EDB" w14:textId="3111624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CF2" w14:textId="6C21122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2B08" w14:textId="7CD72D1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7CE" w14:textId="424D3847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7E0A6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128 GB</w:t>
            </w:r>
          </w:p>
        </w:tc>
      </w:tr>
      <w:tr w:rsidR="007E0A67" w:rsidRPr="007E0A67" w14:paraId="50ED95E3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1ACE" w14:textId="46EFA823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6DC" w14:textId="1A3290D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E56" w14:textId="12640B6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FF8" w14:textId="48D3AD96" w:rsidR="007E0A67" w:rsidRPr="007E0A67" w:rsidRDefault="007E0A6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4 (np. 4x128GB)</w:t>
            </w:r>
          </w:p>
        </w:tc>
      </w:tr>
      <w:tr w:rsidR="007E0A67" w:rsidRPr="007E0A67" w14:paraId="0C884A82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F94F" w14:textId="3ED9D5F6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2F5B" w14:textId="75C521D5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FDD" w14:textId="4654E40C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17E8" w14:textId="1D0E67D0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46 GB/s.</w:t>
            </w:r>
          </w:p>
        </w:tc>
      </w:tr>
      <w:tr w:rsidR="007E0A67" w:rsidRPr="007E0A67" w14:paraId="131D782E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26F4" w14:textId="4C46673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4A6" w14:textId="3A6052F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67BA" w14:textId="5CDFF75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3B7D" w14:textId="7535AD00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</w:tr>
      <w:tr w:rsidR="007E0A67" w:rsidRPr="007E0A67" w14:paraId="7D47927C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844F0" w14:textId="185AC9A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AF4A" w14:textId="530F35FC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65A" w14:textId="7C120B4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5493" w14:textId="0ED38F43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</w:tr>
      <w:tr w:rsidR="007E0A67" w:rsidRPr="007E0A67" w14:paraId="1BE88517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89E" w14:textId="5919A8D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C77B" w14:textId="0C2BF88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9C" w14:textId="54DDD3B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CBE" w14:textId="59AB3E2B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M.2,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, z obsługą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</w:p>
        </w:tc>
      </w:tr>
      <w:tr w:rsidR="007E0A67" w:rsidRPr="007E0A67" w14:paraId="2C160A1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8C30" w14:textId="646E0E2F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ED33" w14:textId="7505F1E3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763F" w14:textId="09F418A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BFC" w14:textId="11152DF2" w:rsidR="007E0A67" w:rsidRPr="007E0A67" w:rsidRDefault="007E0A67" w:rsidP="00D46291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7E0A6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TB</w:t>
            </w:r>
          </w:p>
        </w:tc>
      </w:tr>
      <w:tr w:rsidR="007E0A67" w:rsidRPr="007E0A67" w14:paraId="5FB2738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83E6" w14:textId="5DC530E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0371" w14:textId="6CB32FF2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DAD" w14:textId="7FA5A950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6B56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najmniej: 5000 MB/s ,</w:t>
            </w:r>
          </w:p>
          <w:p w14:paraId="47EB6CBA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najmniej: 5000 MB/s</w:t>
            </w:r>
          </w:p>
          <w:p w14:paraId="17D9E7B5" w14:textId="431D9754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7E0A67" w:rsidRPr="007E0A67" w14:paraId="33E0F0E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6246" w14:textId="5EE32F76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F0AA" w14:textId="4B877DA3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6C5" w14:textId="1854F4AF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E12" w14:textId="1DDF5568" w:rsidR="007E0A67" w:rsidRPr="007E0A67" w:rsidRDefault="007E0A6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HDD zapis magnetyczny klasy serwerowej/NAS przystosowany do ciągłej pracy</w:t>
            </w:r>
          </w:p>
        </w:tc>
      </w:tr>
      <w:tr w:rsidR="007E0A67" w:rsidRPr="007E0A67" w14:paraId="41C4D5A5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A5B0" w14:textId="6A22829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38DE" w14:textId="687AAFF0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DA7" w14:textId="6B3025D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191" w14:textId="12051D4A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</w:tr>
      <w:tr w:rsidR="007E0A67" w:rsidRPr="007E0A67" w14:paraId="6AA7E93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02B8" w14:textId="0AFF5866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2D46" w14:textId="69C33B9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CDDD" w14:textId="028B56A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85CF" w14:textId="74B27174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SATA3 6.0 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</w:rPr>
              <w:t>Gbit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</w:rPr>
              <w:t>/s</w:t>
            </w:r>
          </w:p>
        </w:tc>
      </w:tr>
      <w:tr w:rsidR="007E0A67" w:rsidRPr="007E0A67" w14:paraId="04A7D73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C721" w14:textId="2188538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1E04" w14:textId="660B27B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8845" w14:textId="7A968309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2FB" w14:textId="291C49FC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 xml:space="preserve">Co najmniej 6 TB </w:t>
            </w:r>
          </w:p>
        </w:tc>
      </w:tr>
      <w:tr w:rsidR="007E0A67" w:rsidRPr="007E0A67" w14:paraId="6CBD2EB3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ACA8" w14:textId="1FB903B5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D2D" w14:textId="226A3C4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1E27" w14:textId="38C5502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BDC2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co najmniej 2 sztuk, w tym min. 1 szt.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5.0 x16</w:t>
            </w:r>
          </w:p>
          <w:p w14:paraId="2D6F8FEC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14:paraId="2BF11F69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3 szt.</w:t>
            </w:r>
          </w:p>
          <w:p w14:paraId="5C4ECE58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d) M.2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PCIe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NVMe</w:t>
            </w:r>
            <w:proofErr w:type="spellEnd"/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4.0: co najmniej 2 szt.</w:t>
            </w:r>
          </w:p>
          <w:p w14:paraId="564EDF95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4 szt. w tym min 2 szt. w standardzie USB 3.2 Gen 2</w:t>
            </w:r>
          </w:p>
          <w:p w14:paraId="2AE43A43" w14:textId="6F685594" w:rsidR="007E0A67" w:rsidRPr="007E0A67" w:rsidRDefault="007E0A67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f) RJ-45 min. </w:t>
            </w:r>
            <w:r w:rsidR="009E0801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</w:t>
            </w: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sztuka</w:t>
            </w:r>
          </w:p>
          <w:p w14:paraId="11DAB0F6" w14:textId="109BDBBB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</w:tr>
      <w:tr w:rsidR="007E0A67" w:rsidRPr="007E0A67" w14:paraId="7A15760B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73F4" w14:textId="0842C997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12E9" w14:textId="78ABD2F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1F" w14:textId="595C7C4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20F" w14:textId="7605D27B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</w:tr>
      <w:tr w:rsidR="007E0A67" w:rsidRPr="007E0A67" w14:paraId="0C3938D5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E8E3E" w14:textId="40B85A2F" w:rsidR="007E0A67" w:rsidRPr="007E0A67" w:rsidRDefault="007E0A67" w:rsidP="00735A71">
            <w:pPr>
              <w:spacing w:before="24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8F1" w14:textId="74AF14F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D24" w14:textId="4A32AE4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DA8" w14:textId="73EE154A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</w:tr>
      <w:tr w:rsidR="007E0A67" w:rsidRPr="007E0A67" w14:paraId="0C7FFE2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0671" w14:textId="78CD2239" w:rsidR="007E0A67" w:rsidRPr="007E0A67" w:rsidRDefault="007E0A67" w:rsidP="00735A71">
            <w:pPr>
              <w:spacing w:before="120"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E655" w14:textId="4E5DA82B" w:rsidR="007E0A67" w:rsidRPr="007E0A67" w:rsidRDefault="007E0A67" w:rsidP="00735A7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715" w14:textId="541B58CC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1FA" w14:textId="4BCDC405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</w:tr>
      <w:tr w:rsidR="007E0A67" w:rsidRPr="007E0A67" w14:paraId="6EF758B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9A3B" w14:textId="1F06AC95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7E69" w14:textId="4B707152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5BA" w14:textId="3AAD337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EAA1" w14:textId="2584FB93" w:rsidR="007E0A67" w:rsidRPr="007E0A67" w:rsidRDefault="007E0A67" w:rsidP="00D46291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val="en-US"/>
              </w:rPr>
              <w:t>Zgodny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val="en-US"/>
              </w:rPr>
              <w:t xml:space="preserve"> z UEFI (</w:t>
            </w:r>
            <w:r w:rsidRPr="007E0A67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7E0A67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7E0A67" w:rsidRPr="007E0A67" w14:paraId="6C646E3C" w14:textId="77777777" w:rsidTr="0059747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DE4B" w14:textId="0B7E3099" w:rsidR="007E0A67" w:rsidRPr="007E0A67" w:rsidRDefault="007E0A67" w:rsidP="00735A71">
            <w:pPr>
              <w:spacing w:before="120" w:after="12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AD7F" w14:textId="3E5955E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E191" w14:textId="6F8BBA96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80B" w14:textId="3A14A98A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</w:tr>
      <w:tr w:rsidR="00E27025" w:rsidRPr="007E0A67" w14:paraId="464230FF" w14:textId="77777777" w:rsidTr="00207918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42CF3" w14:textId="77777777" w:rsidR="00E27025" w:rsidRPr="007E0A67" w:rsidRDefault="00E27025" w:rsidP="00E2702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3029" w14:textId="3FC6DE91" w:rsidR="00E27025" w:rsidRPr="007E0A67" w:rsidRDefault="00E27025" w:rsidP="00735A71">
            <w:pPr>
              <w:spacing w:before="240" w:after="24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27025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4C1E" w14:textId="1D1D895F" w:rsidR="00E27025" w:rsidRPr="007E0A67" w:rsidRDefault="00E27025" w:rsidP="00735A71">
            <w:pPr>
              <w:spacing w:before="24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27025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FB7" w14:textId="1D992EAE" w:rsidR="00E27025" w:rsidRPr="007E0A67" w:rsidRDefault="00E27025" w:rsidP="00E27025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27025">
              <w:rPr>
                <w:rFonts w:ascii="Tahoma" w:hAnsi="Tahoma" w:cs="Tahoma"/>
                <w:sz w:val="18"/>
                <w:szCs w:val="18"/>
              </w:rPr>
              <w:t xml:space="preserve">Karta graficzna osiągająca w teście </w:t>
            </w:r>
            <w:proofErr w:type="spellStart"/>
            <w:r w:rsidRPr="00E27025">
              <w:rPr>
                <w:rFonts w:ascii="Tahoma" w:hAnsi="Tahoma" w:cs="Tahoma"/>
                <w:sz w:val="18"/>
                <w:szCs w:val="18"/>
              </w:rPr>
              <w:t>videocardbenchmark</w:t>
            </w:r>
            <w:proofErr w:type="spellEnd"/>
            <w:r w:rsidRPr="00E27025">
              <w:rPr>
                <w:rFonts w:ascii="Tahoma" w:hAnsi="Tahoma" w:cs="Tahoma"/>
                <w:sz w:val="18"/>
                <w:szCs w:val="18"/>
              </w:rPr>
              <w:t xml:space="preserve"> wynik </w:t>
            </w:r>
            <w:r>
              <w:rPr>
                <w:rFonts w:ascii="Tahoma" w:hAnsi="Tahoma" w:cs="Tahoma"/>
                <w:sz w:val="18"/>
                <w:szCs w:val="18"/>
              </w:rPr>
              <w:t>1800</w:t>
            </w:r>
            <w:r w:rsidRPr="00E27025">
              <w:rPr>
                <w:rFonts w:ascii="Tahoma" w:hAnsi="Tahoma" w:cs="Tahoma"/>
                <w:sz w:val="18"/>
                <w:szCs w:val="18"/>
              </w:rPr>
              <w:t xml:space="preserve"> lub wyższy na dzień 30.11.2023 r., wynik dostępny na stronie http://www.videocardbenchmark.net . Zgodna z technologią CUDA, min. 12GB pamięci GDDR6</w:t>
            </w:r>
          </w:p>
        </w:tc>
      </w:tr>
      <w:tr w:rsidR="007E0A67" w:rsidRPr="007E0A67" w14:paraId="66F8FB39" w14:textId="77777777" w:rsidTr="00987E0D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5EE01" w14:textId="44503921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8019" w14:textId="764308F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97E" w14:textId="122C991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E7DE" w14:textId="1DEBAE11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jedno złącze 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i HDMI</w:t>
            </w:r>
          </w:p>
        </w:tc>
      </w:tr>
      <w:tr w:rsidR="007E0A67" w:rsidRPr="007E0A67" w14:paraId="38DDCBC0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939F" w14:textId="56A38099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1DE4" w14:textId="5C8B334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9995" w14:textId="476FDCA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63B" w14:textId="6F278F67" w:rsidR="007E0A67" w:rsidRPr="007E0A67" w:rsidRDefault="007E0A67" w:rsidP="00D46291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Obsługuje transmisję LAN 2.5 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Gbps</w:t>
            </w:r>
            <w:proofErr w:type="spellEnd"/>
          </w:p>
        </w:tc>
      </w:tr>
      <w:tr w:rsidR="007E0A67" w:rsidRPr="007E0A67" w14:paraId="5E2CC479" w14:textId="77777777" w:rsidTr="00FC51F7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73582" w14:textId="756DB9BC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7972" w14:textId="3608068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CD40" w14:textId="0F4D583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B929" w14:textId="77777777" w:rsidR="007E0A67" w:rsidRPr="007E0A67" w:rsidRDefault="007E0A6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WoL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(włączana przez użytkownika), </w:t>
            </w:r>
          </w:p>
          <w:p w14:paraId="2EFDEAFD" w14:textId="79594138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</w:tr>
      <w:tr w:rsidR="007E0A67" w:rsidRPr="007E0A67" w14:paraId="6D0C4F57" w14:textId="77777777" w:rsidTr="00987E0D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D9658" w14:textId="514086A2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955F" w14:textId="34927D79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2A77" w14:textId="3E21419C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F9C" w14:textId="2CDEC42D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QWERTY, polski programisty.</w:t>
            </w:r>
          </w:p>
        </w:tc>
      </w:tr>
      <w:tr w:rsidR="007E0A67" w:rsidRPr="007E0A67" w14:paraId="03C4665D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94F17" w14:textId="50EBDEE6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FEC0" w14:textId="0B200FF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39E" w14:textId="17FFF828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9CA" w14:textId="13BCA4BA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</w:t>
            </w:r>
            <w:proofErr w:type="spellStart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scroll</w:t>
            </w:r>
            <w:proofErr w:type="spellEnd"/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).</w:t>
            </w:r>
          </w:p>
        </w:tc>
      </w:tr>
      <w:tr w:rsidR="007E0A67" w:rsidRPr="007E0A67" w14:paraId="456FF00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7B84E" w14:textId="59E458B7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5CDA" w14:textId="56BB5ED5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1333" w14:textId="32BCEB1D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564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Typu Tower. Możliwość montażu płyt głównych w standardzie: ATX i e-ATX oraz oferowanej płyty głównej.</w:t>
            </w:r>
          </w:p>
          <w:p w14:paraId="024972FA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lub u góry obudowy.</w:t>
            </w:r>
          </w:p>
          <w:p w14:paraId="6FDE7D0B" w14:textId="56CC8589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46x23x45 cm. </w:t>
            </w:r>
          </w:p>
        </w:tc>
      </w:tr>
      <w:tr w:rsidR="007E0A67" w:rsidRPr="007E0A67" w14:paraId="5DC9F8CE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19983" w14:textId="03DE66F5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F6F4" w14:textId="4132155B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C99A" w14:textId="38FDFBB9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0461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Liczba zatok wewnętrznych:</w:t>
            </w:r>
          </w:p>
          <w:p w14:paraId="7310A3AD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dysk 3,5’ – min. 2szt</w:t>
            </w:r>
          </w:p>
          <w:p w14:paraId="60641BA6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dysk 2,5” – min 2 szt.</w:t>
            </w:r>
          </w:p>
          <w:p w14:paraId="7B858AF0" w14:textId="77777777" w:rsidR="007E0A67" w:rsidRPr="007E0A67" w:rsidRDefault="007E0A67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Umożliwia zamontowanie dwóch kart graficznych o długości min. 385 mm.</w:t>
            </w:r>
          </w:p>
          <w:p w14:paraId="3E73066A" w14:textId="4D301F02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o wysokości min. 160 mm. </w:t>
            </w:r>
          </w:p>
        </w:tc>
      </w:tr>
      <w:tr w:rsidR="007E0A67" w:rsidRPr="007E0A67" w14:paraId="6FF9B657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AF10C" w14:textId="6B4F2FD5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16A7" w14:textId="2E6F5E04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CE79" w14:textId="3A2F1A19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8DF" w14:textId="77777777" w:rsidR="007E0A67" w:rsidRPr="007E0A67" w:rsidRDefault="007E0A6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Spełniający standardy ATX 3.0</w:t>
            </w:r>
          </w:p>
          <w:p w14:paraId="115A5570" w14:textId="77777777" w:rsidR="007E0A67" w:rsidRPr="007E0A67" w:rsidRDefault="007E0A6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14:paraId="518C55AB" w14:textId="77777777" w:rsidR="007E0A67" w:rsidRPr="007E0A67" w:rsidRDefault="007E0A6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Moc ciągła co najmniej 1000 W</w:t>
            </w:r>
          </w:p>
          <w:p w14:paraId="3E58CE93" w14:textId="0FBF72DE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Efektywność co najmniej 90% przy obciążeniu zasilacza na poziomie 50% oraz co najmniej 87% przy obciążeniu zasilacza na poziomie 100%.</w:t>
            </w:r>
          </w:p>
        </w:tc>
      </w:tr>
      <w:tr w:rsidR="007E0A67" w:rsidRPr="007E0A67" w14:paraId="4F74FE86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18BF" w14:textId="08FF24A0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3BDD" w14:textId="2552EA3F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7D60" w14:textId="58143B8A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C1E4" w14:textId="0F6AE2A5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Nie jest wymagany</w:t>
            </w:r>
          </w:p>
        </w:tc>
      </w:tr>
      <w:tr w:rsidR="007E0A67" w:rsidRPr="007E0A67" w14:paraId="1B672132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4B72" w14:textId="5ACF6F4B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3C6B" w14:textId="6B7D0C31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CD8" w14:textId="1D9D4960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83F" w14:textId="54024A8B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</w:tr>
      <w:tr w:rsidR="007E0A67" w:rsidRPr="007E0A67" w14:paraId="26B9D081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95B19" w14:textId="3926A8BC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8F45" w14:textId="26B1756E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24F5" w14:textId="7AEE78C5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B24" w14:textId="619CD4D4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7E0A67" w:rsidRPr="007E0A67" w14:paraId="7B35B334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A05B" w14:textId="4B4B81FC" w:rsidR="007E0A67" w:rsidRPr="007E0A67" w:rsidRDefault="00E27025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A570" w14:textId="50BFCB97" w:rsidR="007E0A67" w:rsidRPr="007E0A67" w:rsidRDefault="007E0A67" w:rsidP="00D46291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A67C" w14:textId="771425A7" w:rsidR="007E0A67" w:rsidRPr="007E0A67" w:rsidRDefault="007E0A67" w:rsidP="007E0A67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E0A67">
              <w:rPr>
                <w:rFonts w:ascii="Tahoma" w:hAnsi="Tahoma" w:cs="Tahoma"/>
                <w:sz w:val="18"/>
                <w:szCs w:val="18"/>
              </w:rPr>
              <w:t xml:space="preserve">Liczba sztuk oferowanego </w:t>
            </w:r>
            <w:r w:rsidRPr="00364178">
              <w:rPr>
                <w:rFonts w:ascii="Tahoma" w:hAnsi="Tahoma" w:cs="Tahoma"/>
                <w:sz w:val="18"/>
                <w:szCs w:val="18"/>
              </w:rPr>
              <w:t>zestawu „Komputer stacjonarny typu „stacja robocza” typu 3”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2DC2" w14:textId="77777777" w:rsidR="007E0A67" w:rsidRPr="007E0A67" w:rsidRDefault="007E0A6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194EB300" w14:textId="5A7A246C" w:rsidR="007E0A67" w:rsidRPr="007E0A67" w:rsidRDefault="007E0A67" w:rsidP="00D46291">
            <w:pPr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  <w:r w:rsidRPr="007E0A6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2 sztuki</w:t>
            </w:r>
          </w:p>
        </w:tc>
      </w:tr>
    </w:tbl>
    <w:p w14:paraId="0B2541E4" w14:textId="2F5D7EE7" w:rsidR="0065303A" w:rsidRPr="008E6A27" w:rsidRDefault="0065303A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411A67FC" w14:textId="77777777" w:rsidR="00C51FE2" w:rsidRPr="00136031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D13FA60" w14:textId="77777777" w:rsidR="00D82F1A" w:rsidRPr="00136031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27907D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136031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136031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82DE00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02F927C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B776A43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1F3460F0" w14:textId="3620C3E3" w:rsidR="00C51FE2" w:rsidRPr="00136031" w:rsidRDefault="00624049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3777A470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03EC40F2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198438BE" w14:textId="596BCA58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624049" w:rsidRPr="00624049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624049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008186A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0418506D" w14:textId="526EA470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624049" w:rsidRPr="00624049">
        <w:rPr>
          <w:rFonts w:ascii="Tahoma" w:hAnsi="Tahoma" w:cs="Tahoma"/>
          <w:color w:val="C00000"/>
          <w:sz w:val="18"/>
          <w:szCs w:val="18"/>
        </w:rPr>
        <w:t xml:space="preserve"> </w:t>
      </w:r>
      <w:r w:rsidR="00D54DE2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bookmarkStart w:id="1" w:name="_GoBack"/>
      <w:bookmarkEnd w:id="1"/>
      <w:r w:rsidR="00624049"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33D2143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1D5DF37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38526F0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4D7AC16A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2DA4594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25822DCA" w14:textId="10C0CFBB" w:rsidR="00854AB0" w:rsidRPr="00C51FE2" w:rsidRDefault="00761AC9" w:rsidP="00624049">
      <w:pPr>
        <w:jc w:val="both"/>
        <w:rPr>
          <w:rFonts w:ascii="Tahoma" w:hAnsi="Tahoma" w:cs="Tahoma"/>
          <w:b/>
          <w:sz w:val="18"/>
          <w:szCs w:val="18"/>
        </w:rPr>
      </w:pPr>
      <w:r w:rsidRPr="00761AC9">
        <w:rPr>
          <w:rFonts w:ascii="Tahoma" w:hAnsi="Tahoma" w:cs="Tahoma"/>
          <w:b/>
          <w:sz w:val="18"/>
          <w:szCs w:val="18"/>
        </w:rPr>
        <w:t xml:space="preserve">Zamawiający udostępnia wydruki z powołanych w OPZ stron internetowych z wynikami testów </w:t>
      </w:r>
      <w:r w:rsidRPr="00761AC9">
        <w:rPr>
          <w:rFonts w:ascii="Tahoma" w:hAnsi="Tahoma" w:cs="Tahoma"/>
          <w:b/>
          <w:sz w:val="18"/>
          <w:szCs w:val="18"/>
        </w:rPr>
        <w:br/>
        <w:t xml:space="preserve">(w załączniku do SWZ). </w:t>
      </w:r>
    </w:p>
    <w:sectPr w:rsidR="00854AB0" w:rsidRPr="00C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99B"/>
    <w:rsid w:val="00043514"/>
    <w:rsid w:val="00051E99"/>
    <w:rsid w:val="00055440"/>
    <w:rsid w:val="00064938"/>
    <w:rsid w:val="000B5B72"/>
    <w:rsid w:val="000F651E"/>
    <w:rsid w:val="00107C46"/>
    <w:rsid w:val="001137C7"/>
    <w:rsid w:val="00136031"/>
    <w:rsid w:val="0018363E"/>
    <w:rsid w:val="00210C2D"/>
    <w:rsid w:val="002262AE"/>
    <w:rsid w:val="002506B3"/>
    <w:rsid w:val="002C7798"/>
    <w:rsid w:val="00326FD2"/>
    <w:rsid w:val="00327FD0"/>
    <w:rsid w:val="00364178"/>
    <w:rsid w:val="0038555F"/>
    <w:rsid w:val="00395390"/>
    <w:rsid w:val="003C325F"/>
    <w:rsid w:val="003C48C8"/>
    <w:rsid w:val="003C74F7"/>
    <w:rsid w:val="003D7398"/>
    <w:rsid w:val="00431D06"/>
    <w:rsid w:val="00437870"/>
    <w:rsid w:val="00444999"/>
    <w:rsid w:val="0045194B"/>
    <w:rsid w:val="00460D4E"/>
    <w:rsid w:val="00465246"/>
    <w:rsid w:val="004A0A9C"/>
    <w:rsid w:val="004D78B7"/>
    <w:rsid w:val="004F6B6C"/>
    <w:rsid w:val="00501F50"/>
    <w:rsid w:val="005227D6"/>
    <w:rsid w:val="00522F08"/>
    <w:rsid w:val="00554D6A"/>
    <w:rsid w:val="005844C4"/>
    <w:rsid w:val="005A447A"/>
    <w:rsid w:val="005D50F2"/>
    <w:rsid w:val="005E2405"/>
    <w:rsid w:val="00605E74"/>
    <w:rsid w:val="00607A1B"/>
    <w:rsid w:val="00624049"/>
    <w:rsid w:val="0064086E"/>
    <w:rsid w:val="0065303A"/>
    <w:rsid w:val="006D6273"/>
    <w:rsid w:val="006F1889"/>
    <w:rsid w:val="00735A71"/>
    <w:rsid w:val="007523A0"/>
    <w:rsid w:val="00761AC9"/>
    <w:rsid w:val="007853B3"/>
    <w:rsid w:val="007B0BE8"/>
    <w:rsid w:val="007B2308"/>
    <w:rsid w:val="007C524F"/>
    <w:rsid w:val="007D7C96"/>
    <w:rsid w:val="007E0A67"/>
    <w:rsid w:val="00821DA7"/>
    <w:rsid w:val="00841ED1"/>
    <w:rsid w:val="00854AB0"/>
    <w:rsid w:val="00863AB4"/>
    <w:rsid w:val="008713F5"/>
    <w:rsid w:val="00873F1A"/>
    <w:rsid w:val="00891A8A"/>
    <w:rsid w:val="008B00DA"/>
    <w:rsid w:val="008E6A27"/>
    <w:rsid w:val="008E72E3"/>
    <w:rsid w:val="008F419D"/>
    <w:rsid w:val="009159B9"/>
    <w:rsid w:val="009237A6"/>
    <w:rsid w:val="00967433"/>
    <w:rsid w:val="00973047"/>
    <w:rsid w:val="00982F18"/>
    <w:rsid w:val="009860EA"/>
    <w:rsid w:val="009E0801"/>
    <w:rsid w:val="00A30B1F"/>
    <w:rsid w:val="00A30E65"/>
    <w:rsid w:val="00A4637D"/>
    <w:rsid w:val="00A537B6"/>
    <w:rsid w:val="00A53D82"/>
    <w:rsid w:val="00A73F87"/>
    <w:rsid w:val="00A96C79"/>
    <w:rsid w:val="00AB5359"/>
    <w:rsid w:val="00AC2777"/>
    <w:rsid w:val="00B21550"/>
    <w:rsid w:val="00B27B5D"/>
    <w:rsid w:val="00B354B4"/>
    <w:rsid w:val="00B9255E"/>
    <w:rsid w:val="00BC097A"/>
    <w:rsid w:val="00C02FB0"/>
    <w:rsid w:val="00C136C6"/>
    <w:rsid w:val="00C32183"/>
    <w:rsid w:val="00C353F0"/>
    <w:rsid w:val="00C51FE2"/>
    <w:rsid w:val="00D06ECB"/>
    <w:rsid w:val="00D21EBC"/>
    <w:rsid w:val="00D2424B"/>
    <w:rsid w:val="00D46291"/>
    <w:rsid w:val="00D54DE2"/>
    <w:rsid w:val="00D82F1A"/>
    <w:rsid w:val="00DA4BBB"/>
    <w:rsid w:val="00DC4454"/>
    <w:rsid w:val="00DC5ABE"/>
    <w:rsid w:val="00DF75C6"/>
    <w:rsid w:val="00E27025"/>
    <w:rsid w:val="00E33280"/>
    <w:rsid w:val="00E82A18"/>
    <w:rsid w:val="00EE66C9"/>
    <w:rsid w:val="00EE6973"/>
    <w:rsid w:val="00F00D8D"/>
    <w:rsid w:val="00F174E7"/>
    <w:rsid w:val="00F303C3"/>
    <w:rsid w:val="00F42F1B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C008-2861-4EC1-98C7-020A6E59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2024-01-10T13:54:00Z</dcterms:created>
  <dcterms:modified xsi:type="dcterms:W3CDTF">2024-01-11T09:55:00Z</dcterms:modified>
</cp:coreProperties>
</file>