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Załącznik nr 3 do SIWZ/ OPIS PRZEDMIOTU ZAMÓWIENIA</w:t>
      </w:r>
    </w:p>
    <w:tbl>
      <w:tblPr>
        <w:tblW w:w="13877" w:type="dxa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598"/>
        <w:gridCol w:w="2117"/>
        <w:gridCol w:w="1590"/>
        <w:gridCol w:w="3630"/>
        <w:gridCol w:w="5942"/>
      </w:tblGrid>
      <w:tr>
        <w:trPr/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Lp.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Nazwa asortymentu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Ilość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Parametry techniczno - użytkowe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(wielkość, rozmiar, typ, itp.)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Szczegółowy opis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4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5</w:t>
            </w:r>
          </w:p>
        </w:tc>
      </w:tr>
      <w:tr>
        <w:trPr/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Analizator automatyczny do wykonywania badań immuno-hematologicznych</w:t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Analizator w pełni automatyczny.</w:t>
            </w:r>
          </w:p>
          <w:p>
            <w:pPr>
              <w:pStyle w:val="Normal"/>
              <w:snapToGrid w:val="false"/>
              <w:spacing w:lineRule="auto" w:line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lineRule="auto" w:line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Analizator nowy (produkcja nie wcześniej niż 2020r.).</w:t>
            </w:r>
          </w:p>
          <w:p>
            <w:pPr>
              <w:pStyle w:val="Normal"/>
              <w:snapToGrid w:val="false"/>
              <w:spacing w:lineRule="auto" w:line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Analizator wolnostojący lub wraz z odpowiednio dostosowanym stołem.</w:t>
            </w:r>
          </w:p>
          <w:p>
            <w:pPr>
              <w:pStyle w:val="Normal"/>
              <w:snapToGrid w:val="false"/>
              <w:spacing w:lineRule="auto" w:line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lineRule="auto" w:line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Analizator pracujący w tzw. „trybie wolnego dostępu”.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Pojemność analizatora – co najmniej 50 próbek na pokładzie oraz co najmniej 150 kart na pokładzie.</w:t>
            </w:r>
          </w:p>
          <w:p>
            <w:pPr>
              <w:pStyle w:val="Normal"/>
              <w:snapToGrid w:val="false"/>
              <w:spacing w:lineRule="auto" w:line="240" w:before="0" w:after="0"/>
              <w:ind w:left="567" w:right="0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Arial" w:ascii="Arial" w:hAnsi="Arial"/>
                <w:b w:val="false"/>
                <w:sz w:val="20"/>
                <w:szCs w:val="20"/>
              </w:rPr>
              <w:t xml:space="preserve">Wydajność analizatora minimum </w:t>
            </w:r>
            <w:r>
              <w:rPr>
                <w:rFonts w:cs="Arial" w:ascii="Arial" w:hAnsi="Arial"/>
                <w:b w:val="false"/>
                <w:sz w:val="20"/>
                <w:szCs w:val="20"/>
                <w:highlight w:val="white"/>
              </w:rPr>
              <w:t>20</w:t>
            </w:r>
            <w:r>
              <w:rPr>
                <w:rFonts w:cs="Arial" w:ascii="Arial" w:hAnsi="Arial"/>
                <w:b w:val="false"/>
                <w:sz w:val="20"/>
                <w:szCs w:val="20"/>
              </w:rPr>
              <w:t xml:space="preserve"> pełnych oznaczeń grup krwi (Grupa krwi ABO i RhD oraz badanie przeglądowe na obecność przeciwciał w PTA) na godzinę.</w:t>
            </w:r>
          </w:p>
          <w:p>
            <w:pPr>
              <w:pStyle w:val="Normal"/>
              <w:snapToGrid w:val="false"/>
              <w:spacing w:lineRule="auto" w: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Analizator wykonuje samodzielnie całą procedurę badania od pobierania materiału z badanej próbki do automatycznego przesłania wyniku do systemu (dwukierunkowa transmisja danych) przy zastosowaniu technologii testów mikrokolumnowych.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Analizator przystosowany do pracy ciągłej 24h/dobę 7 dni w tygodniu bez potrzeby wyłączania i codziennej konserwacji.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Automatyczny analizator umożliwiający wykonanie następujących badań w technice mikrokolumnowej, opartych na zasadzie aglutynacji.:</w:t>
            </w:r>
          </w:p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a) Grupa krwi układu ABO z użyciem odczynników monoklonalnych przeznaczonych do oznaczenia tego układu, oznaczenie izoaglutynin grupowych krwinkami A1 i B - mikrokarty. Odczynniki monoklonalne umożliwiające wykrycie słabej ekspresji antygenów A i B z układu ABO.</w:t>
            </w:r>
          </w:p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b) Antygen RhD z użyciem dwóch serii odczynników monoklonalnych odpowiednio anty-D</w:t>
            </w:r>
            <w:r>
              <w:rPr>
                <w:rFonts w:cs="Arial" w:ascii="Arial" w:hAnsi="Arial"/>
                <w:sz w:val="20"/>
                <w:szCs w:val="20"/>
                <w:vertAlign w:val="superscript"/>
              </w:rPr>
              <w:t>VI+</w:t>
            </w:r>
            <w:r>
              <w:rPr>
                <w:rFonts w:cs="Arial" w:ascii="Arial" w:hAnsi="Arial"/>
                <w:sz w:val="20"/>
                <w:szCs w:val="20"/>
              </w:rPr>
              <w:t xml:space="preserve"> i anty-D</w:t>
            </w:r>
            <w:r>
              <w:rPr>
                <w:rFonts w:cs="Arial" w:ascii="Arial" w:hAnsi="Arial"/>
                <w:sz w:val="20"/>
                <w:szCs w:val="20"/>
                <w:vertAlign w:val="superscript"/>
              </w:rPr>
              <w:t>VI-</w:t>
            </w:r>
            <w:r>
              <w:rPr>
                <w:rFonts w:cs="Arial" w:ascii="Arial" w:hAnsi="Arial"/>
                <w:sz w:val="20"/>
                <w:szCs w:val="20"/>
              </w:rPr>
              <w:t xml:space="preserve"> – mikrokarty. Odczynniki monoklonalne umożliwiające wykrycie słabej ekspresji antygenu RhD.</w:t>
            </w:r>
          </w:p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c) Potwierdzenie antygenów grupy krwi układu ABO i RhD z użyciem odczynników monoklonalnych w tym anty-D</w:t>
            </w:r>
            <w:r>
              <w:rPr>
                <w:rFonts w:cs="Arial" w:ascii="Arial" w:hAnsi="Arial"/>
                <w:sz w:val="20"/>
                <w:szCs w:val="20"/>
                <w:vertAlign w:val="superscript"/>
              </w:rPr>
              <w:t>VI+</w:t>
            </w:r>
            <w:r>
              <w:rPr>
                <w:rFonts w:cs="Arial" w:ascii="Arial" w:hAnsi="Arial"/>
                <w:position w:val="0"/>
                <w:sz w:val="20"/>
                <w:sz w:val="20"/>
                <w:szCs w:val="20"/>
                <w:vertAlign w:val="baseline"/>
              </w:rPr>
              <w:t>– testy mikrokolumnowe.</w:t>
            </w:r>
          </w:p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d) Potwierdzenie antygenów grupy krwi układu ABO i RhD z użyciem odczynników monoklonalnych w tym anty-D</w:t>
            </w:r>
            <w:r>
              <w:rPr>
                <w:rFonts w:cs="Arial" w:ascii="Arial" w:hAnsi="Arial"/>
                <w:sz w:val="20"/>
                <w:szCs w:val="20"/>
                <w:vertAlign w:val="superscript"/>
              </w:rPr>
              <w:t>VI-</w:t>
            </w:r>
            <w:r>
              <w:rPr>
                <w:rFonts w:cs="Arial" w:ascii="Arial" w:hAnsi="Arial"/>
                <w:sz w:val="20"/>
                <w:szCs w:val="20"/>
              </w:rPr>
              <w:t xml:space="preserve"> – </w:t>
            </w:r>
            <w:r>
              <w:rPr>
                <w:rFonts w:cs="Arial" w:ascii="Arial" w:hAnsi="Arial"/>
                <w:position w:val="0"/>
                <w:sz w:val="20"/>
                <w:sz w:val="20"/>
                <w:szCs w:val="20"/>
                <w:vertAlign w:val="baseline"/>
              </w:rPr>
              <w:t>testy mikrokolumnowe</w:t>
            </w:r>
            <w:r>
              <w:rPr>
                <w:rFonts w:cs="Arial" w:ascii="Arial" w:hAnsi="Arial"/>
                <w:sz w:val="20"/>
                <w:szCs w:val="20"/>
              </w:rPr>
              <w:t>.</w:t>
            </w:r>
          </w:p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e) Badanie przeglądowe na obecność przeciwciał w pośrednim teście antyglobulinowym przy użyciu krwinek wzorcowych - </w:t>
            </w:r>
            <w:r>
              <w:rPr>
                <w:rFonts w:cs="Arial" w:ascii="Arial" w:hAnsi="Arial"/>
                <w:position w:val="0"/>
                <w:sz w:val="20"/>
                <w:sz w:val="20"/>
                <w:szCs w:val="20"/>
                <w:vertAlign w:val="baseline"/>
              </w:rPr>
              <w:t>testy mikrokolumnowe z odczynnikiem poliwalentnym (IgG+C</w:t>
            </w:r>
            <w:r>
              <w:rPr>
                <w:rFonts w:cs="Arial" w:ascii="Arial" w:hAnsi="Arial"/>
                <w:sz w:val="20"/>
                <w:szCs w:val="20"/>
                <w:vertAlign w:val="subscript"/>
              </w:rPr>
              <w:t>3</w:t>
            </w:r>
            <w:r>
              <w:rPr>
                <w:rFonts w:cs="Arial" w:ascii="Arial" w:hAnsi="Arial"/>
                <w:position w:val="0"/>
                <w:sz w:val="20"/>
                <w:sz w:val="20"/>
                <w:szCs w:val="20"/>
                <w:vertAlign w:val="baseline"/>
              </w:rPr>
              <w:t>d)</w:t>
            </w:r>
            <w:r>
              <w:rPr>
                <w:rFonts w:cs="Arial" w:ascii="Arial" w:hAnsi="Arial"/>
                <w:sz w:val="20"/>
                <w:szCs w:val="20"/>
              </w:rPr>
              <w:t>.</w:t>
            </w:r>
          </w:p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f) Badanie przeglądowe na obecność przeciwciał w pośrednim teście antyglobulinowym przy użyciu krwinek wzorcowych - </w:t>
            </w:r>
            <w:r>
              <w:rPr>
                <w:rFonts w:cs="Arial" w:ascii="Arial" w:hAnsi="Arial"/>
                <w:position w:val="0"/>
                <w:sz w:val="20"/>
                <w:sz w:val="20"/>
                <w:szCs w:val="20"/>
                <w:vertAlign w:val="baseline"/>
              </w:rPr>
              <w:t>testy mikrokolumnowe z odczynnikiem monowalentnym (IgG)</w:t>
            </w:r>
            <w:r>
              <w:rPr>
                <w:rFonts w:cs="Arial" w:ascii="Arial" w:hAnsi="Arial"/>
                <w:sz w:val="20"/>
                <w:szCs w:val="20"/>
              </w:rPr>
              <w:t>.</w:t>
            </w:r>
          </w:p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g) Bezpośredni test antyglobulinowy BTA z odczynnikiem poliwalentnym (IgG+C</w:t>
            </w:r>
            <w:r>
              <w:rPr>
                <w:rFonts w:cs="Arial" w:ascii="Arial" w:hAnsi="Arial"/>
                <w:sz w:val="20"/>
                <w:szCs w:val="20"/>
                <w:vertAlign w:val="subscript"/>
              </w:rPr>
              <w:t>3</w:t>
            </w:r>
            <w:r>
              <w:rPr>
                <w:rFonts w:cs="Arial" w:ascii="Arial" w:hAnsi="Arial"/>
                <w:sz w:val="20"/>
                <w:szCs w:val="20"/>
              </w:rPr>
              <w:t>d) oraz z odczynnikami monowalentnymi (IgG oraz C</w:t>
            </w:r>
            <w:r>
              <w:rPr>
                <w:rFonts w:cs="Arial" w:ascii="Arial" w:hAnsi="Arial"/>
                <w:sz w:val="20"/>
                <w:szCs w:val="20"/>
                <w:vertAlign w:val="subscript"/>
              </w:rPr>
              <w:t>3</w:t>
            </w:r>
            <w:r>
              <w:rPr>
                <w:rFonts w:cs="Arial" w:ascii="Arial" w:hAnsi="Arial"/>
                <w:position w:val="0"/>
                <w:sz w:val="20"/>
                <w:sz w:val="20"/>
                <w:szCs w:val="20"/>
                <w:vertAlign w:val="baseline"/>
              </w:rPr>
              <w:t>d</w:t>
            </w:r>
            <w:r>
              <w:rPr>
                <w:rFonts w:cs="Arial" w:ascii="Arial" w:hAnsi="Arial"/>
                <w:sz w:val="20"/>
                <w:szCs w:val="20"/>
              </w:rPr>
              <w:t>).</w:t>
            </w:r>
          </w:p>
          <w:p>
            <w:pPr>
              <w:pStyle w:val="Akapitzlist"/>
              <w:widowControl/>
              <w:suppressAutoHyphens w:val="false"/>
              <w:spacing w:lineRule="auto" w:line="276" w:before="0" w:after="0"/>
              <w:ind w:left="0" w:righ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h) Identyfikacja przeciwciał odpornościowych do antygenów krwinek czerwonych przy użyciu odpowiedniego panelu krwiek (zestaw zawierający minimum 10 rodzajów krwinek).</w:t>
            </w:r>
          </w:p>
          <w:p>
            <w:pPr>
              <w:pStyle w:val="Akapitzlist"/>
              <w:widowControl/>
              <w:suppressAutoHyphens w:val="false"/>
              <w:spacing w:lineRule="auto" w:line="276" w:before="0" w:after="0"/>
              <w:ind w:left="0" w:righ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i) Pełna próba zgodności serologicznej biorcy z dawcą.</w:t>
            </w:r>
          </w:p>
          <w:p>
            <w:pPr>
              <w:pStyle w:val="Akapitzlist"/>
              <w:widowControl/>
              <w:suppressAutoHyphens w:val="false"/>
              <w:spacing w:lineRule="auto" w:line="276" w:before="0" w:after="0"/>
              <w:ind w:left="1287" w:right="0" w:hanging="0"/>
              <w:contextualSpacing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Analizator umożliwiający wykonywania pojedynczych testów i kombinacji testów, z dostępna funkcją wykonania pilnych badań.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Automatyczne wykonanie odpowiednich zawiesin krwinek czerwonych na pokładzie automatycznego analizatora, jeśli wymaga tego procedura.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Automatyczne pipetowanie próbek badanych i dczynników-jeśli wymaga tego procedura.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Automatyczny system informujący, jeśli ilość odczynników i próbek nie jest wystarczająca do wykonania zaplanowanych badań.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Analizator podaje w czasie realnym aktualny stan ilościowy odczynników oraz komunikować, jeśli ilość odczynników na pokładzie nie jest wystarczająca do wykonania zleconych badań.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Normal"/>
              <w:tabs>
                <w:tab w:val="clear" w:pos="709"/>
                <w:tab w:val="left" w:pos="1560" w:leader="none"/>
              </w:tabs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Analizator wyposażony w system detekcji skrzepu.</w:t>
            </w:r>
          </w:p>
          <w:p>
            <w:pPr>
              <w:pStyle w:val="Normal"/>
              <w:tabs>
                <w:tab w:val="clear" w:pos="709"/>
                <w:tab w:val="left" w:pos="1560" w:leader="none"/>
              </w:tabs>
              <w:snapToGrid w:val="false"/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Normal"/>
              <w:tabs>
                <w:tab w:val="clear" w:pos="709"/>
                <w:tab w:val="left" w:pos="1560" w:leader="none"/>
              </w:tabs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Automatyczny system kontroli stanu modułów analizatora monitorujący główne etapy procesu.</w:t>
            </w:r>
          </w:p>
          <w:p>
            <w:pPr>
              <w:pStyle w:val="Normal"/>
              <w:tabs>
                <w:tab w:val="clear" w:pos="709"/>
                <w:tab w:val="left" w:pos="1560" w:leader="none"/>
              </w:tabs>
              <w:snapToGrid w:val="false"/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Odczytywanie kodów kreskowych z próbek krwi i odczynników.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Akceptacja systemu kodów kreskowych stosowanych w SP ZOZ MSWiA w Poznaniu (ISBT128).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Pozytywna identyfikacja badanych próbek i odczynników poprzez kody kreskowe albo numery rejestracyjne wprowadzane manualnie.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Wydruk protokołu badania wszystkich reakcji z krwinkami w języku polskim.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Archiwizacja wyników badań (protokół badania i obraz bezpośredni).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Koszt podłączenia analizatora do systemu LIS ponosi zamawiający zgodnie z osobnym postępowaniem przetargowym. Wykonawca w ramach umowy i bez dodatkowych opłat zapewni: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a) pełne  wsparcie techniczne w realizacji podłączenia przez cały okres trwania umowy,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b) przekaże zamawiającemu opis oraz specyfikację protokołu komunikacji,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c) przekaże zamawiającemu oświadczenie dotyczące dwukierunkowej transmisji danych (z systemu zewnętrznego do analizatora oraz z analizatora do systemu zewnętrznego).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Oprogramowanie analizatora w języku polskim.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Kompletna rejestracja czynności operatora, użytych próbek i wykonanych testów.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Współpraca z różnymi typami probówek.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Arial" w:hAnsi="Arial" w:cs="Arial"/>
                <w:b w:val="false"/>
                <w:b w:val="false"/>
                <w:sz w:val="20"/>
                <w:szCs w:val="20"/>
              </w:rPr>
            </w:pPr>
            <w:bookmarkStart w:id="0" w:name="_GoBack"/>
            <w:r>
              <w:rPr>
                <w:rFonts w:cs="Arial" w:ascii="Arial" w:hAnsi="Arial"/>
                <w:b w:val="false"/>
                <w:sz w:val="20"/>
                <w:szCs w:val="20"/>
              </w:rPr>
              <w:t>Analizator pracujący w trybie wolnego dostępu z możliwością rozpoczęcia wykonywania badań (łącznie z pipetowaniem), w trakcie trwania procedury wykonywania badań zleconych wcześniej z funkcją CITO.</w:t>
            </w:r>
            <w:bookmarkEnd w:id="0"/>
          </w:p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Arial" w:hAnsi="Arial" w:cs="Arial"/>
                <w:b w:val="false"/>
                <w:b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sz w:val="20"/>
                <w:szCs w:val="20"/>
              </w:rPr>
              <w:t>Analizator pracujący w ramach tzw. „trybu wolnego dostępu” z możliwością dostawiania kolejnych próbek do badań nawet w trakcie pipetowania próbek zleconych wcześniej (znajdujących się na pokładzie analizatora) bez przerywania rozpoczętych wcześniej procesów.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Arial" w:hAnsi="Arial" w:cs="Arial"/>
                <w:b w:val="false"/>
                <w:b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sz w:val="20"/>
                <w:szCs w:val="20"/>
              </w:rPr>
              <w:t>Analizator wyposażony w co najmniej 3 statywy na probówki umieszczane na pokładzie analizatora niezależnie od siebie w ramach tzw. „trybu wolnego dostępu”.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Arial" w:hAnsi="Arial" w:cs="Arial"/>
                <w:b w:val="false"/>
                <w:b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sz w:val="20"/>
                <w:szCs w:val="20"/>
              </w:rPr>
              <w:t>System usuwania zużytych kart wykluczający bezpośredni kontakt operatora z materiałem zakaźnym (karty usuwane automatycznie do odpowiedniego pojemnika).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Arial" w:hAnsi="Arial" w:cs="Arial"/>
                <w:b w:val="false"/>
                <w:b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sz w:val="20"/>
                <w:szCs w:val="20"/>
              </w:rPr>
              <w:t>UPS wbudowany lub zewnętrzny - parametry dostosowane do oferowanego analizatora.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Analizator wyposażony w zdalny dostęp serwisu.</w:t>
            </w:r>
          </w:p>
        </w:tc>
      </w:tr>
      <w:tr>
        <w:trPr>
          <w:trHeight w:val="2831" w:hRule="atLeas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Odczynniki i krwinki do oznaczania</w:t>
            </w:r>
          </w:p>
          <w:p>
            <w:pPr>
              <w:pStyle w:val="Normal"/>
              <w:snapToGrid w:val="false"/>
              <w:spacing w:lineRule="auto" w:line="240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grupy krwi (antygeny ABO, RhD (DVI+ i DVI-), izoaglutyniny A1 i B) wraz z wykrywaniem przeciwciał odpornościowych do krwinek czerwonych w PTA.</w:t>
            </w:r>
          </w:p>
          <w:p>
            <w:pPr>
              <w:pStyle w:val="Normal"/>
              <w:snapToGrid w:val="false"/>
              <w:spacing w:lineRule="auto" w: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23100</w:t>
            </w:r>
            <w:r>
              <w:rPr>
                <w:rFonts w:cs="Arial" w:ascii="Arial" w:hAnsi="Arial"/>
                <w:sz w:val="16"/>
                <w:szCs w:val="16"/>
              </w:rPr>
              <w:t xml:space="preserve"> oznaczeń w ramach zamówienia podstawowego</w:t>
            </w:r>
          </w:p>
          <w:p>
            <w:pPr>
              <w:pStyle w:val="Normal"/>
              <w:snapToGrid w:val="false"/>
              <w:spacing w:lineRule="auto" w:lin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napToGrid w:val="false"/>
              <w:spacing w:lineRule="auto" w:line="240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7700</w:t>
            </w:r>
            <w:r>
              <w:rPr>
                <w:rFonts w:cs="Arial" w:ascii="Arial" w:hAnsi="Arial"/>
                <w:sz w:val="16"/>
                <w:szCs w:val="16"/>
              </w:rPr>
              <w:t xml:space="preserve">  oznaczeń w ramach prawa opcji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2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2"/>
                <w:u w:val="none"/>
                <w:em w:val="none"/>
              </w:rPr>
              <w:t>Karty, odczynniki i krwinki do:</w:t>
            </w:r>
          </w:p>
          <w:p>
            <w:pPr>
              <w:pStyle w:val="Normal"/>
              <w:snapToGrid w:val="false"/>
              <w:spacing w:lineRule="auto" w:line="360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2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2"/>
                <w:u w:val="none"/>
                <w:em w:val="none"/>
              </w:rPr>
              <w:t>a) oznaczania antygenów grupowych ABO i RhD (DVI+ i DVI-)</w:t>
            </w:r>
          </w:p>
          <w:p>
            <w:pPr>
              <w:pStyle w:val="Normal"/>
              <w:snapToGrid w:val="false"/>
              <w:spacing w:lineRule="auto" w:line="360"/>
              <w:rPr/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2"/>
                <w:u w:val="none"/>
                <w:em w:val="none"/>
              </w:rPr>
              <w:t>b) oznaczania i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  <w:t>zoaglutynin grupowych A1/B</w:t>
            </w:r>
          </w:p>
          <w:p>
            <w:pPr>
              <w:pStyle w:val="Normal"/>
              <w:snapToGrid w:val="false"/>
              <w:spacing w:lineRule="auto" w:line="360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  <w:t>c) badania przeglądowego w kierunku przeciwciał odpornościowych</w:t>
            </w:r>
          </w:p>
        </w:tc>
        <w:tc>
          <w:tcPr>
            <w:tcW w:w="5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Karty, odczynniki, krwinki i sprzęt dopuszczone do obrotu na rynek polski.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Wszystkich dostarczanych odczynników i krwinek oraz materiałów kontrolnych oznakowane znakiem CE wraz z numerem jednostki notyfikującej (wymagane jest dostarczenie certyfikatu).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Oznakowanie każdego jednostkowego opakowania nazwą, serią oraz terminem ważności.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Wykonawca dostarczy odpowiedni certyfikat kontroli jakości dla każdego rodzaju odczynników, kart, krwinek wzorcowych i materiału do kontroli codziennej przy każdej dostawie.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Wykonawca zapewni możliwość wykorzystania tych samych odczynników w analizatorze podstawowym i manualnym systemie „back-up”.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Wszystkie dostarczane odczynniki i krwinki muszą spełniać wytyczne wskazane w aktualnie obowiązujących przepisach prawa, a w szczególności zawarte w „Obwieszczeniu Ministra Zdrowia w sprawie wymagań dobrej praktyki przechowywania i wydawania krwi i jej składników dla banków krwi oraz badań z zakresu immunologii transfuzjologicznej wykonywanych w zakładach leczniczych podmiotów leczniczych innych niż regionalne centra, Wojskowe Centrum lub Centrum MSWiA”.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Wszystkie odczynniki i krwinki wzorcowe (z wyjątkiem próbek kontrolnych do codziennej kontroli, kontroli zewnątrzlaboratoryjnej oraz płynów do konserwacji analizatora) muszą pochodzić od jednego producenta i być dostarczane w oryginalnych opakowaniach producenta.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Termin przydatności odczynników: minimum 6 miesięcy od daty dostarczenia.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Termin przydatności krwinek wzorcowych: minimum 4 tygodnie od daty dostarczenia.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Wykonawca zapewni dostawy odczynników sukcesywnie przez cały okres trwania umowy, zgodnie z zamówieniami zamawiającego, przy jednoczesnym zapewnieniu dostaw w trybie pilnym wybranego przez zamawiającego asortymentu w ciągu 2 dni roboczych od momentu złożenia zamówienia.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Wykonawca zapewni dostawy odczynników i kart transportem monitorowanym pod względem temperatury </w:t>
              <w:br/>
              <w:t>2-8</w:t>
            </w:r>
            <w:r>
              <w:rPr>
                <w:rFonts w:cs="Arial" w:ascii="Arial" w:hAnsi="Arial"/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C - jeżeli dotyczy.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Wykonawca zaoferuje w ramach przedmiotu zamówienia zestaw do codziennej kontroli odczynników w ilości wystarczającej na pełną kontrolę wszystkich oferowanych odczynników do badań z zakresu immunologii transfuzjologicznej.</w:t>
            </w:r>
          </w:p>
        </w:tc>
      </w:tr>
      <w:tr>
        <w:trPr/>
        <w:tc>
          <w:tcPr>
            <w:tcW w:w="59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3.</w:t>
            </w: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Odczynniki i krwinki do wykonania</w:t>
            </w:r>
          </w:p>
          <w:p>
            <w:pPr>
              <w:pStyle w:val="Normal"/>
              <w:snapToGrid w:val="false"/>
              <w:spacing w:lineRule="auto" w:line="240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pełnej próby zgodności serologicznej między biorcą a dawcą (kontrola antygenów ABD u biorców i dawców, wykrywanie przeciwciał odpornościowych do krwinek czerwonych w PTA oraz właściwa próba krzyżowa w PTA)</w:t>
            </w:r>
          </w:p>
          <w:p>
            <w:pPr>
              <w:pStyle w:val="Normal"/>
              <w:snapToGrid w:val="false"/>
              <w:spacing w:lineRule="auto" w:lin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15000</w:t>
            </w:r>
            <w:r>
              <w:rPr>
                <w:rFonts w:cs="Arial" w:ascii="Arial" w:hAnsi="Arial"/>
                <w:sz w:val="16"/>
                <w:szCs w:val="16"/>
              </w:rPr>
              <w:t xml:space="preserve">  oznaczeń 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 xml:space="preserve">antygenów grupowych u biorcy ABO i RhD (DVI-) oraz 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badania przeglądowego w kierunku przeciwciał odpornościowych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w ramach zamówienia podstawowego</w:t>
            </w:r>
          </w:p>
          <w:p>
            <w:pPr>
              <w:pStyle w:val="Normal"/>
              <w:snapToGrid w:val="false"/>
              <w:spacing w:lineRule="auto" w:lin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napToGrid w:val="false"/>
              <w:spacing w:lineRule="auto" w:line="240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39000</w:t>
            </w:r>
            <w:r>
              <w:rPr>
                <w:rFonts w:cs="Arial" w:ascii="Arial" w:hAnsi="Arial"/>
                <w:sz w:val="16"/>
                <w:szCs w:val="16"/>
              </w:rPr>
              <w:t xml:space="preserve">  oznaczeń 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 xml:space="preserve">antygenów grupowych u dawcy ABO i RhD (DVI+) oraz 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właściwej próby krzyżowej między biorcą a dawcą w PTA. w ramach zamówienia podstawowego</w:t>
            </w:r>
          </w:p>
          <w:p>
            <w:pPr>
              <w:pStyle w:val="Normal"/>
              <w:snapToGrid w:val="false"/>
              <w:spacing w:lineRule="auto" w:line="240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5000</w:t>
            </w:r>
            <w:r>
              <w:rPr>
                <w:rFonts w:cs="Arial" w:ascii="Arial" w:hAnsi="Arial"/>
                <w:sz w:val="16"/>
                <w:szCs w:val="16"/>
              </w:rPr>
              <w:t xml:space="preserve">  oznaczeń 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 xml:space="preserve">antygenów grupowych u biorcy ABO i RhD (DVI-) oraz 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badania przeglądowego w kierunku przeciwciał odpornościowych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w ramach prawa opcji</w:t>
            </w:r>
          </w:p>
          <w:p>
            <w:pPr>
              <w:pStyle w:val="Normal"/>
              <w:snapToGrid w:val="false"/>
              <w:spacing w:lineRule="auto" w:lin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napToGrid w:val="false"/>
              <w:spacing w:lineRule="auto" w:line="240"/>
              <w:rPr/>
            </w:pPr>
            <w:r>
              <w:rPr>
                <w:rFonts w:cs="Arial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13000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 xml:space="preserve">  oznaczeń 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 xml:space="preserve">antygenów grupowych u dawcy ABO i RhD (DVI+) oraz 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właściwej próby krzyżowej między biorcą a dawcą w PTA. w ramach prawa opcji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2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2"/>
                <w:u w:val="none"/>
                <w:em w:val="none"/>
              </w:rPr>
              <w:t>Karty, odczynniki i krwinki do:</w:t>
            </w:r>
          </w:p>
          <w:p>
            <w:pPr>
              <w:pStyle w:val="Normal"/>
              <w:snapToGrid w:val="false"/>
              <w:spacing w:lineRule="auto" w:line="360"/>
              <w:rPr/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2"/>
                <w:u w:val="none"/>
                <w:em w:val="none"/>
              </w:rPr>
              <w:t>a) oznaczania antygenów grupowych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  <w:t xml:space="preserve"> u biorcy ABO i RhD (DVI-)</w:t>
            </w:r>
          </w:p>
          <w:p>
            <w:pPr>
              <w:pStyle w:val="Normal"/>
              <w:snapToGrid w:val="false"/>
              <w:spacing w:lineRule="auto" w:line="360"/>
              <w:rPr/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2"/>
                <w:u w:val="none"/>
                <w:em w:val="none"/>
              </w:rPr>
              <w:t>b) oznaczania antygenów grupowych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  <w:t xml:space="preserve"> u dawcy ABO i RhD (DVI+)</w:t>
            </w:r>
          </w:p>
          <w:p>
            <w:pPr>
              <w:pStyle w:val="Normal"/>
              <w:snapToGrid w:val="false"/>
              <w:spacing w:lineRule="auto" w:line="360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2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2"/>
                <w:u w:val="none"/>
                <w:em w:val="none"/>
              </w:rPr>
              <w:t>c) badania przeglądowego w kierunku przeciwciał odpornościowych</w:t>
            </w:r>
          </w:p>
          <w:p>
            <w:pPr>
              <w:pStyle w:val="Normal"/>
              <w:snapToGrid w:val="false"/>
              <w:spacing w:lineRule="auto" w:line="360"/>
              <w:rPr/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2"/>
                <w:u w:val="none"/>
                <w:em w:val="none"/>
              </w:rPr>
              <w:t>d) wykonania w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  <w:t>łaściwej próby krzyżowej między biorcą a dawcą w PTA.</w:t>
            </w:r>
          </w:p>
          <w:p>
            <w:pPr>
              <w:pStyle w:val="Normal"/>
              <w:snapToGrid w:val="false"/>
              <w:spacing w:lineRule="auto" w: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59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9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4.</w:t>
            </w: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2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2"/>
                <w:u w:val="none"/>
                <w:em w:val="none"/>
              </w:rPr>
              <w:t xml:space="preserve">Panel do identyfikacji przeciwciał odpornościowych 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39</w:t>
            </w:r>
            <w:r>
              <w:rPr>
                <w:rFonts w:cs="Arial" w:ascii="Arial" w:hAnsi="Arial"/>
                <w:sz w:val="16"/>
                <w:szCs w:val="16"/>
              </w:rPr>
              <w:t xml:space="preserve"> zestawów w ramach zamówienia podstawowego</w:t>
            </w:r>
          </w:p>
          <w:p>
            <w:pPr>
              <w:pStyle w:val="Normal"/>
              <w:snapToGrid w:val="false"/>
              <w:spacing w:lineRule="auto" w:line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napToGrid w:val="false"/>
              <w:spacing w:lineRule="auto" w:line="360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13 </w:t>
            </w:r>
            <w:r>
              <w:rPr>
                <w:rFonts w:cs="Arial" w:ascii="Arial" w:hAnsi="Arial"/>
                <w:sz w:val="16"/>
                <w:szCs w:val="16"/>
              </w:rPr>
              <w:t xml:space="preserve">zestawów  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w ramach prawa opcji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Zestaw zapewniający możliwość identyfikacji przeciwciał odpornościowych do krwinek czerwonych o swoistości: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>anty-RhD, anty-RhC, anty-Rhc, anty-RhE, anty-Rhe, anty-RhC</w:t>
            </w:r>
            <w:r>
              <w:rPr>
                <w:rFonts w:cs="Arial" w:ascii="Arial" w:hAnsi="Arial"/>
                <w:sz w:val="20"/>
                <w:szCs w:val="20"/>
                <w:vertAlign w:val="superscript"/>
              </w:rPr>
              <w:t>w</w:t>
            </w:r>
            <w:r>
              <w:rPr>
                <w:rFonts w:cs="Arial" w:ascii="Arial" w:hAnsi="Arial"/>
                <w:position w:val="0"/>
                <w:sz w:val="20"/>
                <w:sz w:val="20"/>
                <w:szCs w:val="20"/>
                <w:vertAlign w:val="baseline"/>
              </w:rPr>
              <w:t>, anty-K, anty-Kp</w:t>
            </w:r>
            <w:r>
              <w:rPr>
                <w:rFonts w:cs="Arial" w:ascii="Arial" w:hAnsi="Arial"/>
                <w:sz w:val="20"/>
                <w:szCs w:val="20"/>
                <w:vertAlign w:val="superscript"/>
              </w:rPr>
              <w:t>a</w:t>
            </w:r>
            <w:r>
              <w:rPr>
                <w:rFonts w:cs="Arial" w:ascii="Arial" w:hAnsi="Arial"/>
                <w:position w:val="0"/>
                <w:sz w:val="20"/>
                <w:sz w:val="20"/>
                <w:szCs w:val="20"/>
                <w:vertAlign w:val="baseline"/>
              </w:rPr>
              <w:t>,anty-Fy</w:t>
            </w:r>
            <w:r>
              <w:rPr>
                <w:rFonts w:cs="Arial" w:ascii="Arial" w:hAnsi="Arial"/>
                <w:sz w:val="20"/>
                <w:szCs w:val="20"/>
                <w:vertAlign w:val="superscript"/>
              </w:rPr>
              <w:t>a</w:t>
            </w:r>
            <w:r>
              <w:rPr>
                <w:rFonts w:cs="Arial" w:ascii="Arial" w:hAnsi="Arial"/>
                <w:position w:val="0"/>
                <w:sz w:val="20"/>
                <w:sz w:val="20"/>
                <w:szCs w:val="20"/>
                <w:vertAlign w:val="baseline"/>
              </w:rPr>
              <w:t>, anty-Fy</w:t>
            </w:r>
            <w:r>
              <w:rPr>
                <w:rFonts w:cs="Arial" w:ascii="Arial" w:hAnsi="Arial"/>
                <w:sz w:val="20"/>
                <w:szCs w:val="20"/>
                <w:vertAlign w:val="superscript"/>
              </w:rPr>
              <w:t>b</w:t>
            </w:r>
            <w:r>
              <w:rPr>
                <w:rFonts w:cs="Arial" w:ascii="Arial" w:hAnsi="Arial"/>
                <w:position w:val="0"/>
                <w:sz w:val="20"/>
                <w:sz w:val="20"/>
                <w:szCs w:val="20"/>
                <w:vertAlign w:val="baseline"/>
              </w:rPr>
              <w:t>, anty-Jk</w:t>
            </w:r>
            <w:r>
              <w:rPr>
                <w:rFonts w:cs="Arial" w:ascii="Arial" w:hAnsi="Arial"/>
                <w:sz w:val="20"/>
                <w:szCs w:val="20"/>
                <w:vertAlign w:val="superscript"/>
              </w:rPr>
              <w:t>a</w:t>
            </w:r>
            <w:r>
              <w:rPr>
                <w:rFonts w:cs="Arial" w:ascii="Arial" w:hAnsi="Arial"/>
                <w:position w:val="0"/>
                <w:sz w:val="20"/>
                <w:sz w:val="20"/>
                <w:szCs w:val="20"/>
                <w:vertAlign w:val="baseline"/>
              </w:rPr>
              <w:t>, anty-Jk</w:t>
            </w:r>
            <w:r>
              <w:rPr>
                <w:rFonts w:cs="Arial" w:ascii="Arial" w:hAnsi="Arial"/>
                <w:sz w:val="20"/>
                <w:szCs w:val="20"/>
                <w:vertAlign w:val="superscript"/>
              </w:rPr>
              <w:t>b</w:t>
            </w:r>
            <w:r>
              <w:rPr>
                <w:rFonts w:cs="Arial" w:ascii="Arial" w:hAnsi="Arial"/>
                <w:position w:val="0"/>
                <w:sz w:val="20"/>
                <w:sz w:val="20"/>
                <w:szCs w:val="20"/>
                <w:vertAlign w:val="baseline"/>
              </w:rPr>
              <w:t>, anty-M, anty-N, anty-S, anty-s, anty-Lua.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Arial" w:hAnsi="Arial" w:cs="Arial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cs="Arial" w:ascii="Arial" w:hAnsi="Arial"/>
                <w:position w:val="0"/>
                <w:sz w:val="20"/>
                <w:sz w:val="20"/>
                <w:szCs w:val="20"/>
                <w:vertAlign w:val="baseline"/>
              </w:rPr>
              <w:t>a) Zestaw składający się z minimum 10 rodzajów krwinek grupy O.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Arial" w:hAnsi="Arial" w:cs="Arial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cs="Arial" w:ascii="Arial" w:hAnsi="Arial"/>
                <w:position w:val="0"/>
                <w:sz w:val="20"/>
                <w:sz w:val="20"/>
                <w:szCs w:val="20"/>
                <w:vertAlign w:val="baseline"/>
              </w:rPr>
              <w:t>b) Zawierający krwinki grupy O z homozygotyczną ekspresją antygenów: Fya, Fyb, Jka, Jkb, M, S, s.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Arial" w:hAnsi="Arial" w:cs="Arial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cs="Arial" w:ascii="Arial" w:hAnsi="Arial"/>
                <w:position w:val="0"/>
                <w:sz w:val="20"/>
                <w:sz w:val="20"/>
                <w:szCs w:val="20"/>
                <w:vertAlign w:val="baseline"/>
              </w:rPr>
              <w:t>c) Data ważności zestawu minimum 4 tygodnie licząc od dnia dostawy.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left"/>
              <w:rPr>
                <w:rFonts w:ascii="Arial" w:hAnsi="Arial" w:cs="Arial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cs="Arial" w:ascii="Arial" w:hAnsi="Arial"/>
                <w:position w:val="0"/>
                <w:sz w:val="20"/>
                <w:sz w:val="20"/>
                <w:szCs w:val="20"/>
                <w:vertAlign w:val="baseline"/>
              </w:rPr>
              <w:t>d) Objętość pojedynczego rodzaju krwinek minimum 4ml.</w:t>
            </w:r>
          </w:p>
        </w:tc>
        <w:tc>
          <w:tcPr>
            <w:tcW w:w="59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9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5.</w:t>
            </w: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Karty do wykonania PTA z odczynnikiem monowalentnym anty</w:t>
              <w:noBreakHyphen/>
              <w:t>IgG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600</w:t>
            </w:r>
            <w:r>
              <w:rPr>
                <w:rFonts w:cs="Arial" w:ascii="Arial" w:hAnsi="Arial"/>
                <w:sz w:val="16"/>
                <w:szCs w:val="16"/>
              </w:rPr>
              <w:t xml:space="preserve"> oznaczeń w ramach zamówienia podstawowego</w:t>
            </w:r>
          </w:p>
          <w:p>
            <w:pPr>
              <w:pStyle w:val="Normal"/>
              <w:snapToGrid w:val="false"/>
              <w:spacing w:lineRule="auto" w:line="360"/>
              <w:rPr/>
            </w:pPr>
            <w:r>
              <w:rPr>
                <w:rFonts w:cs="Arial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200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 xml:space="preserve"> oznaczeń w ramach prawa opcji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59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9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6.</w:t>
            </w: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 xml:space="preserve">Karty do wykonania bezpośredniego testu antyglobulinowego z odczynnikiem anty-IgG oraz anty-C3d 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240</w:t>
            </w:r>
            <w:r>
              <w:rPr>
                <w:rFonts w:cs="Arial" w:ascii="Arial" w:hAnsi="Arial"/>
                <w:sz w:val="16"/>
                <w:szCs w:val="16"/>
              </w:rPr>
              <w:t xml:space="preserve"> oznaczeń w ramach zamówienia podstawowego</w:t>
            </w:r>
          </w:p>
          <w:p>
            <w:pPr>
              <w:pStyle w:val="Normal"/>
              <w:snapToGrid w:val="false"/>
              <w:spacing w:lineRule="auto" w:line="360"/>
              <w:rPr/>
            </w:pPr>
            <w:r>
              <w:rPr>
                <w:rFonts w:cs="Arial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80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 xml:space="preserve"> oznaczeń w ramach prawa opcji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Odczynniki anty-IgG oraz anty-C3d w osobnych kolumienkach</w:t>
            </w:r>
          </w:p>
        </w:tc>
        <w:tc>
          <w:tcPr>
            <w:tcW w:w="59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9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7.</w:t>
            </w: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Czynsz dzierżawny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36</w:t>
            </w:r>
            <w:r>
              <w:rPr>
                <w:rFonts w:cs="Arial" w:ascii="Arial" w:hAnsi="Arial"/>
                <w:sz w:val="16"/>
                <w:szCs w:val="16"/>
              </w:rPr>
              <w:t xml:space="preserve"> miesięcy w ramach zamówienia podstawowego</w:t>
            </w:r>
          </w:p>
          <w:p>
            <w:pPr>
              <w:pStyle w:val="Normal"/>
              <w:snapToGrid w:val="false"/>
              <w:spacing w:lineRule="auto" w:line="360"/>
              <w:rPr/>
            </w:pPr>
            <w:r>
              <w:rPr>
                <w:rFonts w:cs="Arial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 xml:space="preserve">12 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miesięcy w ramach prawa opcji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Analizator automatyczny do wykonywania badań immunohematologicznych.</w:t>
            </w:r>
          </w:p>
          <w:p>
            <w:pPr>
              <w:pStyle w:val="Normal"/>
              <w:snapToGrid w:val="false"/>
              <w:spacing w:lineRule="auto" w:line="24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lineRule="auto" w:line="24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System back-up.</w:t>
            </w:r>
          </w:p>
          <w:p>
            <w:pPr>
              <w:pStyle w:val="Normal"/>
              <w:snapToGrid w:val="false"/>
              <w:spacing w:lineRule="auto" w:line="24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Ręczny skaner kodów kreskowych (zgodny z ISBT 128).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Drukarkę laserową wraz z materiałami eksploatacyjnymi (tonery, bębny itp.).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Wirówka laboratoryjna (zakres obrotów: 90 ÷ 6 000 RPM)</w:t>
            </w:r>
          </w:p>
        </w:tc>
        <w:tc>
          <w:tcPr>
            <w:tcW w:w="5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Times New Roman" w:cs="Arial"/>
                <w:b w:val="false"/>
                <w:b w:val="false"/>
                <w:sz w:val="20"/>
                <w:szCs w:val="20"/>
                <w:highlight w:val="white"/>
                <w:lang w:eastAsia="pl-PL"/>
              </w:rPr>
            </w:pPr>
            <w:r>
              <w:rPr>
                <w:rFonts w:eastAsia="Times New Roman" w:cs="Arial" w:ascii="Arial" w:hAnsi="Arial"/>
                <w:b w:val="false"/>
                <w:sz w:val="20"/>
                <w:szCs w:val="20"/>
                <w:highlight w:val="white"/>
                <w:lang w:eastAsia="pl-PL"/>
              </w:rPr>
              <w:t>W ramach dzierżawy: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Arial" w:ascii="Arial" w:hAnsi="Arial"/>
                <w:b w:val="false"/>
                <w:sz w:val="20"/>
                <w:szCs w:val="20"/>
                <w:highlight w:val="white"/>
                <w:lang w:eastAsia="pl-PL"/>
              </w:rPr>
              <w:t xml:space="preserve">Wykonawca zapewni </w:t>
            </w:r>
            <w:bookmarkStart w:id="1" w:name="_Hlk1783381"/>
            <w:r>
              <w:rPr>
                <w:rFonts w:eastAsia="Times New Roman" w:cs="Arial" w:ascii="Arial" w:hAnsi="Arial"/>
                <w:b w:val="false"/>
                <w:bCs w:val="false"/>
                <w:sz w:val="20"/>
                <w:szCs w:val="20"/>
                <w:highlight w:val="white"/>
                <w:lang w:eastAsia="pl-PL"/>
              </w:rPr>
              <w:t>d</w:t>
            </w:r>
            <w:bookmarkEnd w:id="1"/>
            <w:r>
              <w:rPr>
                <w:rFonts w:eastAsia="Times New Roman" w:cs="Arial" w:ascii="Arial" w:hAnsi="Arial"/>
                <w:b w:val="false"/>
                <w:bCs w:val="false"/>
                <w:sz w:val="20"/>
                <w:szCs w:val="20"/>
                <w:highlight w:val="white"/>
                <w:lang w:eastAsia="pl-PL"/>
              </w:rPr>
              <w:t>ostępność serwisu 7 dni w tygodniu, także w dni wolne i świąteczne (pomoc merytoryczna i techniczna w języku polskim, przyjęcie zgłoszenia oraz jednoczesny zdalny serwis w postaci połączenia z analizatorem).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Arial" w:hAnsi="Arial" w:cs="Arial"/>
                <w:b w:val="false"/>
                <w:b w:val="false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 w:val="false"/>
                <w:sz w:val="20"/>
                <w:szCs w:val="20"/>
                <w:highlight w:val="white"/>
              </w:rPr>
              <w:t>Wykonawca zapewni przeglądy serwisowe dostarczonych urządzeń, zgodnie z zaleceniem producenta i po uprzednim uzgodnieniu terminu z użytkownikiem i bez dodatkowych kosztów zamawiającego.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Arial" w:hAnsi="Arial" w:cs="Arial"/>
                <w:b w:val="false"/>
                <w:b w:val="false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 w:val="false"/>
                <w:sz w:val="20"/>
                <w:szCs w:val="20"/>
                <w:highlight w:val="white"/>
              </w:rPr>
              <w:t>Wykonawca zapewni gwarancję na dostarczone urządzenia trwającą przez cały okres trwania umowy dzierżawy.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Arial" w:hAnsi="Arial" w:cs="Arial"/>
                <w:b w:val="false"/>
                <w:b w:val="false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 w:val="false"/>
                <w:sz w:val="20"/>
                <w:szCs w:val="20"/>
                <w:highlight w:val="white"/>
              </w:rPr>
              <w:t>Gwarancja obejmuje koszty napraw, wymiany podzespołów, okresowych przeglądów serwisowych oraz wszystkie części i akcesoria (również nie podane w ofercie).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Arial" w:hAnsi="Arial" w:cs="Arial"/>
                <w:b w:val="false"/>
                <w:b w:val="false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 w:val="false"/>
                <w:sz w:val="20"/>
                <w:szCs w:val="20"/>
                <w:highlight w:val="white"/>
              </w:rPr>
              <w:t>Wykonawca zobowiązuje się do usunięcia ewentualnej awarii dostarczonych urządzeń w czasie do 2 dni roboczych od zgłoszenia (telefonicznie, e-mailem lub faksem na numer/adres podany przez wykonawcę), a w przypadku konieczności sprowadzenia części z zagranicy do 7 dni roboczych od zgłoszenia.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Times New Roman" w:cs="Arial"/>
                <w:b w:val="false"/>
                <w:b w:val="false"/>
                <w:sz w:val="20"/>
                <w:szCs w:val="20"/>
                <w:highlight w:val="white"/>
                <w:lang w:eastAsia="pl-PL"/>
              </w:rPr>
            </w:pPr>
            <w:r>
              <w:rPr>
                <w:rFonts w:eastAsia="Times New Roman" w:cs="Arial" w:ascii="Arial" w:hAnsi="Arial"/>
                <w:b w:val="false"/>
                <w:sz w:val="20"/>
                <w:szCs w:val="20"/>
                <w:highlight w:val="white"/>
                <w:lang w:eastAsia="pl-PL"/>
              </w:rPr>
              <w:t>Wykonawca zapewni maksymalny czas podjęcia działań zmierzających do usunięcia awarii nie dłuższy niż 12 godzin od zgłoszenia (czas, od poniedziałku do piątku, w którym serwisant, po otrzymaniu zgłoszenia, stawi się w siedzibie końcowego użytkownika i przystąpi niezwłocznie do usunięcia usterek).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Wykonawca dostarczy ręczny skaner kodów kreskowych (zgodny z ISBT 128).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Wykonawca dostarczy drukarkę laserową wraz z materiałami eksploatacyjnymi (tonery, bębny itp.) do wydruku wyników dla całkowitej ilości oznaczeń będących przedmiotem postępowania.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Wykonawca dostarczy system oraz sprzęt umożliwiający pełen odczyt wyników badań.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Wykonawca dostarczy wirówkę laboratoryjną (zakres obrotów: 90 ÷ 6 000 RPM) wyposażoną w: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a) Wirnik horyzontalny 4 x 100ml 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b) 4 pojemniki 100ml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c) 4 wkładki redukcyjne (8xfi13,1mm) na probówki8x1,6÷7ml do systemów zamkniętych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d) 4 wkładki redukcyjne (5xfi17mm) na probówki 5x10ml Nalgene oraz 5x13/14 Sarstedt.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Wykonawca dostarczy wraz z urządzeniami odpowiednie instrukcje obsługi i konserwacji oraz metodyki wykonania odpowiednich badań w języku polskim.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Wykonawca dostarczy odczynniki konieczne do oznaczeń grup krwi, antygenów i wykrywania przeciwciał oraz pracy analizatora.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Wykonawca dostarczy drukarkę do kodów kreskowych wraz z materiałami eksploatacyjnymi umożliwiającymi wydruk etykiet dla całkowitej ilości próbek do badań będących przedmiotem postępowania.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Wykonawca zapewni zamawiającemu udział w zewnątrzlaboratoryjnej kontroli jakości potwierdzonej certyfikatem w zakresie podstawowym (4 razy w roku).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Wykonawca zapewni system back-up w postaci sprzętu i akcesoriów do wykonywania manualnych oznaczeń przez co najmniej 3 osoby jednocześnie.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Wykonawca, w ramach przedmiotu zamówienia, podłączy i uruchomi automatyczny analizator, wszelkie dodatkowe urządzenia oraz przeszkoli personel w zakresie obsługi urządzeń w siedzibie SP ZOZ MSWiA w Poznaniu.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Wykonawca zobowiązuje się zawrzeć w ofercie wszelkie odczynniki, krwinki wzorcowe oraz materiały eksploatacyjne konieczne do wykonania badań/oznaczeń i wydruku protokołów badań w ilościach będących przedmiotem zamówienia.</w:t>
            </w:r>
          </w:p>
        </w:tc>
      </w:tr>
    </w:tbl>
    <w:p>
      <w:pPr>
        <w:pStyle w:val="Normal"/>
        <w:ind w:left="5664" w:right="0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5664" w:right="0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5664" w:right="0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5664" w:right="0" w:hanging="0"/>
        <w:jc w:val="center"/>
        <w:rPr/>
      </w:pPr>
      <w:r>
        <w:rPr>
          <w:rFonts w:cs="Arial" w:ascii="Arial" w:hAnsi="Arial"/>
          <w:sz w:val="22"/>
          <w:szCs w:val="22"/>
        </w:rPr>
        <w:t>.....</w:t>
      </w:r>
      <w:r>
        <w:rPr>
          <w:rFonts w:cs="Arial" w:ascii="Arial" w:hAnsi="Arial"/>
        </w:rPr>
        <w:t>............</w:t>
      </w:r>
      <w:r>
        <w:rPr>
          <w:rFonts w:cs="Arial" w:ascii="Arial" w:hAnsi="Arial"/>
          <w:sz w:val="22"/>
          <w:szCs w:val="22"/>
        </w:rPr>
        <w:t>..............................................</w:t>
      </w:r>
    </w:p>
    <w:p>
      <w:pPr>
        <w:pStyle w:val="Normal"/>
        <w:ind w:left="5664" w:right="0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podpis i pieczątka wnioskodawcy</w:t>
      </w:r>
    </w:p>
    <w:sectPr>
      <w:footerReference w:type="default" r:id="rId2"/>
      <w:type w:val="nextPage"/>
      <w:pgSz w:orient="landscape" w:w="16838" w:h="11906"/>
      <w:pgMar w:left="1418" w:right="1418" w:header="0" w:top="851" w:footer="68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left="0"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8">
              <wp:simplePos x="0" y="0"/>
              <wp:positionH relativeFrom="page">
                <wp:posOffset>9791700</wp:posOffset>
              </wp:positionH>
              <wp:positionV relativeFrom="paragraph">
                <wp:posOffset>635</wp:posOffset>
              </wp:positionV>
              <wp:extent cx="63500" cy="138430"/>
              <wp:effectExtent l="0" t="0" r="0" b="0"/>
              <wp:wrapSquare wrapText="largest"/>
              <wp:docPr id="1" name="Ramka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00" cy="13843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Stopka"/>
                            <w:rPr/>
                          </w:pPr>
                          <w:r>
                            <w:rPr>
                              <w:rStyle w:val="Numerstron"/>
                              <w:rFonts w:cs="Arial" w:ascii="Arial" w:hAnsi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Numerstron"/>
                              <w:sz w:val="20"/>
                              <w:szCs w:val="20"/>
                              <w:rFonts w:cs="Arial" w:ascii="Arial" w:hAnsi="Arial"/>
                            </w:rPr>
                            <w:instrText> PAGE </w:instrText>
                          </w:r>
                          <w:r>
                            <w:rPr>
                              <w:rStyle w:val="Numerstron"/>
                              <w:sz w:val="20"/>
                              <w:szCs w:val="20"/>
                              <w:rFonts w:cs="Arial" w:ascii="Arial" w:hAnsi="Arial"/>
                            </w:rPr>
                            <w:fldChar w:fldCharType="separate"/>
                          </w:r>
                          <w:r>
                            <w:rPr>
                              <w:rStyle w:val="Numerstron"/>
                              <w:sz w:val="20"/>
                              <w:szCs w:val="20"/>
                              <w:rFonts w:cs="Arial" w:ascii="Arial" w:hAnsi="Arial"/>
                            </w:rPr>
                            <w:t>7</w:t>
                          </w:r>
                          <w:r>
                            <w:rPr>
                              <w:rStyle w:val="Numerstron"/>
                              <w:sz w:val="20"/>
                              <w:szCs w:val="20"/>
                              <w:rFonts w:cs="Arial" w:ascii="Arial" w:hAnsi="Arial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7620" tIns="7620" rIns="7620" bIns="76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pt;height:10.9pt;mso-wrap-distance-left:0pt;mso-wrap-distance-right:0pt;mso-wrap-distance-top:0pt;mso-wrap-distance-bottom:0pt;margin-top:0.05pt;mso-position-vertical-relative:text;margin-left:771pt;mso-position-horizontal-relative:page">
              <v:textbox inset="0.00833333333333333in,0.00833333333333333in,0.00833333333333333in,0.00833333333333333in">
                <w:txbxContent>
                  <w:p>
                    <w:pPr>
                      <w:pStyle w:val="Stopka"/>
                      <w:rPr/>
                    </w:pPr>
                    <w:r>
                      <w:rPr>
                        <w:rStyle w:val="Numerstron"/>
                        <w:rFonts w:cs="Arial" w:ascii="Arial" w:hAnsi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Numerstron"/>
                        <w:sz w:val="20"/>
                        <w:szCs w:val="20"/>
                        <w:rFonts w:cs="Arial" w:ascii="Arial" w:hAnsi="Arial"/>
                      </w:rPr>
                      <w:instrText> PAGE </w:instrText>
                    </w:r>
                    <w:r>
                      <w:rPr>
                        <w:rStyle w:val="Numerstron"/>
                        <w:sz w:val="20"/>
                        <w:szCs w:val="20"/>
                        <w:rFonts w:cs="Arial" w:ascii="Arial" w:hAnsi="Arial"/>
                      </w:rPr>
                      <w:fldChar w:fldCharType="separate"/>
                    </w:r>
                    <w:r>
                      <w:rPr>
                        <w:rStyle w:val="Numerstron"/>
                        <w:sz w:val="20"/>
                        <w:szCs w:val="20"/>
                        <w:rFonts w:cs="Arial" w:ascii="Arial" w:hAnsi="Arial"/>
                      </w:rPr>
                      <w:t>7</w:t>
                    </w:r>
                    <w:r>
                      <w:rPr>
                        <w:rStyle w:val="Numerstron"/>
                        <w:sz w:val="20"/>
                        <w:szCs w:val="20"/>
                        <w:rFonts w:cs="Arial" w:ascii="Arial" w:hAnsi="Arial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8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omylnaczcionkaakapitu1">
    <w:name w:val="Domyślna czcionka akapitu1"/>
    <w:qFormat/>
    <w:rPr/>
  </w:style>
  <w:style w:type="character" w:styleId="Numerstron">
    <w:name w:val="Numer stron"/>
    <w:basedOn w:val="Domylnaczcionkaakapitu1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  <w:suppressAutoHyphens w:val="true"/>
    </w:pPr>
    <w:rPr/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Akapitzlist">
    <w:name w:val="Akapit z listą"/>
    <w:basedOn w:val="Normal"/>
    <w:qFormat/>
    <w:pPr>
      <w:ind w:left="708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LibreOffice/6.1.4.2$Windows_x86 LibreOffice_project/9d0f32d1f0b509096fd65e0d4bec26ddd1938fd3</Application>
  <Pages>7</Pages>
  <Words>1757</Words>
  <Characters>11920</Characters>
  <CharactersWithSpaces>13547</CharactersWithSpaces>
  <Paragraphs>144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2020-08-26T09:43:06Z</dcterms:created>
  <dc:creator/>
  <dc:description/>
  <dc:language>pl-PL</dc:language>
  <cp:lastModifiedBy/>
  <dcterms:modified xsi:type="dcterms:W3CDTF">2020-08-26T09:43:52Z</dcterms:modified>
  <cp:revision>1</cp:revision>
  <dc:subject/>
  <dc:title/>
</cp:coreProperties>
</file>