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C42D5" w14:textId="0754AC67" w:rsidR="00565AB4" w:rsidRPr="009618D1" w:rsidRDefault="00434F5E" w:rsidP="00BD0840">
      <w:pPr>
        <w:spacing w:after="0" w:line="240" w:lineRule="auto"/>
        <w:jc w:val="center"/>
        <w:rPr>
          <w:rFonts w:ascii="Calibri" w:hAnsi="Calibri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A7314" wp14:editId="3CBEFF51">
                <wp:simplePos x="0" y="0"/>
                <wp:positionH relativeFrom="column">
                  <wp:posOffset>-638175</wp:posOffset>
                </wp:positionH>
                <wp:positionV relativeFrom="paragraph">
                  <wp:posOffset>-815340</wp:posOffset>
                </wp:positionV>
                <wp:extent cx="7105650" cy="1009650"/>
                <wp:effectExtent l="0" t="0" r="1905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C347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8" style="position:absolute;margin-left:-50.25pt;margin-top:-64.2pt;width:559.5pt;height:7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" adj="8806" strokecolor="#f93" strokeweight="1pt">
                <v:shadow color="#7f7f7f [1601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A621E" wp14:editId="27B9AF42">
                <wp:simplePos x="0" y="0"/>
                <wp:positionH relativeFrom="column">
                  <wp:posOffset>-642620</wp:posOffset>
                </wp:positionH>
                <wp:positionV relativeFrom="paragraph">
                  <wp:posOffset>-871220</wp:posOffset>
                </wp:positionV>
                <wp:extent cx="7105650" cy="1009650"/>
                <wp:effectExtent l="0" t="0" r="19050" b="1905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EDAAA" id="AutoShape 7" o:spid="_x0000_s1026" type="#_x0000_t38" style="position:absolute;margin-left:-50.6pt;margin-top:-68.6pt;width:559.5pt;height:7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" adj="8806" strokecolor="#666 [1936]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6855D" wp14:editId="7A69F4D1">
                <wp:simplePos x="0" y="0"/>
                <wp:positionH relativeFrom="column">
                  <wp:posOffset>-762000</wp:posOffset>
                </wp:positionH>
                <wp:positionV relativeFrom="paragraph">
                  <wp:posOffset>8782050</wp:posOffset>
                </wp:positionV>
                <wp:extent cx="7162800" cy="100965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9E26" id="AutoShape 7" o:spid="_x0000_s1026" type="#_x0000_t38" style="position:absolute;margin-left:-60pt;margin-top:691.5pt;width:564pt;height:7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" adj="8806" strokecolor="#f93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6537F" wp14:editId="37ED0985">
                <wp:simplePos x="0" y="0"/>
                <wp:positionH relativeFrom="column">
                  <wp:posOffset>-762000</wp:posOffset>
                </wp:positionH>
                <wp:positionV relativeFrom="paragraph">
                  <wp:posOffset>8724900</wp:posOffset>
                </wp:positionV>
                <wp:extent cx="7162800" cy="10096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EC57C" id="AutoShape 7" o:spid="_x0000_s1026" type="#_x0000_t38" style="position:absolute;margin-left:-60pt;margin-top:687pt;width:564pt;height:7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" adj="8806" strokecolor="#666 [1936]" strokeweight="1pt">
                <v:shadow color="#7f7f7f [1601]" opacity=".5" offset="1pt"/>
              </v:shape>
            </w:pict>
          </mc:Fallback>
        </mc:AlternateContent>
      </w:r>
      <w:bookmarkStart w:id="0" w:name="_Hlk123546381"/>
      <w:bookmarkStart w:id="1" w:name="_Hlk68845069"/>
      <w:bookmarkStart w:id="2" w:name="_Hlk68844912"/>
      <w:r w:rsidR="00565AB4">
        <w:rPr>
          <w:rFonts w:ascii="Calibri" w:hAnsi="Calibri"/>
          <w:b/>
          <w:bCs/>
          <w:u w:val="single"/>
        </w:rPr>
        <w:t xml:space="preserve">Wyjaśnienia i </w:t>
      </w:r>
      <w:r w:rsidR="00565AB4" w:rsidRPr="009618D1">
        <w:rPr>
          <w:rFonts w:ascii="Calibri" w:hAnsi="Calibri"/>
          <w:b/>
          <w:bCs/>
          <w:u w:val="single"/>
        </w:rPr>
        <w:t xml:space="preserve">ZMIANA Nr </w:t>
      </w:r>
      <w:r w:rsidR="00565AB4">
        <w:rPr>
          <w:rFonts w:ascii="Calibri" w:hAnsi="Calibri"/>
          <w:b/>
          <w:bCs/>
          <w:u w:val="single"/>
        </w:rPr>
        <w:t xml:space="preserve">1 </w:t>
      </w:r>
      <w:r w:rsidR="00565AB4" w:rsidRPr="009618D1">
        <w:rPr>
          <w:rFonts w:ascii="Calibri" w:hAnsi="Calibri"/>
          <w:b/>
          <w:bCs/>
          <w:u w:val="single"/>
        </w:rPr>
        <w:t>treści SWZ</w:t>
      </w:r>
      <w:bookmarkEnd w:id="2"/>
    </w:p>
    <w:p w14:paraId="01833FE7" w14:textId="1A405D14" w:rsidR="00565AB4" w:rsidRDefault="00565AB4" w:rsidP="00565AB4">
      <w:pPr>
        <w:spacing w:after="0" w:line="240" w:lineRule="auto"/>
        <w:ind w:left="-426" w:right="-428"/>
        <w:jc w:val="center"/>
        <w:rPr>
          <w:rFonts w:ascii="Calibri" w:hAnsi="Calibri"/>
          <w:b/>
          <w:iCs/>
        </w:rPr>
      </w:pPr>
      <w:r w:rsidRPr="009618D1">
        <w:rPr>
          <w:rFonts w:ascii="Calibri" w:hAnsi="Calibri"/>
          <w:u w:val="single"/>
        </w:rPr>
        <w:t>udostępnion</w:t>
      </w:r>
      <w:r>
        <w:rPr>
          <w:rFonts w:ascii="Calibri" w:hAnsi="Calibri"/>
          <w:u w:val="single"/>
        </w:rPr>
        <w:t>e</w:t>
      </w:r>
      <w:r w:rsidRPr="009618D1">
        <w:rPr>
          <w:rFonts w:ascii="Calibri" w:hAnsi="Calibri"/>
          <w:u w:val="single"/>
        </w:rPr>
        <w:t xml:space="preserve"> na</w:t>
      </w:r>
      <w:r>
        <w:rPr>
          <w:rFonts w:ascii="Calibri" w:hAnsi="Calibri"/>
          <w:u w:val="single"/>
        </w:rPr>
        <w:t xml:space="preserve"> </w:t>
      </w:r>
      <w:r w:rsidRPr="009618D1">
        <w:rPr>
          <w:rFonts w:ascii="Calibri" w:hAnsi="Calibri"/>
          <w:u w:val="single"/>
        </w:rPr>
        <w:t xml:space="preserve">stronie internetowej prowadzonego postępowania, </w:t>
      </w:r>
      <w:r>
        <w:rPr>
          <w:rFonts w:ascii="Calibri" w:hAnsi="Calibri"/>
          <w:u w:val="single"/>
        </w:rPr>
        <w:br/>
      </w:r>
      <w:r w:rsidRPr="00E973BA">
        <w:rPr>
          <w:rFonts w:ascii="Calibri" w:hAnsi="Calibri"/>
          <w:u w:val="single"/>
        </w:rPr>
        <w:t>zgodnie z art.135 ust. 6 i art. 137 ust.2 ustawy</w:t>
      </w:r>
      <w:r w:rsidRPr="0005575B">
        <w:rPr>
          <w:rFonts w:ascii="Calibri" w:hAnsi="Calibri"/>
          <w:u w:val="single"/>
        </w:rPr>
        <w:t xml:space="preserve"> z dnia 11 września 2019 r. Prawo zamówień publicznych </w:t>
      </w:r>
    </w:p>
    <w:p w14:paraId="7A169D82" w14:textId="4A06CA14" w:rsidR="004426A2" w:rsidRPr="009618D1" w:rsidRDefault="004426A2" w:rsidP="00565AB4">
      <w:pPr>
        <w:spacing w:before="120" w:after="0" w:line="240" w:lineRule="auto"/>
        <w:ind w:left="-425" w:right="-425"/>
        <w:jc w:val="center"/>
        <w:rPr>
          <w:rFonts w:ascii="Calibri" w:hAnsi="Calibri"/>
          <w:b/>
          <w:iCs/>
        </w:rPr>
      </w:pPr>
      <w:r w:rsidRPr="00E973BA">
        <w:rPr>
          <w:rFonts w:ascii="Calibri" w:hAnsi="Calibri"/>
          <w:b/>
          <w:iCs/>
        </w:rPr>
        <w:t xml:space="preserve">w dniu </w:t>
      </w:r>
      <w:r w:rsidR="00D0794B">
        <w:rPr>
          <w:rFonts w:ascii="Calibri" w:hAnsi="Calibri"/>
          <w:b/>
          <w:iCs/>
        </w:rPr>
        <w:t>18</w:t>
      </w:r>
      <w:r w:rsidRPr="00E973BA">
        <w:rPr>
          <w:rFonts w:ascii="Calibri" w:hAnsi="Calibri"/>
          <w:b/>
          <w:iCs/>
        </w:rPr>
        <w:t>.</w:t>
      </w:r>
      <w:r w:rsidR="00D0794B">
        <w:rPr>
          <w:rFonts w:ascii="Calibri" w:hAnsi="Calibri"/>
          <w:b/>
          <w:iCs/>
        </w:rPr>
        <w:t>1</w:t>
      </w:r>
      <w:r w:rsidRPr="00E973BA">
        <w:rPr>
          <w:rFonts w:ascii="Calibri" w:hAnsi="Calibri"/>
          <w:b/>
          <w:iCs/>
        </w:rPr>
        <w:t>1.202</w:t>
      </w:r>
      <w:r w:rsidR="00D0794B">
        <w:rPr>
          <w:rFonts w:ascii="Calibri" w:hAnsi="Calibri"/>
          <w:b/>
          <w:iCs/>
        </w:rPr>
        <w:t>4</w:t>
      </w:r>
      <w:r w:rsidRPr="00E973BA">
        <w:rPr>
          <w:rFonts w:ascii="Calibri" w:hAnsi="Calibri"/>
          <w:b/>
          <w:iCs/>
        </w:rPr>
        <w:t xml:space="preserve"> r.</w:t>
      </w:r>
    </w:p>
    <w:bookmarkEnd w:id="1"/>
    <w:p w14:paraId="50A58614" w14:textId="77777777" w:rsidR="004426A2" w:rsidRDefault="004426A2" w:rsidP="004426A2">
      <w:pPr>
        <w:spacing w:after="0" w:line="240" w:lineRule="auto"/>
        <w:ind w:hanging="22"/>
        <w:jc w:val="center"/>
        <w:rPr>
          <w:rFonts w:cstheme="minorHAnsi"/>
          <w:bCs/>
          <w:iCs/>
        </w:rPr>
      </w:pPr>
    </w:p>
    <w:p w14:paraId="48B0B6B5" w14:textId="77EF0866" w:rsidR="004426A2" w:rsidRPr="00565AB4" w:rsidRDefault="004426A2" w:rsidP="004426A2">
      <w:pPr>
        <w:tabs>
          <w:tab w:val="left" w:pos="851"/>
        </w:tabs>
        <w:spacing w:after="0" w:line="240" w:lineRule="auto"/>
        <w:ind w:left="851" w:hanging="851"/>
        <w:jc w:val="both"/>
        <w:rPr>
          <w:rFonts w:cstheme="minorHAnsi"/>
          <w:iCs/>
          <w:spacing w:val="-2"/>
        </w:rPr>
      </w:pPr>
      <w:r w:rsidRPr="000A3487">
        <w:rPr>
          <w:rFonts w:cstheme="minorHAnsi"/>
          <w:iCs/>
        </w:rPr>
        <w:t>Dotyczy:</w:t>
      </w:r>
      <w:r w:rsidRPr="000A3487">
        <w:rPr>
          <w:rFonts w:cstheme="minorHAnsi"/>
          <w:iCs/>
        </w:rPr>
        <w:tab/>
        <w:t xml:space="preserve">postępowania o udzielenie zamówienia publicznego prowadzonego w trybie przetargu nieograniczonego pn.: </w:t>
      </w:r>
      <w:r w:rsidRPr="004D4002">
        <w:rPr>
          <w:rFonts w:cstheme="minorHAnsi"/>
          <w:iCs/>
        </w:rPr>
        <w:t>„</w:t>
      </w:r>
      <w:r w:rsidRPr="004D4002">
        <w:rPr>
          <w:rFonts w:cstheme="minorHAnsi"/>
          <w:b/>
          <w:iCs/>
        </w:rPr>
        <w:t xml:space="preserve">Usługa utrzymania w stałej sprawności (ciągłej pracy) urządzeń </w:t>
      </w:r>
      <w:r w:rsidRPr="00565AB4">
        <w:rPr>
          <w:rFonts w:cstheme="minorHAnsi"/>
          <w:b/>
          <w:iCs/>
          <w:spacing w:val="-2"/>
        </w:rPr>
        <w:t>działających w ramach systemu ITS w Bydgoszczy w 202</w:t>
      </w:r>
      <w:r w:rsidR="00D0794B" w:rsidRPr="00565AB4">
        <w:rPr>
          <w:rFonts w:cstheme="minorHAnsi"/>
          <w:b/>
          <w:iCs/>
          <w:spacing w:val="-2"/>
        </w:rPr>
        <w:t>5</w:t>
      </w:r>
      <w:r w:rsidRPr="00565AB4">
        <w:rPr>
          <w:rFonts w:cstheme="minorHAnsi"/>
          <w:b/>
          <w:iCs/>
          <w:spacing w:val="-2"/>
        </w:rPr>
        <w:t xml:space="preserve"> roku</w:t>
      </w:r>
      <w:r w:rsidRPr="00565AB4">
        <w:rPr>
          <w:rFonts w:cstheme="minorHAnsi"/>
          <w:b/>
          <w:bCs/>
          <w:iCs/>
          <w:spacing w:val="-2"/>
        </w:rPr>
        <w:t xml:space="preserve">”, </w:t>
      </w:r>
      <w:r w:rsidRPr="00565AB4">
        <w:rPr>
          <w:rFonts w:cstheme="minorHAnsi"/>
          <w:iCs/>
          <w:spacing w:val="-2"/>
        </w:rPr>
        <w:t xml:space="preserve">Nr sprawy </w:t>
      </w:r>
      <w:r w:rsidR="00D0794B" w:rsidRPr="00565AB4">
        <w:rPr>
          <w:rFonts w:cstheme="minorHAnsi"/>
          <w:b/>
          <w:iCs/>
          <w:spacing w:val="-2"/>
        </w:rPr>
        <w:t>NZ.2531.51.2024</w:t>
      </w:r>
      <w:r w:rsidRPr="00565AB4">
        <w:rPr>
          <w:rFonts w:cstheme="minorHAnsi"/>
          <w:b/>
          <w:iCs/>
          <w:spacing w:val="-2"/>
        </w:rPr>
        <w:t>.</w:t>
      </w:r>
    </w:p>
    <w:p w14:paraId="30F6CD61" w14:textId="77777777" w:rsidR="00CC3243" w:rsidRDefault="00CC3243" w:rsidP="004426A2">
      <w:pPr>
        <w:tabs>
          <w:tab w:val="left" w:pos="851"/>
        </w:tabs>
        <w:spacing w:after="0" w:line="240" w:lineRule="auto"/>
        <w:ind w:left="851" w:hanging="851"/>
        <w:jc w:val="both"/>
        <w:rPr>
          <w:rFonts w:cstheme="minorHAnsi"/>
          <w:b/>
          <w:bCs/>
          <w:iCs/>
        </w:rPr>
      </w:pPr>
    </w:p>
    <w:p w14:paraId="4406EE27" w14:textId="28223BF9" w:rsidR="004426A2" w:rsidRPr="00E973BA" w:rsidRDefault="004426A2" w:rsidP="004426A2">
      <w:pPr>
        <w:pStyle w:val="Akapitzlist"/>
        <w:numPr>
          <w:ilvl w:val="0"/>
          <w:numId w:val="2"/>
        </w:numPr>
        <w:tabs>
          <w:tab w:val="left" w:pos="426"/>
        </w:tabs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E973BA">
        <w:rPr>
          <w:rFonts w:ascii="Calibri" w:hAnsi="Calibri" w:cs="Arial"/>
          <w:sz w:val="22"/>
          <w:szCs w:val="22"/>
        </w:rPr>
        <w:t xml:space="preserve">Zgodnie z art. 135 ust. 1 i 2 </w:t>
      </w:r>
      <w:proofErr w:type="spellStart"/>
      <w:r w:rsidRPr="00E973BA">
        <w:rPr>
          <w:rFonts w:ascii="Calibri" w:hAnsi="Calibri" w:cs="Arial"/>
          <w:sz w:val="22"/>
          <w:szCs w:val="22"/>
        </w:rPr>
        <w:t>Pzp</w:t>
      </w:r>
      <w:proofErr w:type="spellEnd"/>
      <w:r w:rsidRPr="00E973BA">
        <w:rPr>
          <w:rFonts w:ascii="Calibri" w:hAnsi="Calibri" w:cs="Arial"/>
          <w:sz w:val="22"/>
          <w:szCs w:val="22"/>
        </w:rPr>
        <w:t>, Wykonawcy zwrócili się do Zamawiającego o wyjaśnienie treści SWZ</w:t>
      </w:r>
      <w:r w:rsidRPr="00E973BA">
        <w:rPr>
          <w:rFonts w:ascii="Calibri" w:hAnsi="Calibri" w:cs="Arial"/>
          <w:spacing w:val="-2"/>
          <w:sz w:val="22"/>
          <w:szCs w:val="22"/>
        </w:rPr>
        <w:t xml:space="preserve"> a </w:t>
      </w:r>
      <w:r w:rsidRPr="00E973BA">
        <w:rPr>
          <w:rFonts w:ascii="Calibri" w:hAnsi="Calibri"/>
          <w:spacing w:val="-2"/>
          <w:sz w:val="22"/>
          <w:szCs w:val="22"/>
        </w:rPr>
        <w:t xml:space="preserve">Zamawiający </w:t>
      </w:r>
      <w:r w:rsidRPr="00E973BA">
        <w:rPr>
          <w:rFonts w:ascii="Calibri" w:hAnsi="Calibri"/>
          <w:bCs/>
          <w:spacing w:val="-2"/>
          <w:sz w:val="22"/>
          <w:szCs w:val="22"/>
        </w:rPr>
        <w:t>udziela następujących wyjaśnień</w:t>
      </w:r>
      <w:r w:rsidRPr="00E973BA">
        <w:rPr>
          <w:rFonts w:ascii="Calibri" w:hAnsi="Calibri" w:cs="Arial"/>
          <w:sz w:val="22"/>
          <w:szCs w:val="22"/>
        </w:rPr>
        <w:t>:</w:t>
      </w:r>
    </w:p>
    <w:p w14:paraId="2F0DFD43" w14:textId="77777777" w:rsidR="00BD0840" w:rsidRPr="00BD0840" w:rsidRDefault="00BD0840" w:rsidP="00BD0840">
      <w:pPr>
        <w:spacing w:before="120" w:after="120" w:line="240" w:lineRule="auto"/>
        <w:ind w:left="426"/>
        <w:jc w:val="both"/>
        <w:rPr>
          <w:rFonts w:cstheme="minorHAnsi"/>
          <w:bCs/>
          <w:color w:val="0000CC"/>
          <w:highlight w:val="yellow"/>
        </w:rPr>
      </w:pPr>
      <w:bookmarkStart w:id="3" w:name="_Hlk78289334"/>
      <w:r w:rsidRPr="00BD0840">
        <w:rPr>
          <w:rFonts w:cstheme="minorHAnsi"/>
          <w:bCs/>
          <w:color w:val="0000CC"/>
          <w:highlight w:val="yellow"/>
        </w:rPr>
        <w:t>Uwaga: Tłem koloru żółtego zaznaczono treść wyjaśnień Zamawiającego, które wpłynęły na zmianę treści SWZ wraz z załącznikami.</w:t>
      </w:r>
    </w:p>
    <w:p w14:paraId="58EB1D4B" w14:textId="7BED2204" w:rsidR="004426A2" w:rsidRDefault="004426A2" w:rsidP="00565AB4">
      <w:pPr>
        <w:tabs>
          <w:tab w:val="left" w:pos="284"/>
        </w:tabs>
        <w:spacing w:before="120" w:after="120" w:line="240" w:lineRule="auto"/>
        <w:rPr>
          <w:rFonts w:ascii="Calibri" w:hAnsi="Calibri"/>
          <w:b/>
          <w:color w:val="FF0000"/>
        </w:rPr>
      </w:pPr>
      <w:r w:rsidRPr="00E941AA">
        <w:rPr>
          <w:rFonts w:ascii="Calibri" w:hAnsi="Calibri"/>
          <w:b/>
          <w:color w:val="FF0000"/>
        </w:rPr>
        <w:t xml:space="preserve">Pytania – zestaw </w:t>
      </w:r>
      <w:r>
        <w:rPr>
          <w:rFonts w:ascii="Calibri" w:hAnsi="Calibri"/>
          <w:b/>
          <w:color w:val="FF0000"/>
        </w:rPr>
        <w:t>1</w:t>
      </w:r>
      <w:r w:rsidRPr="00E941AA">
        <w:rPr>
          <w:rFonts w:ascii="Calibri" w:hAnsi="Calibri"/>
          <w:b/>
          <w:color w:val="FF0000"/>
        </w:rPr>
        <w:t xml:space="preserve"> z dnia </w:t>
      </w:r>
      <w:r w:rsidR="00565AB4">
        <w:rPr>
          <w:rFonts w:ascii="Calibri" w:hAnsi="Calibri"/>
          <w:b/>
          <w:color w:val="FF0000"/>
        </w:rPr>
        <w:t>12</w:t>
      </w:r>
      <w:r w:rsidRPr="00E941AA">
        <w:rPr>
          <w:rFonts w:ascii="Calibri" w:hAnsi="Calibri"/>
          <w:b/>
          <w:color w:val="FF0000"/>
        </w:rPr>
        <w:t>.</w:t>
      </w:r>
      <w:r>
        <w:rPr>
          <w:rFonts w:ascii="Calibri" w:hAnsi="Calibri"/>
          <w:b/>
          <w:color w:val="FF0000"/>
        </w:rPr>
        <w:t>1</w:t>
      </w:r>
      <w:r w:rsidR="00565AB4">
        <w:rPr>
          <w:rFonts w:ascii="Calibri" w:hAnsi="Calibri"/>
          <w:b/>
          <w:color w:val="FF0000"/>
        </w:rPr>
        <w:t>1</w:t>
      </w:r>
      <w:r w:rsidRPr="00E941AA">
        <w:rPr>
          <w:rFonts w:ascii="Calibri" w:hAnsi="Calibri"/>
          <w:b/>
          <w:color w:val="FF0000"/>
        </w:rPr>
        <w:t>.202</w:t>
      </w:r>
      <w:r w:rsidR="00565AB4">
        <w:rPr>
          <w:rFonts w:ascii="Calibri" w:hAnsi="Calibri"/>
          <w:b/>
          <w:color w:val="FF0000"/>
        </w:rPr>
        <w:t>4</w:t>
      </w:r>
      <w:r w:rsidRPr="00E941AA">
        <w:rPr>
          <w:rFonts w:ascii="Calibri" w:hAnsi="Calibri"/>
          <w:b/>
          <w:color w:val="FF0000"/>
        </w:rPr>
        <w:t xml:space="preserve"> r.</w:t>
      </w:r>
    </w:p>
    <w:p w14:paraId="4ECF98E4" w14:textId="6DBEB787" w:rsidR="004426A2" w:rsidRPr="00DB650F" w:rsidRDefault="004426A2" w:rsidP="004426A2">
      <w:pPr>
        <w:spacing w:before="120" w:after="0" w:line="240" w:lineRule="auto"/>
        <w:ind w:left="425" w:hanging="425"/>
        <w:jc w:val="both"/>
        <w:rPr>
          <w:rFonts w:cstheme="minorHAnsi"/>
        </w:rPr>
      </w:pPr>
      <w:r w:rsidRPr="00884A37">
        <w:rPr>
          <w:rFonts w:cstheme="minorHAnsi"/>
        </w:rPr>
        <w:t>1.</w:t>
      </w:r>
      <w:r>
        <w:rPr>
          <w:rFonts w:cstheme="minorHAnsi"/>
        </w:rPr>
        <w:tab/>
      </w:r>
      <w:r w:rsidR="00D0794B" w:rsidRPr="00D0794B">
        <w:rPr>
          <w:rFonts w:cstheme="minorHAnsi"/>
        </w:rPr>
        <w:t>Dot. Wzór umowy</w:t>
      </w:r>
    </w:p>
    <w:p w14:paraId="081715F0" w14:textId="77777777" w:rsidR="00D0794B" w:rsidRPr="00D0794B" w:rsidRDefault="00D0794B" w:rsidP="00D079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0794B">
        <w:rPr>
          <w:rFonts w:cstheme="minorHAnsi"/>
        </w:rPr>
        <w:t xml:space="preserve">§ 16. RĘKOJMIA WYKONAWCY, GWARANCJA </w:t>
      </w:r>
    </w:p>
    <w:p w14:paraId="78B147D7" w14:textId="77777777" w:rsidR="00D0794B" w:rsidRPr="00D0794B" w:rsidRDefault="00D0794B" w:rsidP="00D079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0794B">
        <w:rPr>
          <w:rFonts w:cstheme="minorHAnsi"/>
        </w:rPr>
        <w:t xml:space="preserve">1. Wykonawca ponosi wobec Zamawiającego odpowiedzialność z tytułu rękojmi za wady fizyczne przedmiotu Umowy na zasadach określonych w Kodeksie cywilnym. Okres rękojmi wynosi 5 lat licząc od daty zakończenia Umowy. </w:t>
      </w:r>
    </w:p>
    <w:p w14:paraId="376BCE1B" w14:textId="441DF106" w:rsidR="00D0794B" w:rsidRDefault="00D0794B" w:rsidP="00D079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0794B">
        <w:rPr>
          <w:rFonts w:cstheme="minorHAnsi"/>
        </w:rPr>
        <w:t>Zwracamy się z prośbą o ustalenie rękojmi na okres 24 miesięcy co będzie miało korzystny wpływ na finalną cenę oferty.</w:t>
      </w:r>
    </w:p>
    <w:p w14:paraId="52D07890" w14:textId="77777777" w:rsidR="004426A2" w:rsidRPr="0077239F" w:rsidRDefault="004426A2" w:rsidP="004426A2">
      <w:pPr>
        <w:pStyle w:val="Akapitzlist"/>
        <w:ind w:left="0"/>
        <w:jc w:val="both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77239F">
        <w:rPr>
          <w:rFonts w:asciiTheme="minorHAnsi" w:hAnsiTheme="minorHAnsi" w:cstheme="minorHAnsi"/>
          <w:b/>
          <w:color w:val="0000CC"/>
          <w:sz w:val="22"/>
          <w:szCs w:val="22"/>
        </w:rPr>
        <w:t>Wyjaśnienia Zamawiającego:</w:t>
      </w:r>
    </w:p>
    <w:p w14:paraId="0F6A800A" w14:textId="77777777" w:rsidR="00D0794B" w:rsidRPr="00D0794B" w:rsidRDefault="00D0794B" w:rsidP="00D0794B">
      <w:pPr>
        <w:spacing w:after="0" w:line="240" w:lineRule="auto"/>
        <w:jc w:val="both"/>
        <w:rPr>
          <w:rFonts w:cstheme="minorHAnsi"/>
          <w:bCs/>
          <w:color w:val="0000CC"/>
        </w:rPr>
      </w:pPr>
      <w:r w:rsidRPr="00D0794B">
        <w:rPr>
          <w:rFonts w:cstheme="minorHAnsi"/>
          <w:bCs/>
          <w:color w:val="0000CC"/>
          <w:highlight w:val="yellow"/>
        </w:rPr>
        <w:t>Zamawiający uwzględni wniosek Wykonawcy i ustali rękojmię na okres 24 miesięcy.</w:t>
      </w:r>
    </w:p>
    <w:p w14:paraId="0BBE3A5B" w14:textId="1665D569" w:rsidR="004426A2" w:rsidRPr="00DB650F" w:rsidRDefault="004426A2" w:rsidP="004426A2">
      <w:pPr>
        <w:spacing w:before="120"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2</w:t>
      </w:r>
      <w:r w:rsidRPr="00884A37">
        <w:rPr>
          <w:rFonts w:cstheme="minorHAnsi"/>
        </w:rPr>
        <w:t>.</w:t>
      </w:r>
      <w:r>
        <w:rPr>
          <w:rFonts w:cstheme="minorHAnsi"/>
        </w:rPr>
        <w:tab/>
      </w:r>
      <w:r w:rsidR="00D0794B" w:rsidRPr="00D0794B">
        <w:rPr>
          <w:rFonts w:cstheme="minorHAnsi"/>
        </w:rPr>
        <w:t>Dot. Wzór umowy</w:t>
      </w:r>
    </w:p>
    <w:p w14:paraId="38F7AB61" w14:textId="77777777" w:rsidR="00D0794B" w:rsidRPr="00D0794B" w:rsidRDefault="00D0794B" w:rsidP="00D079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0794B">
        <w:rPr>
          <w:rFonts w:cstheme="minorHAnsi"/>
        </w:rPr>
        <w:t xml:space="preserve">§ 18. KARY UMOWNE i ODPOWIEDZIALNOŚĆ ODSZKODOWAWCZA. </w:t>
      </w:r>
    </w:p>
    <w:p w14:paraId="10768454" w14:textId="77777777" w:rsidR="00D0794B" w:rsidRPr="00D0794B" w:rsidRDefault="00D0794B" w:rsidP="00D079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0794B">
        <w:rPr>
          <w:rFonts w:cstheme="minorHAnsi"/>
        </w:rPr>
        <w:t xml:space="preserve">10) za odstąpienie od Umowy przez Wykonawcę z przyczyn niezależnych od Zamawiającego oraz przez Zamawiającego z przyczyn zależnych od Wykonawcy określonych w § 17 niniejszej Umowy - w wysokości 20% wynagrodzenia Wykonawcy brutto, o którym mowa w § 3 ust. 1 Umowy. </w:t>
      </w:r>
    </w:p>
    <w:p w14:paraId="50D0BE8A" w14:textId="2DBF470F" w:rsidR="00D0794B" w:rsidRDefault="00D0794B" w:rsidP="00D079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0794B">
        <w:rPr>
          <w:rFonts w:cstheme="minorHAnsi"/>
        </w:rPr>
        <w:t>Zwracamy się z uprzejmą prośbą o pozostawienie kary na dotychczasowym poziomie 10%</w:t>
      </w:r>
    </w:p>
    <w:p w14:paraId="5C80D5AB" w14:textId="77777777" w:rsidR="004426A2" w:rsidRPr="0077239F" w:rsidRDefault="004426A2" w:rsidP="004426A2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77239F">
        <w:rPr>
          <w:rFonts w:asciiTheme="minorHAnsi" w:hAnsiTheme="minorHAnsi" w:cstheme="minorHAnsi"/>
          <w:b/>
          <w:color w:val="0000CC"/>
          <w:sz w:val="22"/>
          <w:szCs w:val="22"/>
        </w:rPr>
        <w:t>Wyjaśnienia Zamawiającego:</w:t>
      </w:r>
    </w:p>
    <w:p w14:paraId="3C1DB8B2" w14:textId="77777777" w:rsidR="009E2BC6" w:rsidRPr="009E2BC6" w:rsidRDefault="009E2BC6" w:rsidP="009E2BC6">
      <w:pPr>
        <w:spacing w:after="0" w:line="240" w:lineRule="auto"/>
        <w:jc w:val="both"/>
        <w:rPr>
          <w:rFonts w:cstheme="minorHAnsi"/>
          <w:bCs/>
          <w:color w:val="0000CC"/>
        </w:rPr>
      </w:pPr>
      <w:r w:rsidRPr="009E2BC6">
        <w:rPr>
          <w:rFonts w:cstheme="minorHAnsi"/>
          <w:bCs/>
          <w:color w:val="0000CC"/>
          <w:highlight w:val="yellow"/>
        </w:rPr>
        <w:t>Zamawiający uwzględni wniosek Wykonawcy i ustali karę umowną w wysokości 10% wynagrodzenia Wykonawcy brutto.</w:t>
      </w:r>
    </w:p>
    <w:p w14:paraId="588F7545" w14:textId="573B0A9E" w:rsidR="004426A2" w:rsidRPr="00DB650F" w:rsidRDefault="004426A2" w:rsidP="004426A2">
      <w:pPr>
        <w:spacing w:before="120"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3</w:t>
      </w:r>
      <w:r w:rsidRPr="00884A37">
        <w:rPr>
          <w:rFonts w:cstheme="minorHAnsi"/>
        </w:rPr>
        <w:t>.</w:t>
      </w:r>
      <w:r>
        <w:rPr>
          <w:rFonts w:cstheme="minorHAnsi"/>
        </w:rPr>
        <w:tab/>
      </w:r>
      <w:r w:rsidR="009E2BC6" w:rsidRPr="009E2BC6">
        <w:rPr>
          <w:rFonts w:cstheme="minorHAnsi"/>
        </w:rPr>
        <w:t>Dot. Wzór umowy</w:t>
      </w:r>
    </w:p>
    <w:p w14:paraId="3FF5A505" w14:textId="77777777" w:rsidR="009E2BC6" w:rsidRPr="009E2BC6" w:rsidRDefault="009E2BC6" w:rsidP="009E2B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E2BC6">
        <w:rPr>
          <w:rFonts w:cstheme="minorHAnsi"/>
        </w:rPr>
        <w:t xml:space="preserve">§ 18. KARY UMOWNE i ODPOWIEDZIALNOŚĆ ODSZKODOWAWCZA. </w:t>
      </w:r>
    </w:p>
    <w:p w14:paraId="4DC88E67" w14:textId="77777777" w:rsidR="009E2BC6" w:rsidRPr="009E2BC6" w:rsidRDefault="009E2BC6" w:rsidP="009E2B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E2BC6">
        <w:rPr>
          <w:rFonts w:cstheme="minorHAnsi"/>
        </w:rPr>
        <w:t xml:space="preserve">2. Wykonawcy przysługuje kara umowna - w wysokości 20% wynagrodzenia brutto, o którym mowa w § 3 ust. 1 Umowy, za odstąpienie od Umowy przez Zamawiającego, z przyczyn niezależnych od Wykonawcy. </w:t>
      </w:r>
    </w:p>
    <w:p w14:paraId="03534095" w14:textId="220BDA3D" w:rsidR="009E2BC6" w:rsidRDefault="009E2BC6" w:rsidP="009E2B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E2BC6">
        <w:rPr>
          <w:rFonts w:cstheme="minorHAnsi"/>
        </w:rPr>
        <w:t>Zwracamy się z uprzejmą prośbą o pozostawienie kary na dotychczasowym poziomie 10%</w:t>
      </w:r>
    </w:p>
    <w:p w14:paraId="706D9A1C" w14:textId="77777777" w:rsidR="004426A2" w:rsidRPr="0077239F" w:rsidRDefault="004426A2" w:rsidP="004426A2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77239F">
        <w:rPr>
          <w:rFonts w:asciiTheme="minorHAnsi" w:hAnsiTheme="minorHAnsi" w:cstheme="minorHAnsi"/>
          <w:b/>
          <w:color w:val="0000CC"/>
          <w:sz w:val="22"/>
          <w:szCs w:val="22"/>
        </w:rPr>
        <w:t>Wyjaśnienia Zamawiającego:</w:t>
      </w:r>
    </w:p>
    <w:p w14:paraId="1D52006A" w14:textId="77777777" w:rsidR="009E2BC6" w:rsidRPr="009E2BC6" w:rsidRDefault="009E2BC6" w:rsidP="009E2BC6">
      <w:pPr>
        <w:spacing w:after="0" w:line="240" w:lineRule="auto"/>
        <w:jc w:val="both"/>
        <w:rPr>
          <w:rFonts w:cstheme="minorHAnsi"/>
          <w:bCs/>
          <w:color w:val="0000CC"/>
        </w:rPr>
      </w:pPr>
      <w:r w:rsidRPr="009E2BC6">
        <w:rPr>
          <w:rFonts w:cstheme="minorHAnsi"/>
          <w:bCs/>
          <w:color w:val="0000CC"/>
          <w:highlight w:val="yellow"/>
        </w:rPr>
        <w:t>Zamawiający uwzględni wniosek Wykonawcy i ustali karę umowną w wysokości 10% wynagrodzenia Wykonawcy brutto.</w:t>
      </w:r>
    </w:p>
    <w:p w14:paraId="13279867" w14:textId="6C7C83BC" w:rsidR="004426A2" w:rsidRPr="00DB650F" w:rsidRDefault="004426A2" w:rsidP="004426A2">
      <w:pPr>
        <w:spacing w:before="120"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4</w:t>
      </w:r>
      <w:r w:rsidRPr="00884A37">
        <w:rPr>
          <w:rFonts w:cstheme="minorHAnsi"/>
        </w:rPr>
        <w:t>.</w:t>
      </w:r>
      <w:r>
        <w:rPr>
          <w:rFonts w:cstheme="minorHAnsi"/>
        </w:rPr>
        <w:tab/>
      </w:r>
      <w:r w:rsidR="009E2BC6" w:rsidRPr="009E2BC6">
        <w:rPr>
          <w:rFonts w:cstheme="minorHAnsi"/>
        </w:rPr>
        <w:t>Dot. Wzór umowy</w:t>
      </w:r>
      <w:r w:rsidRPr="00DB650F">
        <w:rPr>
          <w:rFonts w:cstheme="minorHAnsi"/>
        </w:rPr>
        <w:t xml:space="preserve"> </w:t>
      </w:r>
    </w:p>
    <w:p w14:paraId="252CCE59" w14:textId="77777777" w:rsidR="009E2BC6" w:rsidRPr="009E2BC6" w:rsidRDefault="009E2BC6" w:rsidP="009E2BC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9E2BC6">
        <w:rPr>
          <w:rFonts w:cstheme="minorHAnsi"/>
        </w:rPr>
        <w:t xml:space="preserve">§ 18. KARY UMOWNE i ODPOWIEDZIALNOŚĆ ODSZKODOWAWCZA. </w:t>
      </w:r>
    </w:p>
    <w:p w14:paraId="42F4E667" w14:textId="77777777" w:rsidR="009E2BC6" w:rsidRPr="009E2BC6" w:rsidRDefault="009E2BC6" w:rsidP="009E2BC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9E2BC6">
        <w:rPr>
          <w:rFonts w:cstheme="minorHAnsi"/>
        </w:rPr>
        <w:t xml:space="preserve">3. Odpowiedzialność Wykonawcy z tytułu kar umownych, nie może przekroczyć łącznie 25% wynagrodzenia Wykonawcy brutto, o którym mowa w § 3 ust. 1 Umowy. </w:t>
      </w:r>
    </w:p>
    <w:p w14:paraId="5CCD8EA9" w14:textId="4837CE7D" w:rsidR="009E2BC6" w:rsidRDefault="009E2BC6" w:rsidP="009E2BC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9E2BC6">
        <w:rPr>
          <w:rFonts w:cstheme="minorHAnsi"/>
        </w:rPr>
        <w:t>Zwracamy się z uprzejmą prośbą o pozostawienie kary na dotychczasowym poziomie 15%</w:t>
      </w:r>
    </w:p>
    <w:p w14:paraId="39D84E55" w14:textId="77777777" w:rsidR="004426A2" w:rsidRPr="0077239F" w:rsidRDefault="004426A2" w:rsidP="004426A2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77239F">
        <w:rPr>
          <w:rFonts w:asciiTheme="minorHAnsi" w:hAnsiTheme="minorHAnsi" w:cstheme="minorHAnsi"/>
          <w:b/>
          <w:color w:val="0000CC"/>
          <w:sz w:val="22"/>
          <w:szCs w:val="22"/>
        </w:rPr>
        <w:t>Wyjaśnienia Zamawiającego:</w:t>
      </w:r>
    </w:p>
    <w:p w14:paraId="341B8236" w14:textId="77777777" w:rsidR="009E2BC6" w:rsidRPr="009E2BC6" w:rsidRDefault="009E2BC6" w:rsidP="009E2BC6">
      <w:pPr>
        <w:spacing w:after="0" w:line="240" w:lineRule="auto"/>
        <w:jc w:val="both"/>
        <w:rPr>
          <w:rFonts w:cstheme="minorHAnsi"/>
          <w:bCs/>
          <w:color w:val="0000CC"/>
        </w:rPr>
      </w:pPr>
      <w:r w:rsidRPr="00565AB4">
        <w:rPr>
          <w:rFonts w:cstheme="minorHAnsi"/>
          <w:bCs/>
          <w:color w:val="0000CC"/>
          <w:highlight w:val="yellow"/>
        </w:rPr>
        <w:t>Zamawiający uwzględni wniosek Wykonawcy i ustali karę umowną w wysokości 15% wynagrodzenia Wykonawcy brutto.</w:t>
      </w:r>
    </w:p>
    <w:p w14:paraId="62AB7105" w14:textId="7184E2F9" w:rsidR="004426A2" w:rsidRPr="00DB650F" w:rsidRDefault="004426A2" w:rsidP="004426A2">
      <w:pPr>
        <w:spacing w:before="120"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>5</w:t>
      </w:r>
      <w:r w:rsidRPr="00884A37">
        <w:rPr>
          <w:rFonts w:cstheme="minorHAnsi"/>
        </w:rPr>
        <w:t>.</w:t>
      </w:r>
      <w:r>
        <w:rPr>
          <w:rFonts w:cstheme="minorHAnsi"/>
        </w:rPr>
        <w:tab/>
      </w:r>
      <w:r w:rsidR="009E2BC6" w:rsidRPr="009E2BC6">
        <w:rPr>
          <w:rFonts w:cstheme="minorHAnsi"/>
        </w:rPr>
        <w:t xml:space="preserve">Dot. zał. Nr 3 do </w:t>
      </w:r>
      <w:proofErr w:type="spellStart"/>
      <w:r w:rsidR="009E2BC6" w:rsidRPr="009E2BC6">
        <w:rPr>
          <w:rFonts w:cstheme="minorHAnsi"/>
        </w:rPr>
        <w:t>SWZ_wzór</w:t>
      </w:r>
      <w:proofErr w:type="spellEnd"/>
      <w:r w:rsidR="009E2BC6" w:rsidRPr="009E2BC6">
        <w:rPr>
          <w:rFonts w:cstheme="minorHAnsi"/>
        </w:rPr>
        <w:t xml:space="preserve"> wyceny usługi na 2025 </w:t>
      </w:r>
      <w:proofErr w:type="spellStart"/>
      <w:r w:rsidR="009E2BC6" w:rsidRPr="009E2BC6">
        <w:rPr>
          <w:rFonts w:cstheme="minorHAnsi"/>
        </w:rPr>
        <w:t>poz</w:t>
      </w:r>
      <w:proofErr w:type="spellEnd"/>
      <w:r w:rsidR="009E2BC6" w:rsidRPr="009E2BC6">
        <w:rPr>
          <w:rFonts w:cstheme="minorHAnsi"/>
        </w:rPr>
        <w:t xml:space="preserve"> 66</w:t>
      </w:r>
    </w:p>
    <w:p w14:paraId="58273CAA" w14:textId="12046977" w:rsidR="009E2BC6" w:rsidRPr="009E2BC6" w:rsidRDefault="009E2BC6" w:rsidP="009E2B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E2BC6">
        <w:rPr>
          <w:rFonts w:cstheme="minorHAnsi"/>
        </w:rPr>
        <w:t>„Implementacja do aplikacji Sprint ITS (</w:t>
      </w:r>
      <w:proofErr w:type="spellStart"/>
      <w:r w:rsidRPr="009E2BC6">
        <w:rPr>
          <w:rFonts w:cstheme="minorHAnsi"/>
        </w:rPr>
        <w:t>InfoWallWeb</w:t>
      </w:r>
      <w:proofErr w:type="spellEnd"/>
      <w:r w:rsidRPr="009E2BC6">
        <w:rPr>
          <w:rFonts w:cstheme="minorHAnsi"/>
        </w:rPr>
        <w:t xml:space="preserve">) sterownika sygnalizacji świetlnej ITC-3 (min. prezentacja statusu sterownika, dostęp do diagramu paskowego sygnalizacji), działającego już </w:t>
      </w:r>
      <w:r>
        <w:rPr>
          <w:rFonts w:cstheme="minorHAnsi"/>
        </w:rPr>
        <w:br/>
      </w:r>
      <w:r w:rsidRPr="009E2BC6">
        <w:rPr>
          <w:rFonts w:cstheme="minorHAnsi"/>
        </w:rPr>
        <w:t xml:space="preserve">w systemie </w:t>
      </w:r>
      <w:proofErr w:type="spellStart"/>
      <w:r w:rsidRPr="009E2BC6">
        <w:rPr>
          <w:rFonts w:cstheme="minorHAnsi"/>
        </w:rPr>
        <w:t>Scats</w:t>
      </w:r>
      <w:proofErr w:type="spellEnd"/>
      <w:r w:rsidRPr="009E2BC6">
        <w:rPr>
          <w:rFonts w:cstheme="minorHAnsi"/>
        </w:rPr>
        <w:t xml:space="preserve"> wraz z uruchomieniem pełnej funkcjonalności dotyczącej raportów (min. natężenie, prędkość, struktura rodzajowa pojazdów)” </w:t>
      </w:r>
    </w:p>
    <w:p w14:paraId="73AD8127" w14:textId="744F3459" w:rsidR="009E2BC6" w:rsidRDefault="009E2BC6" w:rsidP="009E2B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E2BC6">
        <w:rPr>
          <w:rFonts w:cstheme="minorHAnsi"/>
        </w:rPr>
        <w:t>Prosimy o potwierdzenie, że pozycja dotyczy podłączenia 1 sztuki sterownika sygnalizacji świetlnej ITC-3 do aplikacji SPRINT ITS (</w:t>
      </w:r>
      <w:proofErr w:type="spellStart"/>
      <w:r w:rsidRPr="009E2BC6">
        <w:rPr>
          <w:rFonts w:cstheme="minorHAnsi"/>
        </w:rPr>
        <w:t>InfoWallWeb</w:t>
      </w:r>
      <w:proofErr w:type="spellEnd"/>
      <w:r w:rsidRPr="009E2BC6">
        <w:rPr>
          <w:rFonts w:cstheme="minorHAnsi"/>
        </w:rPr>
        <w:t>)</w:t>
      </w:r>
    </w:p>
    <w:p w14:paraId="5F9F7817" w14:textId="77777777" w:rsidR="004426A2" w:rsidRPr="0077239F" w:rsidRDefault="004426A2" w:rsidP="004426A2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77239F">
        <w:rPr>
          <w:rFonts w:asciiTheme="minorHAnsi" w:hAnsiTheme="minorHAnsi" w:cstheme="minorHAnsi"/>
          <w:b/>
          <w:color w:val="0000CC"/>
          <w:sz w:val="22"/>
          <w:szCs w:val="22"/>
        </w:rPr>
        <w:t>Wyjaśnienia Zamawiającego:</w:t>
      </w:r>
    </w:p>
    <w:p w14:paraId="003A7CB6" w14:textId="6F2421CC" w:rsidR="009E2BC6" w:rsidRPr="009E2BC6" w:rsidRDefault="009E2BC6" w:rsidP="009E2BC6">
      <w:pPr>
        <w:spacing w:after="0" w:line="240" w:lineRule="auto"/>
        <w:jc w:val="both"/>
        <w:rPr>
          <w:rFonts w:cstheme="minorHAnsi"/>
          <w:bCs/>
          <w:color w:val="0000CC"/>
        </w:rPr>
      </w:pPr>
      <w:r w:rsidRPr="009E2BC6">
        <w:rPr>
          <w:rFonts w:cstheme="minorHAnsi"/>
          <w:bCs/>
          <w:color w:val="0000CC"/>
        </w:rPr>
        <w:t xml:space="preserve">Zamawiający planuje w ramach umowy podłączyć do aplikacji </w:t>
      </w:r>
      <w:proofErr w:type="spellStart"/>
      <w:r w:rsidRPr="009E2BC6">
        <w:rPr>
          <w:rFonts w:cstheme="minorHAnsi"/>
          <w:bCs/>
          <w:color w:val="0000CC"/>
        </w:rPr>
        <w:t>InfoWallWeb</w:t>
      </w:r>
      <w:proofErr w:type="spellEnd"/>
      <w:r w:rsidRPr="009E2BC6">
        <w:rPr>
          <w:rFonts w:cstheme="minorHAnsi"/>
          <w:bCs/>
          <w:color w:val="0000CC"/>
        </w:rPr>
        <w:t xml:space="preserve"> jeden sterownik sygnalizacji świetlnej ITC-3. </w:t>
      </w:r>
      <w:r>
        <w:rPr>
          <w:rFonts w:cstheme="minorHAnsi"/>
          <w:bCs/>
          <w:color w:val="0000CC"/>
        </w:rPr>
        <w:tab/>
      </w:r>
      <w:r>
        <w:rPr>
          <w:rFonts w:cstheme="minorHAnsi"/>
          <w:bCs/>
          <w:color w:val="0000CC"/>
        </w:rPr>
        <w:br/>
      </w:r>
      <w:r w:rsidRPr="009E2BC6">
        <w:rPr>
          <w:rFonts w:cstheme="minorHAnsi"/>
          <w:bCs/>
          <w:color w:val="0000CC"/>
        </w:rPr>
        <w:t xml:space="preserve">Jednak zgodnie ze Specyfikacją Wykonania Usługi, Zamawiający dopuszcza możliwość zmian w zakresie ilościowym poszczególnych prac określonych w Wyceny usługi – część B, przy zachowaniu podanych </w:t>
      </w:r>
      <w:r>
        <w:rPr>
          <w:rFonts w:cstheme="minorHAnsi"/>
          <w:bCs/>
          <w:color w:val="0000CC"/>
        </w:rPr>
        <w:br/>
      </w:r>
      <w:r w:rsidRPr="009E2BC6">
        <w:rPr>
          <w:rFonts w:cstheme="minorHAnsi"/>
          <w:bCs/>
          <w:color w:val="0000CC"/>
        </w:rPr>
        <w:t>w niej cen jednostkowych, zależnie od aktualnych potrzeb Zamawiającego, bez przekroczenia kwoty wynikającej z wartości wszystkich prac w zakresie wymiany/naprawy urządzeń.</w:t>
      </w:r>
    </w:p>
    <w:p w14:paraId="366ADD6D" w14:textId="29A7036A" w:rsidR="004426A2" w:rsidRPr="00DB650F" w:rsidRDefault="004426A2" w:rsidP="004C7E4B">
      <w:pPr>
        <w:spacing w:before="240" w:after="0" w:line="240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6</w:t>
      </w:r>
      <w:r w:rsidRPr="00884A37">
        <w:rPr>
          <w:rFonts w:cstheme="minorHAnsi"/>
        </w:rPr>
        <w:t>.</w:t>
      </w:r>
      <w:r>
        <w:rPr>
          <w:rFonts w:cstheme="minorHAnsi"/>
        </w:rPr>
        <w:tab/>
      </w:r>
      <w:r w:rsidR="009E2BC6" w:rsidRPr="009E2BC6">
        <w:rPr>
          <w:rFonts w:cstheme="minorHAnsi"/>
        </w:rPr>
        <w:t xml:space="preserve">Dot. Załącznik nr 3 </w:t>
      </w:r>
      <w:proofErr w:type="spellStart"/>
      <w:r w:rsidR="009E2BC6" w:rsidRPr="009E2BC6">
        <w:rPr>
          <w:rFonts w:cstheme="minorHAnsi"/>
        </w:rPr>
        <w:t>poz</w:t>
      </w:r>
      <w:proofErr w:type="spellEnd"/>
      <w:r w:rsidR="009E2BC6" w:rsidRPr="009E2BC6">
        <w:rPr>
          <w:rFonts w:cstheme="minorHAnsi"/>
        </w:rPr>
        <w:t xml:space="preserve"> 66</w:t>
      </w:r>
    </w:p>
    <w:p w14:paraId="22F7D11D" w14:textId="073ACA5C" w:rsidR="009E2BC6" w:rsidRPr="009E2BC6" w:rsidRDefault="009E2BC6" w:rsidP="009E2B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E2BC6">
        <w:rPr>
          <w:rFonts w:cstheme="minorHAnsi"/>
        </w:rPr>
        <w:t>„Implementacja do aplikacji Sprint ITS (</w:t>
      </w:r>
      <w:proofErr w:type="spellStart"/>
      <w:r w:rsidRPr="009E2BC6">
        <w:rPr>
          <w:rFonts w:cstheme="minorHAnsi"/>
        </w:rPr>
        <w:t>InfoWallWeb</w:t>
      </w:r>
      <w:proofErr w:type="spellEnd"/>
      <w:r w:rsidRPr="009E2BC6">
        <w:rPr>
          <w:rFonts w:cstheme="minorHAnsi"/>
        </w:rPr>
        <w:t xml:space="preserve">) sterownika sygnalizacji świetlnej ITC-3 (min. prezentacja statusu sterownika, dostęp do diagramu paskowego sygnalizacji), działającego już </w:t>
      </w:r>
      <w:r>
        <w:rPr>
          <w:rFonts w:cstheme="minorHAnsi"/>
        </w:rPr>
        <w:br/>
      </w:r>
      <w:r w:rsidRPr="009E2BC6">
        <w:rPr>
          <w:rFonts w:cstheme="minorHAnsi"/>
        </w:rPr>
        <w:t xml:space="preserve">w systemie </w:t>
      </w:r>
      <w:proofErr w:type="spellStart"/>
      <w:r w:rsidRPr="009E2BC6">
        <w:rPr>
          <w:rFonts w:cstheme="minorHAnsi"/>
        </w:rPr>
        <w:t>Scats</w:t>
      </w:r>
      <w:proofErr w:type="spellEnd"/>
      <w:r w:rsidRPr="009E2BC6">
        <w:rPr>
          <w:rFonts w:cstheme="minorHAnsi"/>
        </w:rPr>
        <w:t xml:space="preserve"> wraz z uruchomieniem pełnej funkcjonalności dotyczącej raportów (min. natężenie, prędkość, struktura rodzajowa pojazdów)” </w:t>
      </w:r>
    </w:p>
    <w:p w14:paraId="7281A4F7" w14:textId="2C728FE0" w:rsidR="009E2BC6" w:rsidRDefault="009E2BC6" w:rsidP="009E2B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E2BC6">
        <w:rPr>
          <w:rFonts w:cstheme="minorHAnsi"/>
        </w:rPr>
        <w:t>Informujemy, że aplikacja ITS (</w:t>
      </w:r>
      <w:proofErr w:type="spellStart"/>
      <w:r w:rsidRPr="009E2BC6">
        <w:rPr>
          <w:rFonts w:cstheme="minorHAnsi"/>
        </w:rPr>
        <w:t>InfoWallWeb</w:t>
      </w:r>
      <w:proofErr w:type="spellEnd"/>
      <w:r w:rsidRPr="009E2BC6">
        <w:rPr>
          <w:rFonts w:cstheme="minorHAnsi"/>
        </w:rPr>
        <w:t xml:space="preserve">) na dzień dzisiejszy jest niedostosowana do podłączenia nowych sterowników ITC-3. W związku z powyższym aby włączyć sterowniki ITC-3 </w:t>
      </w:r>
      <w:r>
        <w:rPr>
          <w:rFonts w:cstheme="minorHAnsi"/>
        </w:rPr>
        <w:br/>
      </w:r>
      <w:r w:rsidRPr="009E2BC6">
        <w:rPr>
          <w:rFonts w:cstheme="minorHAnsi"/>
        </w:rPr>
        <w:t>do aplikacji ITS (</w:t>
      </w:r>
      <w:proofErr w:type="spellStart"/>
      <w:r w:rsidRPr="009E2BC6">
        <w:rPr>
          <w:rFonts w:cstheme="minorHAnsi"/>
        </w:rPr>
        <w:t>InfoWallWeb</w:t>
      </w:r>
      <w:proofErr w:type="spellEnd"/>
      <w:r w:rsidRPr="009E2BC6">
        <w:rPr>
          <w:rFonts w:cstheme="minorHAnsi"/>
        </w:rPr>
        <w:t>) należy wykonać złożone prace programistyczne zarówno po stronie sterownika jak i aplikacji. Z wstępnych szacunków wynika, że łączne koszty tych prac będą na tyle wysokie, że włączenie pojedynczych sterowników do aplikacji ITS (</w:t>
      </w:r>
      <w:proofErr w:type="spellStart"/>
      <w:r w:rsidRPr="009E2BC6">
        <w:rPr>
          <w:rFonts w:cstheme="minorHAnsi"/>
        </w:rPr>
        <w:t>InfoWallWeb</w:t>
      </w:r>
      <w:proofErr w:type="spellEnd"/>
      <w:r w:rsidRPr="009E2BC6">
        <w:rPr>
          <w:rFonts w:cstheme="minorHAnsi"/>
        </w:rPr>
        <w:t xml:space="preserve">) będzie nieopłacalne, gdyż koszt samego włączenia znacząco przewyższy koszt zakupu dostosowanego sterownika wraz z jego włączeniem do systemu </w:t>
      </w:r>
      <w:proofErr w:type="spellStart"/>
      <w:r w:rsidRPr="009E2BC6">
        <w:rPr>
          <w:rFonts w:cstheme="minorHAnsi"/>
        </w:rPr>
        <w:t>Scats</w:t>
      </w:r>
      <w:proofErr w:type="spellEnd"/>
      <w:r w:rsidRPr="009E2BC6">
        <w:rPr>
          <w:rFonts w:cstheme="minorHAnsi"/>
        </w:rPr>
        <w:t xml:space="preserve"> oraz aplikacji ITS (</w:t>
      </w:r>
      <w:proofErr w:type="spellStart"/>
      <w:r w:rsidRPr="009E2BC6">
        <w:rPr>
          <w:rFonts w:cstheme="minorHAnsi"/>
        </w:rPr>
        <w:t>InfoWallWeb</w:t>
      </w:r>
      <w:proofErr w:type="spellEnd"/>
      <w:r w:rsidRPr="009E2BC6">
        <w:rPr>
          <w:rFonts w:cstheme="minorHAnsi"/>
        </w:rPr>
        <w:t xml:space="preserve">). Zwracamy także uwagę Zamawiającego, że z uwagi na konstrukcje kosztorysu formularza B, wysoka cena włączenia sterownika może spowodować, znaczące przekroczenie budżetu Zamawiającego całej oferty. W związku z czym zwracamy się z prośbą o usunięcie wymagania pozycji 66 z załącznika </w:t>
      </w:r>
      <w:r>
        <w:rPr>
          <w:rFonts w:cstheme="minorHAnsi"/>
        </w:rPr>
        <w:br/>
      </w:r>
      <w:r w:rsidRPr="009E2BC6">
        <w:rPr>
          <w:rFonts w:cstheme="minorHAnsi"/>
        </w:rPr>
        <w:t xml:space="preserve">nr 3, a dodanie pozycji dostawa dostosowanego sterownika sygnalizacji świetlnej wraz z </w:t>
      </w:r>
      <w:r w:rsidRPr="009E2BC6">
        <w:rPr>
          <w:rFonts w:cstheme="minorHAnsi"/>
          <w:spacing w:val="-2"/>
        </w:rPr>
        <w:t xml:space="preserve">zaprogramowaniem, montażem i podłączeniem do systemu </w:t>
      </w:r>
      <w:proofErr w:type="spellStart"/>
      <w:r w:rsidRPr="009E2BC6">
        <w:rPr>
          <w:rFonts w:cstheme="minorHAnsi"/>
          <w:spacing w:val="-2"/>
        </w:rPr>
        <w:t>Scats</w:t>
      </w:r>
      <w:proofErr w:type="spellEnd"/>
      <w:r w:rsidRPr="009E2BC6">
        <w:rPr>
          <w:rFonts w:cstheme="minorHAnsi"/>
          <w:spacing w:val="-2"/>
        </w:rPr>
        <w:t xml:space="preserve"> oraz Aplikacji ITS (</w:t>
      </w:r>
      <w:proofErr w:type="spellStart"/>
      <w:r w:rsidRPr="009E2BC6">
        <w:rPr>
          <w:rFonts w:cstheme="minorHAnsi"/>
          <w:spacing w:val="-2"/>
        </w:rPr>
        <w:t>InfoWallWeb</w:t>
      </w:r>
      <w:proofErr w:type="spellEnd"/>
      <w:r w:rsidRPr="009E2BC6">
        <w:rPr>
          <w:rFonts w:cstheme="minorHAnsi"/>
          <w:spacing w:val="-2"/>
        </w:rPr>
        <w:t>).</w:t>
      </w:r>
    </w:p>
    <w:p w14:paraId="79E6961B" w14:textId="77777777" w:rsidR="004426A2" w:rsidRPr="0077239F" w:rsidRDefault="004426A2" w:rsidP="004426A2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77239F">
        <w:rPr>
          <w:rFonts w:asciiTheme="minorHAnsi" w:hAnsiTheme="minorHAnsi" w:cstheme="minorHAnsi"/>
          <w:b/>
          <w:color w:val="0000CC"/>
          <w:sz w:val="22"/>
          <w:szCs w:val="22"/>
        </w:rPr>
        <w:t>Wyjaśnienia Zamawiającego:</w:t>
      </w:r>
    </w:p>
    <w:p w14:paraId="4319E0AD" w14:textId="78D91C90" w:rsidR="009E2BC6" w:rsidRPr="009E2BC6" w:rsidRDefault="009E2BC6" w:rsidP="009E2BC6">
      <w:pPr>
        <w:spacing w:after="0" w:line="240" w:lineRule="auto"/>
        <w:jc w:val="both"/>
        <w:rPr>
          <w:rFonts w:cstheme="minorHAnsi"/>
          <w:bCs/>
          <w:color w:val="0000CC"/>
        </w:rPr>
      </w:pPr>
      <w:r w:rsidRPr="009E2BC6">
        <w:rPr>
          <w:rFonts w:cstheme="minorHAnsi"/>
          <w:bCs/>
          <w:color w:val="0000CC"/>
          <w:highlight w:val="yellow"/>
        </w:rPr>
        <w:t>Zamawiający informuje, iż zapis z Załącznika 3 pozycja 66 ulegnie zmianie na następujący</w:t>
      </w:r>
      <w:r w:rsidRPr="009E2BC6">
        <w:rPr>
          <w:rFonts w:cstheme="minorHAnsi"/>
          <w:bCs/>
          <w:color w:val="0000CC"/>
        </w:rPr>
        <w:t xml:space="preserve">: </w:t>
      </w:r>
      <w:r w:rsidRPr="009E2BC6">
        <w:rPr>
          <w:rFonts w:cstheme="minorHAnsi"/>
          <w:bCs/>
          <w:color w:val="0000CC"/>
        </w:rPr>
        <w:br/>
      </w:r>
      <w:r w:rsidRPr="009E2BC6">
        <w:rPr>
          <w:rFonts w:cstheme="minorHAnsi"/>
          <w:bCs/>
          <w:color w:val="0000CC"/>
          <w:highlight w:val="yellow"/>
        </w:rPr>
        <w:t>”Implementacja do aplikacji Sprint ITS (</w:t>
      </w:r>
      <w:proofErr w:type="spellStart"/>
      <w:r w:rsidRPr="009E2BC6">
        <w:rPr>
          <w:rFonts w:cstheme="minorHAnsi"/>
          <w:bCs/>
          <w:color w:val="0000CC"/>
          <w:highlight w:val="yellow"/>
        </w:rPr>
        <w:t>InfoWallWeb</w:t>
      </w:r>
      <w:proofErr w:type="spellEnd"/>
      <w:r w:rsidRPr="009E2BC6">
        <w:rPr>
          <w:rFonts w:cstheme="minorHAnsi"/>
          <w:bCs/>
          <w:color w:val="0000CC"/>
          <w:highlight w:val="yellow"/>
        </w:rPr>
        <w:t xml:space="preserve">) sterownika sygnalizacji świetlnej ITC-3 </w:t>
      </w:r>
      <w:r w:rsidRPr="009E2BC6">
        <w:rPr>
          <w:rFonts w:cstheme="minorHAnsi"/>
          <w:bCs/>
          <w:color w:val="0000CC"/>
          <w:highlight w:val="yellow"/>
        </w:rPr>
        <w:br/>
        <w:t xml:space="preserve">(min. prezentacja statusu sterownika, dostęp do diagramu paskowego sygnalizacji), działającego już </w:t>
      </w:r>
      <w:r w:rsidRPr="009E2BC6">
        <w:rPr>
          <w:rFonts w:cstheme="minorHAnsi"/>
          <w:bCs/>
          <w:color w:val="0000CC"/>
          <w:highlight w:val="yellow"/>
        </w:rPr>
        <w:br/>
        <w:t xml:space="preserve">w systemie </w:t>
      </w:r>
      <w:proofErr w:type="spellStart"/>
      <w:r w:rsidRPr="009E2BC6">
        <w:rPr>
          <w:rFonts w:cstheme="minorHAnsi"/>
          <w:bCs/>
          <w:color w:val="0000CC"/>
          <w:highlight w:val="yellow"/>
        </w:rPr>
        <w:t>Scats</w:t>
      </w:r>
      <w:proofErr w:type="spellEnd"/>
      <w:r w:rsidRPr="009E2BC6">
        <w:rPr>
          <w:rFonts w:cstheme="minorHAnsi"/>
          <w:bCs/>
          <w:color w:val="0000CC"/>
          <w:highlight w:val="yellow"/>
        </w:rPr>
        <w:t xml:space="preserve"> wraz z uruchomieniem pełnej funkcjonalności dotyczącej raportów (min. natężenie, prędkość, struktura rodzajowa pojazdów) lub innego rozwiązania technicznego (np. wymiana sterownika sygnalizacji świetlnej), które zapewni pełną integrację z systemem oraz spełni następujące wymagania funkcjonalne min. prezentacja statusu sterownika, dostęp do diagramu paskowego sygnalizacji, działanie w systemie </w:t>
      </w:r>
      <w:proofErr w:type="spellStart"/>
      <w:r w:rsidRPr="009E2BC6">
        <w:rPr>
          <w:rFonts w:cstheme="minorHAnsi"/>
          <w:bCs/>
          <w:color w:val="0000CC"/>
          <w:highlight w:val="yellow"/>
        </w:rPr>
        <w:t>Scats</w:t>
      </w:r>
      <w:proofErr w:type="spellEnd"/>
      <w:r w:rsidRPr="009E2BC6">
        <w:rPr>
          <w:rFonts w:cstheme="minorHAnsi"/>
          <w:bCs/>
          <w:color w:val="0000CC"/>
          <w:highlight w:val="yellow"/>
        </w:rPr>
        <w:t xml:space="preserve"> wraz z uruchomieniem pełnej funkcjonalności dotyczącej raportów</w:t>
      </w:r>
      <w:r w:rsidRPr="009E2BC6">
        <w:rPr>
          <w:rFonts w:cstheme="minorHAnsi"/>
          <w:bCs/>
          <w:color w:val="0000CC"/>
          <w:highlight w:val="yellow"/>
        </w:rPr>
        <w:t>”</w:t>
      </w:r>
      <w:r w:rsidRPr="009E2BC6">
        <w:rPr>
          <w:rFonts w:cstheme="minorHAnsi"/>
          <w:bCs/>
          <w:color w:val="0000CC"/>
          <w:highlight w:val="yellow"/>
        </w:rPr>
        <w:t>.</w:t>
      </w:r>
      <w:r w:rsidRPr="009E2BC6">
        <w:rPr>
          <w:rFonts w:cstheme="minorHAnsi"/>
          <w:bCs/>
          <w:color w:val="0000CC"/>
        </w:rPr>
        <w:t xml:space="preserve">  </w:t>
      </w:r>
    </w:p>
    <w:p w14:paraId="02881975" w14:textId="1EF006C5" w:rsidR="009E2BC6" w:rsidRPr="00DB650F" w:rsidRDefault="009E2BC6" w:rsidP="004C7E4B">
      <w:pPr>
        <w:spacing w:before="240" w:after="0" w:line="240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7</w:t>
      </w:r>
      <w:r w:rsidRPr="00884A37">
        <w:rPr>
          <w:rFonts w:cstheme="minorHAnsi"/>
        </w:rPr>
        <w:t>.</w:t>
      </w:r>
      <w:r>
        <w:rPr>
          <w:rFonts w:cstheme="minorHAnsi"/>
        </w:rPr>
        <w:tab/>
      </w:r>
      <w:r w:rsidR="00565AB4" w:rsidRPr="00565AB4">
        <w:rPr>
          <w:rFonts w:cstheme="minorHAnsi"/>
        </w:rPr>
        <w:t>Dot. SWZ XII. TERMIN SKŁADANIA I OTWARCIA OFERT</w:t>
      </w:r>
    </w:p>
    <w:p w14:paraId="49DA7EB8" w14:textId="77777777" w:rsidR="00565AB4" w:rsidRPr="00565AB4" w:rsidRDefault="00565AB4" w:rsidP="00565AB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565AB4">
        <w:rPr>
          <w:rFonts w:cstheme="minorHAnsi"/>
        </w:rPr>
        <w:t xml:space="preserve">„1. Ofertę wraz ze wszystkimi wymaganymi oświadczeniami i dokumentami, należy złożyć za pośrednictwem Platformy na stronie internetowej prowadzonego postępowania: https://platformazakupowa.pl/transakcja/1005101 do dnia 25.11.2024 r. do godz. 10:00. </w:t>
      </w:r>
    </w:p>
    <w:p w14:paraId="7A4AC1F6" w14:textId="5E3C378D" w:rsidR="00565AB4" w:rsidRDefault="00565AB4" w:rsidP="00565AB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565AB4">
        <w:rPr>
          <w:rFonts w:cstheme="minorHAnsi"/>
        </w:rPr>
        <w:t>Ze względu na potrzebę przeanalizowania pozyskania ofert na dostawę elementów niezależnych od Oferenta zwracamy się z prośbą o przesunięcie termin składania ofert. Umożliwi to dobranie optymalnych kosztowo sprzętów jak również dokładne skalkulowanie kosztów a tym samym przełoży się na optymalną cenę. W związku z powyższym zwracamy się z prośbą o przełożenie terminu składania ofert na dzień 13.12.2024</w:t>
      </w:r>
    </w:p>
    <w:p w14:paraId="580AC0F0" w14:textId="77777777" w:rsidR="009E2BC6" w:rsidRPr="0077239F" w:rsidRDefault="009E2BC6" w:rsidP="009E2BC6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77239F">
        <w:rPr>
          <w:rFonts w:asciiTheme="minorHAnsi" w:hAnsiTheme="minorHAnsi" w:cstheme="minorHAnsi"/>
          <w:b/>
          <w:color w:val="0000CC"/>
          <w:sz w:val="22"/>
          <w:szCs w:val="22"/>
        </w:rPr>
        <w:lastRenderedPageBreak/>
        <w:t>Wyjaśnienia Zamawiającego:</w:t>
      </w:r>
    </w:p>
    <w:p w14:paraId="0E0A1653" w14:textId="4C325C96" w:rsidR="00565AB4" w:rsidRPr="00565AB4" w:rsidRDefault="00565AB4" w:rsidP="00565AB4">
      <w:pPr>
        <w:spacing w:after="0" w:line="240" w:lineRule="auto"/>
        <w:jc w:val="both"/>
        <w:rPr>
          <w:rFonts w:cstheme="minorHAnsi"/>
          <w:bCs/>
          <w:color w:val="0000CC"/>
        </w:rPr>
      </w:pPr>
      <w:r w:rsidRPr="004C7E4B">
        <w:rPr>
          <w:rFonts w:cstheme="minorHAnsi"/>
          <w:bCs/>
          <w:color w:val="0000CC"/>
        </w:rPr>
        <w:t>Zamawiający nie widzi podstaw do przełożenia terminu składania ofert na dzień 13.12.2024</w:t>
      </w:r>
      <w:r w:rsidR="002852AB">
        <w:rPr>
          <w:rFonts w:cstheme="minorHAnsi"/>
          <w:bCs/>
          <w:color w:val="0000CC"/>
        </w:rPr>
        <w:t> </w:t>
      </w:r>
      <w:r w:rsidRPr="004C7E4B">
        <w:rPr>
          <w:rFonts w:cstheme="minorHAnsi"/>
          <w:bCs/>
          <w:color w:val="0000CC"/>
        </w:rPr>
        <w:t xml:space="preserve">r. </w:t>
      </w:r>
      <w:r w:rsidRPr="004C7E4B">
        <w:rPr>
          <w:rFonts w:cstheme="minorHAnsi"/>
          <w:bCs/>
          <w:color w:val="0000CC"/>
        </w:rPr>
        <w:br/>
        <w:t>W związku z powyższym obowiązującym terminem pozostaje 25.11.2024</w:t>
      </w:r>
      <w:r w:rsidR="002852AB">
        <w:rPr>
          <w:rFonts w:cstheme="minorHAnsi"/>
          <w:bCs/>
          <w:color w:val="0000CC"/>
        </w:rPr>
        <w:t> </w:t>
      </w:r>
      <w:r w:rsidRPr="004C7E4B">
        <w:rPr>
          <w:rFonts w:cstheme="minorHAnsi"/>
          <w:bCs/>
          <w:color w:val="0000CC"/>
        </w:rPr>
        <w:t>r.</w:t>
      </w:r>
      <w:r w:rsidR="002852AB">
        <w:rPr>
          <w:rFonts w:cstheme="minorHAnsi"/>
          <w:bCs/>
          <w:color w:val="0000CC"/>
        </w:rPr>
        <w:t xml:space="preserve"> godz. 10:00.</w:t>
      </w:r>
    </w:p>
    <w:bookmarkEnd w:id="3"/>
    <w:p w14:paraId="7EA12D0B" w14:textId="4FB33872" w:rsidR="004426A2" w:rsidRDefault="004426A2" w:rsidP="004426A2">
      <w:pPr>
        <w:tabs>
          <w:tab w:val="left" w:pos="851"/>
        </w:tabs>
        <w:spacing w:after="0" w:line="240" w:lineRule="auto"/>
        <w:ind w:left="851" w:hanging="851"/>
        <w:jc w:val="both"/>
        <w:rPr>
          <w:rFonts w:cstheme="minorHAnsi"/>
          <w:b/>
          <w:bCs/>
          <w:iCs/>
        </w:rPr>
      </w:pPr>
    </w:p>
    <w:p w14:paraId="0849EA86" w14:textId="77777777" w:rsidR="004426A2" w:rsidRDefault="004426A2" w:rsidP="004426A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Zgodnie z</w:t>
      </w:r>
      <w:r w:rsidRPr="005716B4">
        <w:rPr>
          <w:rFonts w:ascii="Calibri" w:hAnsi="Calibri" w:cs="Arial"/>
          <w:sz w:val="22"/>
          <w:szCs w:val="22"/>
        </w:rPr>
        <w:t xml:space="preserve"> art. </w:t>
      </w:r>
      <w:r>
        <w:rPr>
          <w:rFonts w:ascii="Calibri" w:hAnsi="Calibri" w:cs="Arial"/>
          <w:sz w:val="22"/>
          <w:szCs w:val="22"/>
        </w:rPr>
        <w:t>137</w:t>
      </w:r>
      <w:r w:rsidRPr="005716B4">
        <w:rPr>
          <w:rFonts w:ascii="Calibri" w:hAnsi="Calibri" w:cs="Arial"/>
          <w:sz w:val="22"/>
          <w:szCs w:val="22"/>
        </w:rPr>
        <w:t xml:space="preserve"> ust. 1 </w:t>
      </w:r>
      <w:proofErr w:type="spellStart"/>
      <w:r w:rsidRPr="005716B4"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,</w:t>
      </w:r>
      <w:r w:rsidRPr="00F5589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Zamawiający zmienia treść SWZ następująco:</w:t>
      </w:r>
    </w:p>
    <w:p w14:paraId="7B7C48F6" w14:textId="1EC1251D" w:rsidR="004426A2" w:rsidRPr="00CC3243" w:rsidRDefault="004426A2" w:rsidP="00F86880">
      <w:pPr>
        <w:pStyle w:val="Akapitzlist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Calibri" w:hAnsi="Calibri" w:cs="Calibri"/>
          <w:bCs/>
          <w:spacing w:val="-2"/>
          <w:sz w:val="22"/>
          <w:szCs w:val="22"/>
        </w:rPr>
      </w:pPr>
      <w:r w:rsidRPr="00CC3243">
        <w:rPr>
          <w:rFonts w:ascii="Calibri" w:hAnsi="Calibri" w:cs="Calibri"/>
          <w:bCs/>
          <w:spacing w:val="-2"/>
          <w:sz w:val="22"/>
          <w:szCs w:val="22"/>
        </w:rPr>
        <w:t xml:space="preserve">w SWZ, </w:t>
      </w:r>
      <w:r w:rsidR="004C7E4B" w:rsidRPr="00CC3243">
        <w:rPr>
          <w:rFonts w:ascii="Calibri" w:hAnsi="Calibri" w:cs="Calibri"/>
          <w:bCs/>
          <w:spacing w:val="-2"/>
          <w:sz w:val="22"/>
          <w:szCs w:val="22"/>
        </w:rPr>
        <w:t xml:space="preserve">wprowadza się </w:t>
      </w:r>
      <w:r w:rsidRPr="00CC3243">
        <w:rPr>
          <w:rFonts w:ascii="Calibri" w:hAnsi="Calibri" w:cs="Calibri"/>
          <w:b/>
          <w:spacing w:val="-2"/>
          <w:sz w:val="22"/>
          <w:szCs w:val="22"/>
        </w:rPr>
        <w:t>pkt X</w:t>
      </w:r>
      <w:r w:rsidR="004C7E4B">
        <w:rPr>
          <w:rFonts w:ascii="Calibri" w:hAnsi="Calibri" w:cs="Calibri"/>
          <w:b/>
          <w:spacing w:val="-2"/>
          <w:sz w:val="22"/>
          <w:szCs w:val="22"/>
        </w:rPr>
        <w:t>X</w:t>
      </w:r>
      <w:r w:rsidR="00F86880" w:rsidRPr="00CC3243">
        <w:rPr>
          <w:rFonts w:ascii="Calibri" w:hAnsi="Calibri" w:cs="Calibri"/>
          <w:b/>
          <w:spacing w:val="-2"/>
          <w:sz w:val="22"/>
          <w:szCs w:val="22"/>
        </w:rPr>
        <w:t>I</w:t>
      </w:r>
      <w:r w:rsidRPr="00CC3243">
        <w:rPr>
          <w:rFonts w:ascii="Calibri" w:hAnsi="Calibri" w:cs="Calibri"/>
          <w:b/>
          <w:spacing w:val="-2"/>
          <w:sz w:val="22"/>
          <w:szCs w:val="22"/>
        </w:rPr>
        <w:t>II.</w:t>
      </w:r>
      <w:r w:rsidRPr="00CC3243">
        <w:rPr>
          <w:rFonts w:ascii="Calibri" w:hAnsi="Calibri" w:cs="Calibri"/>
          <w:bCs/>
          <w:spacing w:val="-2"/>
          <w:sz w:val="22"/>
          <w:szCs w:val="22"/>
        </w:rPr>
        <w:t xml:space="preserve"> o brzmieniu:</w:t>
      </w:r>
    </w:p>
    <w:p w14:paraId="7E54014B" w14:textId="4AC0B8A1" w:rsidR="004C7E4B" w:rsidRPr="004C7E4B" w:rsidRDefault="004C7E4B" w:rsidP="004C7E4B">
      <w:pPr>
        <w:spacing w:after="0" w:line="240" w:lineRule="auto"/>
        <w:ind w:left="851" w:hanging="425"/>
        <w:jc w:val="both"/>
        <w:rPr>
          <w:rFonts w:cstheme="minorHAnsi"/>
          <w:i/>
          <w:iCs/>
          <w:color w:val="0000FF"/>
          <w:highlight w:val="yellow"/>
        </w:rPr>
      </w:pPr>
      <w:r w:rsidRPr="004C7E4B">
        <w:rPr>
          <w:rFonts w:cstheme="minorHAnsi"/>
          <w:i/>
          <w:iCs/>
          <w:color w:val="0000FF"/>
          <w:highlight w:val="yellow"/>
        </w:rPr>
        <w:t>XX</w:t>
      </w:r>
      <w:r w:rsidRPr="004C7E4B">
        <w:rPr>
          <w:rFonts w:cstheme="minorHAnsi"/>
          <w:i/>
          <w:iCs/>
          <w:color w:val="0000FF"/>
          <w:highlight w:val="yellow"/>
        </w:rPr>
        <w:t>III</w:t>
      </w:r>
      <w:r w:rsidRPr="004C7E4B">
        <w:rPr>
          <w:rFonts w:cstheme="minorHAnsi"/>
          <w:i/>
          <w:iCs/>
          <w:color w:val="0000FF"/>
          <w:highlight w:val="yellow"/>
        </w:rPr>
        <w:t>. OCHRONA SYGNALISTÓW</w:t>
      </w:r>
    </w:p>
    <w:p w14:paraId="77C29B45" w14:textId="4A70F520" w:rsidR="004C7E4B" w:rsidRPr="004C7E4B" w:rsidRDefault="004C7E4B" w:rsidP="004C7E4B">
      <w:pPr>
        <w:spacing w:after="0" w:line="240" w:lineRule="auto"/>
        <w:ind w:left="426"/>
        <w:jc w:val="both"/>
        <w:rPr>
          <w:rFonts w:cstheme="minorHAnsi"/>
          <w:i/>
          <w:iCs/>
          <w:color w:val="0000FF"/>
        </w:rPr>
      </w:pPr>
      <w:r w:rsidRPr="004C7E4B">
        <w:rPr>
          <w:rFonts w:cstheme="minorHAnsi"/>
          <w:i/>
          <w:iCs/>
          <w:color w:val="0000FF"/>
          <w:highlight w:val="yellow"/>
        </w:rPr>
        <w:t xml:space="preserve">Zgodnie z przepisami ustawy z dnia 14 czerwca 2024 r. o ochronie sygnalistów, Zamawiający wdrożył procedurę dokonywania zgłoszeń naruszeń prawa i podejmowania działań następczych, która opisana została w Zarządzeniu nr 20/2024 Dyrektora ZDMiKP w Bydgoszczy z dnia </w:t>
      </w:r>
      <w:r w:rsidRPr="004C7E4B">
        <w:rPr>
          <w:rFonts w:cstheme="minorHAnsi"/>
          <w:i/>
          <w:iCs/>
          <w:color w:val="0000FF"/>
          <w:highlight w:val="yellow"/>
        </w:rPr>
        <w:br/>
      </w:r>
      <w:r w:rsidRPr="004C7E4B">
        <w:rPr>
          <w:rFonts w:cstheme="minorHAnsi"/>
          <w:i/>
          <w:iCs/>
          <w:color w:val="0000FF"/>
          <w:highlight w:val="yellow"/>
        </w:rPr>
        <w:t xml:space="preserve">18 września 2024r. z załącznikami dostępne w Biuletynie Informacji Publicznej Zarządu </w:t>
      </w:r>
      <w:r w:rsidRPr="004C7E4B">
        <w:rPr>
          <w:rFonts w:cstheme="minorHAnsi"/>
          <w:i/>
          <w:iCs/>
          <w:color w:val="0000FF"/>
          <w:highlight w:val="yellow"/>
        </w:rPr>
        <w:br/>
      </w:r>
      <w:r w:rsidRPr="004C7E4B">
        <w:rPr>
          <w:rFonts w:cstheme="minorHAnsi"/>
          <w:i/>
          <w:iCs/>
          <w:color w:val="0000FF"/>
          <w:highlight w:val="yellow"/>
        </w:rPr>
        <w:t>Dróg Miejskich i Komunikacji Publicznej w Bydgoszczy</w:t>
      </w:r>
      <w:r w:rsidRPr="004C7E4B">
        <w:rPr>
          <w:rFonts w:cstheme="minorHAnsi"/>
          <w:i/>
          <w:iCs/>
          <w:color w:val="0000FF"/>
          <w:highlight w:val="yellow"/>
        </w:rPr>
        <w:t>, pod linkiem</w:t>
      </w:r>
      <w:r w:rsidRPr="004C7E4B">
        <w:rPr>
          <w:rFonts w:cstheme="minorHAnsi"/>
          <w:i/>
          <w:iCs/>
          <w:color w:val="0000FF"/>
          <w:highlight w:val="yellow"/>
        </w:rPr>
        <w:t xml:space="preserve"> </w:t>
      </w:r>
      <w:hyperlink r:id="rId7" w:history="1">
        <w:r w:rsidRPr="004C7E4B">
          <w:rPr>
            <w:rStyle w:val="Hipercze"/>
            <w:rFonts w:cstheme="minorHAnsi"/>
            <w:i/>
            <w:iCs/>
            <w:color w:val="0000FF"/>
            <w:highlight w:val="yellow"/>
          </w:rPr>
          <w:t>https://bip.zdmikp.bydgoszcz.pl/index.php/procedura-zgloszen-w-zdmikp</w:t>
        </w:r>
      </w:hyperlink>
    </w:p>
    <w:p w14:paraId="2702A916" w14:textId="29E95F32" w:rsidR="004426A2" w:rsidRPr="00E563D9" w:rsidRDefault="004426A2" w:rsidP="00F86880">
      <w:pPr>
        <w:pStyle w:val="Akapitzlist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hAnsi="Calibri" w:cs="Calibri"/>
          <w:bCs/>
          <w:spacing w:val="-2"/>
          <w:sz w:val="22"/>
          <w:szCs w:val="22"/>
        </w:rPr>
        <w:t xml:space="preserve">w załączniku Nr 1 do SWZ - </w:t>
      </w:r>
      <w:r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="004C7E4B">
        <w:rPr>
          <w:rFonts w:ascii="Calibri" w:hAnsi="Calibri" w:cs="Calibri"/>
          <w:bCs/>
          <w:spacing w:val="-2"/>
          <w:sz w:val="22"/>
          <w:szCs w:val="22"/>
        </w:rPr>
        <w:t xml:space="preserve">projektowanych postanowieniach </w:t>
      </w:r>
      <w:r>
        <w:rPr>
          <w:rFonts w:ascii="Calibri" w:hAnsi="Calibri" w:cs="Calibri"/>
          <w:bCs/>
          <w:spacing w:val="-2"/>
          <w:sz w:val="22"/>
          <w:szCs w:val="22"/>
        </w:rPr>
        <w:t xml:space="preserve">Umowy </w:t>
      </w:r>
      <w:r>
        <w:rPr>
          <w:rFonts w:ascii="Calibri" w:hAnsi="Calibri" w:cs="Calibri"/>
          <w:b/>
          <w:spacing w:val="-2"/>
          <w:sz w:val="22"/>
          <w:szCs w:val="22"/>
        </w:rPr>
        <w:t>§ </w:t>
      </w:r>
      <w:r w:rsidR="004C7E4B">
        <w:rPr>
          <w:rFonts w:ascii="Calibri" w:hAnsi="Calibri" w:cs="Calibri"/>
          <w:b/>
          <w:spacing w:val="-2"/>
          <w:sz w:val="22"/>
          <w:szCs w:val="22"/>
        </w:rPr>
        <w:t>16</w:t>
      </w:r>
      <w:r>
        <w:rPr>
          <w:rFonts w:ascii="Calibri" w:hAnsi="Calibri" w:cs="Calibri"/>
          <w:b/>
          <w:spacing w:val="-2"/>
          <w:sz w:val="22"/>
          <w:szCs w:val="22"/>
        </w:rPr>
        <w:t xml:space="preserve"> ust. 1 </w:t>
      </w:r>
      <w:r w:rsidRPr="008B71FC">
        <w:rPr>
          <w:rFonts w:ascii="Calibri" w:hAnsi="Calibri" w:cs="Calibri"/>
          <w:bCs/>
          <w:spacing w:val="-2"/>
          <w:sz w:val="22"/>
          <w:szCs w:val="22"/>
        </w:rPr>
        <w:t xml:space="preserve">otrzymuje </w:t>
      </w:r>
      <w:r w:rsidR="008F482C">
        <w:rPr>
          <w:rFonts w:ascii="Calibri" w:hAnsi="Calibri" w:cs="Calibri"/>
          <w:bCs/>
          <w:spacing w:val="-2"/>
          <w:sz w:val="22"/>
          <w:szCs w:val="22"/>
        </w:rPr>
        <w:t xml:space="preserve">nowe </w:t>
      </w:r>
      <w:r w:rsidRPr="008B71FC">
        <w:rPr>
          <w:rFonts w:ascii="Calibri" w:hAnsi="Calibri" w:cs="Calibri"/>
          <w:bCs/>
          <w:spacing w:val="-2"/>
          <w:sz w:val="22"/>
          <w:szCs w:val="22"/>
        </w:rPr>
        <w:t>brzmienie</w:t>
      </w:r>
      <w:r w:rsidRPr="00E563D9">
        <w:rPr>
          <w:rFonts w:ascii="Calibri" w:hAnsi="Calibri" w:cs="Calibri"/>
          <w:bCs/>
          <w:spacing w:val="-2"/>
          <w:sz w:val="22"/>
          <w:szCs w:val="22"/>
        </w:rPr>
        <w:t>:</w:t>
      </w:r>
    </w:p>
    <w:p w14:paraId="2C1D8118" w14:textId="4F892E41" w:rsidR="004426A2" w:rsidRDefault="004426A2" w:rsidP="004426A2">
      <w:pPr>
        <w:spacing w:after="0" w:line="240" w:lineRule="auto"/>
        <w:ind w:left="1134" w:hanging="425"/>
        <w:jc w:val="both"/>
        <w:rPr>
          <w:rFonts w:cstheme="minorHAnsi"/>
          <w:bCs/>
          <w:color w:val="0000FF"/>
        </w:rPr>
      </w:pPr>
      <w:r w:rsidRPr="008F482C">
        <w:rPr>
          <w:rFonts w:cstheme="minorHAnsi"/>
          <w:bCs/>
          <w:color w:val="0000FF"/>
          <w:highlight w:val="yellow"/>
        </w:rPr>
        <w:t>„</w:t>
      </w:r>
      <w:r w:rsidR="008F482C" w:rsidRPr="008F482C">
        <w:rPr>
          <w:rFonts w:cstheme="minorHAnsi"/>
          <w:bCs/>
          <w:color w:val="0000FF"/>
          <w:highlight w:val="yellow"/>
        </w:rPr>
        <w:t>1.</w:t>
      </w:r>
      <w:r w:rsidRPr="008F482C">
        <w:rPr>
          <w:rFonts w:cstheme="minorHAnsi"/>
          <w:bCs/>
          <w:color w:val="0000FF"/>
          <w:highlight w:val="yellow"/>
        </w:rPr>
        <w:tab/>
      </w:r>
      <w:r w:rsidR="008F482C" w:rsidRPr="008F482C">
        <w:rPr>
          <w:color w:val="0000FF"/>
          <w:highlight w:val="yellow"/>
        </w:rPr>
        <w:t>Wykonawca ponosi wobec Zamawiającego odpowiedzialność z tytułu rękojmi za wady fizyczne</w:t>
      </w:r>
      <w:r w:rsidR="008F482C" w:rsidRPr="008F482C">
        <w:rPr>
          <w:color w:val="0000FF"/>
          <w:szCs w:val="24"/>
          <w:highlight w:val="yellow"/>
        </w:rPr>
        <w:t xml:space="preserve"> przedmiotu Umowy</w:t>
      </w:r>
      <w:r w:rsidR="008F482C" w:rsidRPr="008F482C">
        <w:rPr>
          <w:color w:val="0000FF"/>
          <w:highlight w:val="yellow"/>
        </w:rPr>
        <w:t xml:space="preserve"> na zasadach określonych w Kodeksie cywilnym. </w:t>
      </w:r>
      <w:r w:rsidR="008F482C" w:rsidRPr="008F482C">
        <w:rPr>
          <w:color w:val="0000FF"/>
          <w:szCs w:val="24"/>
          <w:highlight w:val="yellow"/>
        </w:rPr>
        <w:t xml:space="preserve">Okres rękojmi wynosi </w:t>
      </w:r>
      <w:r w:rsidR="008F482C" w:rsidRPr="008F482C">
        <w:rPr>
          <w:color w:val="0000FF"/>
          <w:szCs w:val="24"/>
          <w:highlight w:val="yellow"/>
        </w:rPr>
        <w:t xml:space="preserve">24 miesiące </w:t>
      </w:r>
      <w:r w:rsidR="008F482C" w:rsidRPr="008F482C">
        <w:rPr>
          <w:color w:val="0000FF"/>
          <w:szCs w:val="24"/>
          <w:highlight w:val="yellow"/>
        </w:rPr>
        <w:t>licząc od daty zakończenia Umowy.</w:t>
      </w:r>
      <w:r w:rsidRPr="008F482C">
        <w:rPr>
          <w:rFonts w:cstheme="minorHAnsi"/>
          <w:bCs/>
          <w:color w:val="0000FF"/>
          <w:highlight w:val="yellow"/>
        </w:rPr>
        <w:t>”</w:t>
      </w:r>
      <w:r w:rsidRPr="008F482C">
        <w:rPr>
          <w:rFonts w:cstheme="minorHAnsi"/>
          <w:bCs/>
          <w:color w:val="0000FF"/>
        </w:rPr>
        <w:t xml:space="preserve"> </w:t>
      </w:r>
    </w:p>
    <w:p w14:paraId="0895FD24" w14:textId="5D989B62" w:rsidR="008F482C" w:rsidRPr="00E563D9" w:rsidRDefault="008F482C" w:rsidP="008F482C">
      <w:pPr>
        <w:pStyle w:val="Akapitzlist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hAnsi="Calibri" w:cs="Calibri"/>
          <w:bCs/>
          <w:spacing w:val="-2"/>
          <w:sz w:val="22"/>
          <w:szCs w:val="22"/>
        </w:rPr>
        <w:t xml:space="preserve">w załączniku Nr 1 do SWZ - </w:t>
      </w:r>
      <w:r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Cs/>
          <w:spacing w:val="-2"/>
          <w:sz w:val="22"/>
          <w:szCs w:val="22"/>
        </w:rPr>
        <w:t xml:space="preserve">projektowanych postanowieniach Umowy </w:t>
      </w:r>
      <w:r>
        <w:rPr>
          <w:rFonts w:ascii="Calibri" w:hAnsi="Calibri" w:cs="Calibri"/>
          <w:b/>
          <w:spacing w:val="-2"/>
          <w:sz w:val="22"/>
          <w:szCs w:val="22"/>
        </w:rPr>
        <w:t>§ 1</w:t>
      </w:r>
      <w:r>
        <w:rPr>
          <w:rFonts w:ascii="Calibri" w:hAnsi="Calibri" w:cs="Calibri"/>
          <w:b/>
          <w:spacing w:val="-2"/>
          <w:sz w:val="22"/>
          <w:szCs w:val="22"/>
        </w:rPr>
        <w:t>8</w:t>
      </w:r>
      <w:r>
        <w:rPr>
          <w:rFonts w:ascii="Calibri" w:hAnsi="Calibri" w:cs="Calibri"/>
          <w:b/>
          <w:spacing w:val="-2"/>
          <w:sz w:val="22"/>
          <w:szCs w:val="22"/>
        </w:rPr>
        <w:t xml:space="preserve"> ust. 1</w:t>
      </w:r>
      <w:r>
        <w:rPr>
          <w:rFonts w:ascii="Calibri" w:hAnsi="Calibri" w:cs="Calibri"/>
          <w:b/>
          <w:spacing w:val="-2"/>
          <w:sz w:val="22"/>
          <w:szCs w:val="22"/>
        </w:rPr>
        <w:t xml:space="preserve"> pkt 10</w:t>
      </w:r>
      <w:r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8B71FC">
        <w:rPr>
          <w:rFonts w:ascii="Calibri" w:hAnsi="Calibri" w:cs="Calibri"/>
          <w:bCs/>
          <w:spacing w:val="-2"/>
          <w:sz w:val="22"/>
          <w:szCs w:val="22"/>
        </w:rPr>
        <w:t xml:space="preserve">otrzymuje </w:t>
      </w:r>
      <w:r>
        <w:rPr>
          <w:rFonts w:ascii="Calibri" w:hAnsi="Calibri" w:cs="Calibri"/>
          <w:bCs/>
          <w:spacing w:val="-2"/>
          <w:sz w:val="22"/>
          <w:szCs w:val="22"/>
        </w:rPr>
        <w:t xml:space="preserve">nowe </w:t>
      </w:r>
      <w:r w:rsidRPr="008B71FC">
        <w:rPr>
          <w:rFonts w:ascii="Calibri" w:hAnsi="Calibri" w:cs="Calibri"/>
          <w:bCs/>
          <w:spacing w:val="-2"/>
          <w:sz w:val="22"/>
          <w:szCs w:val="22"/>
        </w:rPr>
        <w:t>brzmienie</w:t>
      </w:r>
      <w:r w:rsidRPr="00E563D9">
        <w:rPr>
          <w:rFonts w:ascii="Calibri" w:hAnsi="Calibri" w:cs="Calibri"/>
          <w:bCs/>
          <w:spacing w:val="-2"/>
          <w:sz w:val="22"/>
          <w:szCs w:val="22"/>
        </w:rPr>
        <w:t>:</w:t>
      </w:r>
    </w:p>
    <w:p w14:paraId="7D1CF08B" w14:textId="5C5C66DC" w:rsidR="008F482C" w:rsidRPr="008F482C" w:rsidRDefault="008F482C" w:rsidP="008F482C">
      <w:pPr>
        <w:spacing w:after="0" w:line="240" w:lineRule="auto"/>
        <w:ind w:left="1134" w:hanging="425"/>
        <w:jc w:val="both"/>
        <w:rPr>
          <w:rFonts w:cstheme="minorHAnsi"/>
          <w:bCs/>
          <w:color w:val="0000FF"/>
          <w:highlight w:val="yellow"/>
        </w:rPr>
      </w:pPr>
      <w:r w:rsidRPr="008F482C">
        <w:rPr>
          <w:rFonts w:cstheme="minorHAnsi"/>
          <w:bCs/>
          <w:color w:val="0000FF"/>
          <w:highlight w:val="yellow"/>
        </w:rPr>
        <w:t>„1</w:t>
      </w:r>
      <w:r>
        <w:rPr>
          <w:rFonts w:cstheme="minorHAnsi"/>
          <w:bCs/>
          <w:color w:val="0000FF"/>
          <w:highlight w:val="yellow"/>
        </w:rPr>
        <w:t>0)</w:t>
      </w:r>
      <w:r w:rsidRPr="008F482C">
        <w:rPr>
          <w:rFonts w:cstheme="minorHAnsi"/>
          <w:bCs/>
          <w:color w:val="0000FF"/>
          <w:highlight w:val="yellow"/>
        </w:rPr>
        <w:tab/>
        <w:t xml:space="preserve">za odstąpienie od Umowy przez Wykonawcę z przyczyn niezależnych od Zamawiającego oraz przez Zamawiającego z przyczyn zależnych od Wykonawcy określonych w § 17 niniejszej Umowy - w wysokości </w:t>
      </w:r>
      <w:r>
        <w:rPr>
          <w:rFonts w:cstheme="minorHAnsi"/>
          <w:bCs/>
          <w:color w:val="0000FF"/>
          <w:highlight w:val="yellow"/>
        </w:rPr>
        <w:t>10</w:t>
      </w:r>
      <w:r w:rsidRPr="008F482C">
        <w:rPr>
          <w:rFonts w:cstheme="minorHAnsi"/>
          <w:bCs/>
          <w:color w:val="0000FF"/>
          <w:highlight w:val="yellow"/>
        </w:rPr>
        <w:t xml:space="preserve">% wynagrodzenia Wykonawcy brutto, o którym mowa w § 3 ust. 1 Umowy.” </w:t>
      </w:r>
    </w:p>
    <w:p w14:paraId="60B3D169" w14:textId="77777777" w:rsidR="008F482C" w:rsidRPr="00E563D9" w:rsidRDefault="008F482C" w:rsidP="008F482C">
      <w:pPr>
        <w:pStyle w:val="Akapitzlist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hAnsi="Calibri" w:cs="Calibri"/>
          <w:bCs/>
          <w:spacing w:val="-2"/>
          <w:sz w:val="22"/>
          <w:szCs w:val="22"/>
        </w:rPr>
        <w:t xml:space="preserve">w załączniku Nr 1 do SWZ - </w:t>
      </w:r>
      <w:r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Cs/>
          <w:spacing w:val="-2"/>
          <w:sz w:val="22"/>
          <w:szCs w:val="22"/>
        </w:rPr>
        <w:t xml:space="preserve">projektowanych postanowieniach Umowy </w:t>
      </w:r>
      <w:r>
        <w:rPr>
          <w:rFonts w:ascii="Calibri" w:hAnsi="Calibri" w:cs="Calibri"/>
          <w:b/>
          <w:spacing w:val="-2"/>
          <w:sz w:val="22"/>
          <w:szCs w:val="22"/>
        </w:rPr>
        <w:t xml:space="preserve">§ 18 ust. 2 </w:t>
      </w:r>
      <w:r w:rsidRPr="008B71FC">
        <w:rPr>
          <w:rFonts w:ascii="Calibri" w:hAnsi="Calibri" w:cs="Calibri"/>
          <w:bCs/>
          <w:spacing w:val="-2"/>
          <w:sz w:val="22"/>
          <w:szCs w:val="22"/>
        </w:rPr>
        <w:t xml:space="preserve">otrzymuje </w:t>
      </w:r>
      <w:r>
        <w:rPr>
          <w:rFonts w:ascii="Calibri" w:hAnsi="Calibri" w:cs="Calibri"/>
          <w:bCs/>
          <w:spacing w:val="-2"/>
          <w:sz w:val="22"/>
          <w:szCs w:val="22"/>
        </w:rPr>
        <w:t xml:space="preserve">nowe </w:t>
      </w:r>
      <w:r w:rsidRPr="008B71FC">
        <w:rPr>
          <w:rFonts w:ascii="Calibri" w:hAnsi="Calibri" w:cs="Calibri"/>
          <w:bCs/>
          <w:spacing w:val="-2"/>
          <w:sz w:val="22"/>
          <w:szCs w:val="22"/>
        </w:rPr>
        <w:t>brzmienie</w:t>
      </w:r>
      <w:r w:rsidRPr="00E563D9">
        <w:rPr>
          <w:rFonts w:ascii="Calibri" w:hAnsi="Calibri" w:cs="Calibri"/>
          <w:bCs/>
          <w:spacing w:val="-2"/>
          <w:sz w:val="22"/>
          <w:szCs w:val="22"/>
        </w:rPr>
        <w:t>:</w:t>
      </w:r>
    </w:p>
    <w:p w14:paraId="6D758B60" w14:textId="77777777" w:rsidR="008F482C" w:rsidRPr="008F482C" w:rsidRDefault="008F482C" w:rsidP="008F482C">
      <w:pPr>
        <w:spacing w:after="0" w:line="240" w:lineRule="auto"/>
        <w:ind w:left="1134" w:hanging="425"/>
        <w:jc w:val="both"/>
        <w:rPr>
          <w:rFonts w:cstheme="minorHAnsi"/>
          <w:bCs/>
          <w:color w:val="0000FF"/>
          <w:highlight w:val="yellow"/>
        </w:rPr>
      </w:pPr>
      <w:r w:rsidRPr="008F482C">
        <w:rPr>
          <w:rFonts w:cstheme="minorHAnsi"/>
          <w:bCs/>
          <w:color w:val="0000FF"/>
          <w:highlight w:val="yellow"/>
        </w:rPr>
        <w:t>„</w:t>
      </w:r>
      <w:r>
        <w:rPr>
          <w:rFonts w:cstheme="minorHAnsi"/>
          <w:bCs/>
          <w:color w:val="0000FF"/>
          <w:highlight w:val="yellow"/>
        </w:rPr>
        <w:t>2.</w:t>
      </w:r>
      <w:r w:rsidRPr="008F482C">
        <w:rPr>
          <w:rFonts w:cstheme="minorHAnsi"/>
          <w:bCs/>
          <w:color w:val="0000FF"/>
          <w:highlight w:val="yellow"/>
        </w:rPr>
        <w:tab/>
        <w:t xml:space="preserve">Wykonawcy przysługuje kara umowna - w wysokości </w:t>
      </w:r>
      <w:r>
        <w:rPr>
          <w:rFonts w:cstheme="minorHAnsi"/>
          <w:bCs/>
          <w:color w:val="0000FF"/>
          <w:highlight w:val="yellow"/>
        </w:rPr>
        <w:t>10</w:t>
      </w:r>
      <w:r w:rsidRPr="008F482C">
        <w:rPr>
          <w:rFonts w:cstheme="minorHAnsi"/>
          <w:bCs/>
          <w:color w:val="0000FF"/>
          <w:highlight w:val="yellow"/>
        </w:rPr>
        <w:t xml:space="preserve">% wynagrodzenia brutto, o którym mowa w § 3 ust. 1 Umowy, za odstąpienie od Umowy przez Zamawiającego, z przyczyn niezależnych od Wykonawcy. </w:t>
      </w:r>
    </w:p>
    <w:p w14:paraId="5170C0BC" w14:textId="0562AFB2" w:rsidR="008F482C" w:rsidRPr="00E563D9" w:rsidRDefault="008F482C" w:rsidP="008F482C">
      <w:pPr>
        <w:pStyle w:val="Akapitzlist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hAnsi="Calibri" w:cs="Calibri"/>
          <w:bCs/>
          <w:spacing w:val="-2"/>
          <w:sz w:val="22"/>
          <w:szCs w:val="22"/>
        </w:rPr>
        <w:t xml:space="preserve">w załączniku Nr 1 do SWZ - </w:t>
      </w:r>
      <w:r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Cs/>
          <w:spacing w:val="-2"/>
          <w:sz w:val="22"/>
          <w:szCs w:val="22"/>
        </w:rPr>
        <w:t xml:space="preserve">projektowanych postanowieniach Umowy </w:t>
      </w:r>
      <w:r>
        <w:rPr>
          <w:rFonts w:ascii="Calibri" w:hAnsi="Calibri" w:cs="Calibri"/>
          <w:b/>
          <w:spacing w:val="-2"/>
          <w:sz w:val="22"/>
          <w:szCs w:val="22"/>
        </w:rPr>
        <w:t xml:space="preserve">§ 18 ust. </w:t>
      </w:r>
      <w:r>
        <w:rPr>
          <w:rFonts w:ascii="Calibri" w:hAnsi="Calibri" w:cs="Calibri"/>
          <w:b/>
          <w:spacing w:val="-2"/>
          <w:sz w:val="22"/>
          <w:szCs w:val="22"/>
        </w:rPr>
        <w:t>3</w:t>
      </w:r>
      <w:r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8B71FC">
        <w:rPr>
          <w:rFonts w:ascii="Calibri" w:hAnsi="Calibri" w:cs="Calibri"/>
          <w:bCs/>
          <w:spacing w:val="-2"/>
          <w:sz w:val="22"/>
          <w:szCs w:val="22"/>
        </w:rPr>
        <w:t xml:space="preserve">otrzymuje </w:t>
      </w:r>
      <w:r>
        <w:rPr>
          <w:rFonts w:ascii="Calibri" w:hAnsi="Calibri" w:cs="Calibri"/>
          <w:bCs/>
          <w:spacing w:val="-2"/>
          <w:sz w:val="22"/>
          <w:szCs w:val="22"/>
        </w:rPr>
        <w:t xml:space="preserve">nowe </w:t>
      </w:r>
      <w:r w:rsidRPr="008B71FC">
        <w:rPr>
          <w:rFonts w:ascii="Calibri" w:hAnsi="Calibri" w:cs="Calibri"/>
          <w:bCs/>
          <w:spacing w:val="-2"/>
          <w:sz w:val="22"/>
          <w:szCs w:val="22"/>
        </w:rPr>
        <w:t>brzmienie</w:t>
      </w:r>
      <w:r w:rsidRPr="00E563D9">
        <w:rPr>
          <w:rFonts w:ascii="Calibri" w:hAnsi="Calibri" w:cs="Calibri"/>
          <w:bCs/>
          <w:spacing w:val="-2"/>
          <w:sz w:val="22"/>
          <w:szCs w:val="22"/>
        </w:rPr>
        <w:t>:</w:t>
      </w:r>
    </w:p>
    <w:p w14:paraId="6D9EC4A3" w14:textId="4A37CA08" w:rsidR="008F482C" w:rsidRPr="008F482C" w:rsidRDefault="008F482C" w:rsidP="008F482C">
      <w:pPr>
        <w:spacing w:after="0" w:line="240" w:lineRule="auto"/>
        <w:ind w:left="1134" w:hanging="425"/>
        <w:jc w:val="both"/>
        <w:rPr>
          <w:rFonts w:cstheme="minorHAnsi"/>
          <w:bCs/>
          <w:color w:val="0000FF"/>
          <w:highlight w:val="yellow"/>
        </w:rPr>
      </w:pPr>
      <w:r w:rsidRPr="008F482C">
        <w:rPr>
          <w:rFonts w:cstheme="minorHAnsi"/>
          <w:bCs/>
          <w:color w:val="0000FF"/>
          <w:highlight w:val="yellow"/>
        </w:rPr>
        <w:t>„</w:t>
      </w:r>
      <w:r>
        <w:rPr>
          <w:rFonts w:cstheme="minorHAnsi"/>
          <w:bCs/>
          <w:color w:val="0000FF"/>
          <w:highlight w:val="yellow"/>
        </w:rPr>
        <w:t>3</w:t>
      </w:r>
      <w:r>
        <w:rPr>
          <w:rFonts w:cstheme="minorHAnsi"/>
          <w:bCs/>
          <w:color w:val="0000FF"/>
          <w:highlight w:val="yellow"/>
        </w:rPr>
        <w:t>.</w:t>
      </w:r>
      <w:r w:rsidRPr="008F482C">
        <w:rPr>
          <w:rFonts w:cstheme="minorHAnsi"/>
          <w:bCs/>
          <w:color w:val="0000FF"/>
          <w:highlight w:val="yellow"/>
        </w:rPr>
        <w:tab/>
        <w:t xml:space="preserve">Odpowiedzialność Wykonawcy z tytułu kar umownych, nie może przekroczyć łącznie </w:t>
      </w:r>
      <w:r>
        <w:rPr>
          <w:rFonts w:cstheme="minorHAnsi"/>
          <w:bCs/>
          <w:color w:val="0000FF"/>
          <w:highlight w:val="yellow"/>
        </w:rPr>
        <w:t>15</w:t>
      </w:r>
      <w:r w:rsidRPr="008F482C">
        <w:rPr>
          <w:rFonts w:cstheme="minorHAnsi"/>
          <w:bCs/>
          <w:color w:val="0000FF"/>
          <w:highlight w:val="yellow"/>
        </w:rPr>
        <w:t xml:space="preserve">% wynagrodzenia Wykonawcy brutto, o którym mowa w § 3 ust. 1 Umowy. </w:t>
      </w:r>
    </w:p>
    <w:p w14:paraId="7E833AF4" w14:textId="78DE325C" w:rsidR="00293F87" w:rsidRDefault="004426A2" w:rsidP="008F482C">
      <w:pPr>
        <w:spacing w:before="120" w:after="120" w:line="240" w:lineRule="auto"/>
        <w:jc w:val="both"/>
        <w:rPr>
          <w:rFonts w:ascii="Calibri" w:hAnsi="Calibri" w:cs="Arial"/>
        </w:rPr>
      </w:pPr>
      <w:r w:rsidRPr="00CC3243">
        <w:rPr>
          <w:rFonts w:ascii="Calibri" w:hAnsi="Calibri" w:cs="Arial"/>
        </w:rPr>
        <w:t xml:space="preserve">Zamawiający nie przekazuje ujednoliconej treści SWZ </w:t>
      </w:r>
      <w:r w:rsidR="00CC3243">
        <w:rPr>
          <w:rFonts w:ascii="Calibri" w:hAnsi="Calibri" w:cs="Arial"/>
        </w:rPr>
        <w:t xml:space="preserve">ani </w:t>
      </w:r>
      <w:r w:rsidR="008F482C" w:rsidRPr="00CC3243">
        <w:rPr>
          <w:rFonts w:ascii="Calibri" w:hAnsi="Calibri" w:cs="Arial"/>
        </w:rPr>
        <w:t>załączniki 1 do SWZ</w:t>
      </w:r>
      <w:r w:rsidR="008F482C" w:rsidRPr="00CC3243">
        <w:rPr>
          <w:rFonts w:ascii="Calibri" w:hAnsi="Calibri" w:cs="Arial"/>
        </w:rPr>
        <w:t xml:space="preserve"> </w:t>
      </w:r>
      <w:r w:rsidR="008F482C">
        <w:rPr>
          <w:rFonts w:ascii="Calibri" w:hAnsi="Calibri" w:cs="Arial"/>
        </w:rPr>
        <w:t>– projektowanych postanowień Umowy</w:t>
      </w:r>
      <w:r w:rsidR="00CC3243">
        <w:rPr>
          <w:rFonts w:ascii="Calibri" w:hAnsi="Calibri" w:cs="Arial"/>
        </w:rPr>
        <w:t>.</w:t>
      </w:r>
      <w:r w:rsidR="00293F87">
        <w:rPr>
          <w:rFonts w:ascii="Calibri" w:hAnsi="Calibri" w:cs="Arial"/>
        </w:rPr>
        <w:t xml:space="preserve"> Ujednolicenie treści zawieranej Umowy nastąpi po wyborze najkorzystniejszej oferty i uprawomocnieniu się wyniku postępowania.</w:t>
      </w:r>
    </w:p>
    <w:p w14:paraId="1971CAB3" w14:textId="03BDDA32" w:rsidR="008F482C" w:rsidRPr="00E563D9" w:rsidRDefault="008F482C" w:rsidP="001750CE">
      <w:pPr>
        <w:pStyle w:val="Akapitzlist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hAnsi="Calibri" w:cs="Calibri"/>
          <w:bCs/>
          <w:spacing w:val="-2"/>
          <w:sz w:val="22"/>
          <w:szCs w:val="22"/>
        </w:rPr>
        <w:t xml:space="preserve">w załączniku Nr </w:t>
      </w:r>
      <w:r>
        <w:rPr>
          <w:rFonts w:ascii="Calibri" w:hAnsi="Calibri" w:cs="Calibri"/>
          <w:bCs/>
          <w:spacing w:val="-2"/>
          <w:sz w:val="22"/>
          <w:szCs w:val="22"/>
        </w:rPr>
        <w:t>3</w:t>
      </w:r>
      <w:r>
        <w:rPr>
          <w:rFonts w:ascii="Calibri" w:hAnsi="Calibri" w:cs="Calibri"/>
          <w:bCs/>
          <w:spacing w:val="-2"/>
          <w:sz w:val="22"/>
          <w:szCs w:val="22"/>
        </w:rPr>
        <w:t xml:space="preserve"> do SWZ - </w:t>
      </w:r>
      <w:r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Cs/>
          <w:spacing w:val="-2"/>
          <w:sz w:val="22"/>
          <w:szCs w:val="22"/>
        </w:rPr>
        <w:t>wzorze Wyceny usługi,</w:t>
      </w:r>
      <w:r w:rsidR="001750CE">
        <w:rPr>
          <w:rFonts w:ascii="Calibri" w:hAnsi="Calibri" w:cs="Calibri"/>
          <w:bCs/>
          <w:spacing w:val="-2"/>
          <w:sz w:val="22"/>
          <w:szCs w:val="22"/>
        </w:rPr>
        <w:t xml:space="preserve"> w części B, </w:t>
      </w:r>
      <w:r w:rsidR="001750CE" w:rsidRPr="001750CE">
        <w:rPr>
          <w:rFonts w:ascii="Calibri" w:hAnsi="Calibri" w:cs="Calibri"/>
          <w:b/>
          <w:spacing w:val="-2"/>
          <w:sz w:val="22"/>
          <w:szCs w:val="22"/>
        </w:rPr>
        <w:t xml:space="preserve">opis </w:t>
      </w:r>
      <w:r w:rsidRPr="001750CE">
        <w:rPr>
          <w:rFonts w:ascii="Calibri" w:hAnsi="Calibri" w:cs="Calibri"/>
          <w:b/>
          <w:spacing w:val="-2"/>
          <w:sz w:val="22"/>
          <w:szCs w:val="22"/>
        </w:rPr>
        <w:t>poz</w:t>
      </w:r>
      <w:r w:rsidR="001750CE" w:rsidRPr="001750CE">
        <w:rPr>
          <w:rFonts w:ascii="Calibri" w:hAnsi="Calibri" w:cs="Calibri"/>
          <w:b/>
          <w:spacing w:val="-2"/>
          <w:sz w:val="22"/>
          <w:szCs w:val="22"/>
        </w:rPr>
        <w:t>. 66</w:t>
      </w:r>
      <w:r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8B71FC">
        <w:rPr>
          <w:rFonts w:ascii="Calibri" w:hAnsi="Calibri" w:cs="Calibri"/>
          <w:bCs/>
          <w:spacing w:val="-2"/>
          <w:sz w:val="22"/>
          <w:szCs w:val="22"/>
        </w:rPr>
        <w:t xml:space="preserve">otrzymuje </w:t>
      </w:r>
      <w:r>
        <w:rPr>
          <w:rFonts w:ascii="Calibri" w:hAnsi="Calibri" w:cs="Calibri"/>
          <w:bCs/>
          <w:spacing w:val="-2"/>
          <w:sz w:val="22"/>
          <w:szCs w:val="22"/>
        </w:rPr>
        <w:t xml:space="preserve">nowe </w:t>
      </w:r>
      <w:r w:rsidRPr="008B71FC">
        <w:rPr>
          <w:rFonts w:ascii="Calibri" w:hAnsi="Calibri" w:cs="Calibri"/>
          <w:bCs/>
          <w:spacing w:val="-2"/>
          <w:sz w:val="22"/>
          <w:szCs w:val="22"/>
        </w:rPr>
        <w:t>brzmienie</w:t>
      </w:r>
      <w:r w:rsidRPr="00E563D9">
        <w:rPr>
          <w:rFonts w:ascii="Calibri" w:hAnsi="Calibri" w:cs="Calibri"/>
          <w:bCs/>
          <w:spacing w:val="-2"/>
          <w:sz w:val="22"/>
          <w:szCs w:val="22"/>
        </w:rPr>
        <w:t>:</w:t>
      </w:r>
    </w:p>
    <w:p w14:paraId="7E4D3656" w14:textId="068258E5" w:rsidR="001750CE" w:rsidRPr="001750CE" w:rsidRDefault="008F482C" w:rsidP="001750CE">
      <w:pPr>
        <w:spacing w:after="0" w:line="240" w:lineRule="auto"/>
        <w:ind w:left="426"/>
        <w:jc w:val="both"/>
        <w:rPr>
          <w:rFonts w:cstheme="minorHAnsi"/>
          <w:bCs/>
          <w:color w:val="0000FF"/>
          <w:highlight w:val="yellow"/>
        </w:rPr>
      </w:pPr>
      <w:r w:rsidRPr="008F482C">
        <w:rPr>
          <w:rFonts w:cstheme="minorHAnsi"/>
          <w:bCs/>
          <w:color w:val="0000FF"/>
          <w:highlight w:val="yellow"/>
        </w:rPr>
        <w:t>„</w:t>
      </w:r>
      <w:r w:rsidR="001750CE" w:rsidRPr="001750CE">
        <w:rPr>
          <w:rFonts w:cstheme="minorHAnsi"/>
          <w:bCs/>
          <w:color w:val="0000FF"/>
          <w:highlight w:val="yellow"/>
        </w:rPr>
        <w:t>Implementacja do aplikacji Sprint ITS (</w:t>
      </w:r>
      <w:proofErr w:type="spellStart"/>
      <w:r w:rsidR="001750CE" w:rsidRPr="001750CE">
        <w:rPr>
          <w:rFonts w:cstheme="minorHAnsi"/>
          <w:bCs/>
          <w:color w:val="0000FF"/>
          <w:highlight w:val="yellow"/>
        </w:rPr>
        <w:t>InfoWallWeb</w:t>
      </w:r>
      <w:proofErr w:type="spellEnd"/>
      <w:r w:rsidR="001750CE" w:rsidRPr="001750CE">
        <w:rPr>
          <w:rFonts w:cstheme="minorHAnsi"/>
          <w:bCs/>
          <w:color w:val="0000FF"/>
          <w:highlight w:val="yellow"/>
        </w:rPr>
        <w:t xml:space="preserve">) sterownika sygnalizacji świetlnej ITC-3 </w:t>
      </w:r>
      <w:r w:rsidR="001750CE" w:rsidRPr="001750CE">
        <w:rPr>
          <w:rFonts w:cstheme="minorHAnsi"/>
          <w:bCs/>
          <w:color w:val="0000FF"/>
          <w:highlight w:val="yellow"/>
        </w:rPr>
        <w:br/>
        <w:t xml:space="preserve">(min. prezentacja statusu sterownika, dostęp do diagramu paskowego sygnalizacji), działającego już w systemie </w:t>
      </w:r>
      <w:proofErr w:type="spellStart"/>
      <w:r w:rsidR="001750CE" w:rsidRPr="001750CE">
        <w:rPr>
          <w:rFonts w:cstheme="minorHAnsi"/>
          <w:bCs/>
          <w:color w:val="0000FF"/>
          <w:highlight w:val="yellow"/>
        </w:rPr>
        <w:t>Scats</w:t>
      </w:r>
      <w:proofErr w:type="spellEnd"/>
      <w:r w:rsidR="001750CE" w:rsidRPr="001750CE">
        <w:rPr>
          <w:rFonts w:cstheme="minorHAnsi"/>
          <w:bCs/>
          <w:color w:val="0000FF"/>
          <w:highlight w:val="yellow"/>
        </w:rPr>
        <w:t xml:space="preserve"> wraz z uruchomieniem pełnej funkcjonalności dotyczącej raportów (min. natężenie, prędkość, struktura rodzajowa pojazdów) lub innego rozwiązania technicznego (np. wymiana sterownika sygnalizacji świetlnej), które zapewni pełną integrację z systemem oraz spełni następujące wymagania funkcjonalne min. prezentacja statusu sterownika, dostęp do diagramu paskowego sygnalizacji, działanie w systemie </w:t>
      </w:r>
      <w:proofErr w:type="spellStart"/>
      <w:r w:rsidR="001750CE" w:rsidRPr="001750CE">
        <w:rPr>
          <w:rFonts w:cstheme="minorHAnsi"/>
          <w:bCs/>
          <w:color w:val="0000FF"/>
          <w:highlight w:val="yellow"/>
        </w:rPr>
        <w:t>Scats</w:t>
      </w:r>
      <w:proofErr w:type="spellEnd"/>
      <w:r w:rsidR="001750CE" w:rsidRPr="001750CE">
        <w:rPr>
          <w:rFonts w:cstheme="minorHAnsi"/>
          <w:bCs/>
          <w:color w:val="0000FF"/>
          <w:highlight w:val="yellow"/>
        </w:rPr>
        <w:t xml:space="preserve"> wraz z uruchomieniem pełnej funkcjonalności dotyczącej raportów”.  </w:t>
      </w:r>
    </w:p>
    <w:p w14:paraId="258DAA3E" w14:textId="77777777" w:rsidR="001750CE" w:rsidRDefault="004C7E4B" w:rsidP="001750CE">
      <w:pPr>
        <w:spacing w:before="120" w:after="120" w:line="240" w:lineRule="auto"/>
        <w:jc w:val="both"/>
        <w:rPr>
          <w:rFonts w:ascii="Calibri" w:hAnsi="Calibri" w:cs="Arial"/>
        </w:rPr>
      </w:pPr>
      <w:r w:rsidRPr="001750CE">
        <w:rPr>
          <w:rFonts w:ascii="Calibri" w:hAnsi="Calibri" w:cs="Arial"/>
        </w:rPr>
        <w:lastRenderedPageBreak/>
        <w:t xml:space="preserve">Wobec powyższego Zamawiający dostarcza nowy wzór </w:t>
      </w:r>
      <w:r w:rsidR="001750CE">
        <w:rPr>
          <w:rFonts w:ascii="Calibri" w:hAnsi="Calibri" w:cs="Arial"/>
        </w:rPr>
        <w:t>wyceny usługi</w:t>
      </w:r>
      <w:r w:rsidRPr="001750CE">
        <w:rPr>
          <w:rFonts w:ascii="Calibri" w:hAnsi="Calibri" w:cs="Arial"/>
        </w:rPr>
        <w:t>, uwzględniający wprowadzon</w:t>
      </w:r>
      <w:r w:rsidR="001750CE">
        <w:rPr>
          <w:rFonts w:ascii="Calibri" w:hAnsi="Calibri" w:cs="Arial"/>
        </w:rPr>
        <w:t>ą</w:t>
      </w:r>
      <w:r w:rsidRPr="001750CE">
        <w:rPr>
          <w:rFonts w:ascii="Calibri" w:hAnsi="Calibri" w:cs="Arial"/>
        </w:rPr>
        <w:t xml:space="preserve"> zmian</w:t>
      </w:r>
      <w:r w:rsidR="001750CE">
        <w:rPr>
          <w:rFonts w:ascii="Calibri" w:hAnsi="Calibri" w:cs="Arial"/>
        </w:rPr>
        <w:t>ę</w:t>
      </w:r>
      <w:r w:rsidRPr="001750CE">
        <w:rPr>
          <w:rFonts w:ascii="Calibri" w:hAnsi="Calibri" w:cs="Arial"/>
        </w:rPr>
        <w:t xml:space="preserve"> zaznaczon</w:t>
      </w:r>
      <w:r w:rsidR="001750CE">
        <w:rPr>
          <w:rFonts w:ascii="Calibri" w:hAnsi="Calibri" w:cs="Arial"/>
        </w:rPr>
        <w:t>ą</w:t>
      </w:r>
      <w:r w:rsidRPr="001750CE">
        <w:rPr>
          <w:rFonts w:ascii="Calibri" w:hAnsi="Calibri" w:cs="Arial"/>
        </w:rPr>
        <w:t xml:space="preserve"> tłem koloru żółtego, stanowiący nowy załącznik Nr </w:t>
      </w:r>
      <w:r w:rsidR="001750CE">
        <w:rPr>
          <w:rFonts w:ascii="Calibri" w:hAnsi="Calibri" w:cs="Arial"/>
        </w:rPr>
        <w:t>3</w:t>
      </w:r>
      <w:r w:rsidRPr="001750CE">
        <w:rPr>
          <w:rFonts w:ascii="Calibri" w:hAnsi="Calibri" w:cs="Arial"/>
        </w:rPr>
        <w:t xml:space="preserve"> do SWZ oznaczony „ZMIANA 1 SWZ”</w:t>
      </w:r>
      <w:r w:rsidR="001750CE">
        <w:rPr>
          <w:rFonts w:ascii="Calibri" w:hAnsi="Calibri" w:cs="Arial"/>
        </w:rPr>
        <w:t>.</w:t>
      </w:r>
    </w:p>
    <w:p w14:paraId="2ED55E24" w14:textId="63539C3F" w:rsidR="00293F87" w:rsidRPr="0003346C" w:rsidRDefault="00293F87" w:rsidP="00293F87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93F87">
        <w:rPr>
          <w:rFonts w:asciiTheme="minorHAnsi" w:hAnsiTheme="minorHAnsi" w:cstheme="minorHAnsi"/>
          <w:sz w:val="22"/>
          <w:szCs w:val="22"/>
        </w:rPr>
        <w:t xml:space="preserve">ZMIANA Nr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93F87">
        <w:rPr>
          <w:rFonts w:asciiTheme="minorHAnsi" w:hAnsiTheme="minorHAnsi" w:cstheme="minorHAnsi"/>
          <w:sz w:val="22"/>
          <w:szCs w:val="22"/>
        </w:rPr>
        <w:t xml:space="preserve"> treści SWZ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449ED">
        <w:rPr>
          <w:rFonts w:asciiTheme="minorHAnsi" w:hAnsiTheme="minorHAnsi" w:cstheme="minorHAnsi"/>
          <w:sz w:val="22"/>
          <w:szCs w:val="22"/>
        </w:rPr>
        <w:t xml:space="preserve">nie </w:t>
      </w:r>
      <w:r w:rsidRPr="000F6E59">
        <w:rPr>
          <w:rFonts w:asciiTheme="minorHAnsi" w:hAnsiTheme="minorHAnsi" w:cstheme="minorHAnsi"/>
          <w:sz w:val="22"/>
          <w:szCs w:val="22"/>
        </w:rPr>
        <w:t>prowadz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0F6E59">
        <w:rPr>
          <w:rFonts w:asciiTheme="minorHAnsi" w:hAnsiTheme="minorHAnsi" w:cstheme="minorHAnsi"/>
          <w:sz w:val="22"/>
          <w:szCs w:val="22"/>
        </w:rPr>
        <w:t xml:space="preserve"> do zmiany treści ogłoszenia o zamówieniu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29CAE97" w14:textId="77777777" w:rsidR="007D3771" w:rsidRPr="0003346C" w:rsidRDefault="007D3771" w:rsidP="00293F87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759AEFEF" w14:textId="77777777" w:rsidR="00293F87" w:rsidRPr="00293F87" w:rsidRDefault="004426A2" w:rsidP="004426A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93F87">
        <w:rPr>
          <w:rFonts w:asciiTheme="minorHAnsi" w:hAnsiTheme="minorHAnsi" w:cstheme="minorHAnsi"/>
          <w:sz w:val="22"/>
          <w:szCs w:val="22"/>
        </w:rPr>
        <w:t xml:space="preserve">ZMIANA Nr </w:t>
      </w:r>
      <w:r w:rsidR="00293F87">
        <w:rPr>
          <w:rFonts w:asciiTheme="minorHAnsi" w:hAnsiTheme="minorHAnsi" w:cstheme="minorHAnsi"/>
          <w:sz w:val="22"/>
          <w:szCs w:val="22"/>
        </w:rPr>
        <w:t>1</w:t>
      </w:r>
      <w:r w:rsidRPr="00293F87">
        <w:rPr>
          <w:rFonts w:asciiTheme="minorHAnsi" w:hAnsiTheme="minorHAnsi" w:cstheme="minorHAnsi"/>
          <w:sz w:val="22"/>
          <w:szCs w:val="22"/>
        </w:rPr>
        <w:t xml:space="preserve"> treści SWZ nie wymaga</w:t>
      </w:r>
      <w:r w:rsidRPr="00473FAD">
        <w:rPr>
          <w:rFonts w:asciiTheme="minorHAnsi" w:hAnsiTheme="minorHAnsi" w:cstheme="minorHAnsi"/>
          <w:sz w:val="22"/>
          <w:szCs w:val="22"/>
        </w:rPr>
        <w:t xml:space="preserve"> </w:t>
      </w:r>
      <w:r w:rsidR="00293F87">
        <w:rPr>
          <w:rFonts w:asciiTheme="minorHAnsi" w:hAnsiTheme="minorHAnsi" w:cstheme="minorHAnsi"/>
          <w:sz w:val="22"/>
          <w:szCs w:val="22"/>
        </w:rPr>
        <w:t xml:space="preserve">od wykonawców </w:t>
      </w:r>
      <w:r w:rsidRPr="00473FAD">
        <w:rPr>
          <w:rFonts w:asciiTheme="minorHAnsi" w:hAnsiTheme="minorHAnsi" w:cstheme="minorHAnsi"/>
          <w:sz w:val="22"/>
          <w:szCs w:val="22"/>
        </w:rPr>
        <w:t xml:space="preserve">dodatkowego czasu na zapoznanie się z </w:t>
      </w:r>
      <w:r w:rsidR="00293F87">
        <w:rPr>
          <w:rFonts w:asciiTheme="minorHAnsi" w:hAnsiTheme="minorHAnsi" w:cstheme="minorHAnsi"/>
          <w:sz w:val="22"/>
          <w:szCs w:val="22"/>
        </w:rPr>
        <w:t>jej</w:t>
      </w:r>
      <w:r w:rsidRPr="00473FAD">
        <w:rPr>
          <w:rFonts w:asciiTheme="minorHAnsi" w:hAnsiTheme="minorHAnsi" w:cstheme="minorHAnsi"/>
          <w:sz w:val="22"/>
          <w:szCs w:val="22"/>
        </w:rPr>
        <w:t xml:space="preserve"> treścią i należyte przygotowanie i złożenie ofert, w związku</w:t>
      </w:r>
      <w:r w:rsidRPr="00F5589B">
        <w:rPr>
          <w:rFonts w:asciiTheme="minorHAnsi" w:hAnsiTheme="minorHAnsi" w:cstheme="minorHAnsi"/>
          <w:sz w:val="22"/>
          <w:szCs w:val="22"/>
        </w:rPr>
        <w:t xml:space="preserve"> z tym, </w:t>
      </w:r>
      <w:r w:rsidRPr="00653840">
        <w:rPr>
          <w:rFonts w:asciiTheme="minorHAnsi" w:hAnsiTheme="minorHAnsi" w:cstheme="minorHAnsi"/>
          <w:sz w:val="22"/>
          <w:szCs w:val="22"/>
        </w:rPr>
        <w:t>Zamawiający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49ED">
        <w:rPr>
          <w:rFonts w:asciiTheme="minorHAnsi" w:hAnsiTheme="minorHAnsi" w:cstheme="minorHAnsi"/>
          <w:b/>
          <w:bCs/>
          <w:sz w:val="22"/>
          <w:szCs w:val="22"/>
        </w:rPr>
        <w:t>nie przedłuża</w:t>
      </w:r>
      <w:r w:rsidRPr="00653840">
        <w:rPr>
          <w:rFonts w:asciiTheme="minorHAnsi" w:hAnsiTheme="minorHAnsi" w:cstheme="minorHAnsi"/>
          <w:b/>
          <w:sz w:val="22"/>
          <w:szCs w:val="22"/>
        </w:rPr>
        <w:t xml:space="preserve"> terminu składnia ofert</w:t>
      </w:r>
      <w:r w:rsidR="00293F87">
        <w:rPr>
          <w:rFonts w:asciiTheme="minorHAnsi" w:hAnsiTheme="minorHAnsi" w:cstheme="minorHAnsi"/>
          <w:b/>
          <w:sz w:val="22"/>
          <w:szCs w:val="22"/>
        </w:rPr>
        <w:t>.</w:t>
      </w:r>
    </w:p>
    <w:p w14:paraId="28257CE1" w14:textId="77777777" w:rsidR="007D3771" w:rsidRPr="00293F87" w:rsidRDefault="007D3771" w:rsidP="00293F87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5D585231" w14:textId="66FCD366" w:rsidR="004426A2" w:rsidRDefault="004426A2" w:rsidP="004426A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1348870"/>
      <w:r w:rsidRPr="00293F87">
        <w:rPr>
          <w:rFonts w:asciiTheme="minorHAnsi" w:hAnsiTheme="minorHAnsi" w:cstheme="minorHAnsi"/>
          <w:sz w:val="22"/>
          <w:szCs w:val="22"/>
        </w:rPr>
        <w:t xml:space="preserve">Wyjaśnienia i ZMIANA Nr </w:t>
      </w:r>
      <w:r w:rsidR="007D3771">
        <w:rPr>
          <w:rFonts w:asciiTheme="minorHAnsi" w:hAnsiTheme="minorHAnsi" w:cstheme="minorHAnsi"/>
          <w:sz w:val="22"/>
          <w:szCs w:val="22"/>
        </w:rPr>
        <w:t>1</w:t>
      </w:r>
      <w:r w:rsidRPr="00293F87">
        <w:rPr>
          <w:rFonts w:asciiTheme="minorHAnsi" w:hAnsiTheme="minorHAnsi" w:cstheme="minorHAnsi"/>
          <w:sz w:val="22"/>
          <w:szCs w:val="22"/>
        </w:rPr>
        <w:t xml:space="preserve"> treści SWZ stają</w:t>
      </w:r>
      <w:r w:rsidRPr="000F6E59">
        <w:rPr>
          <w:rFonts w:asciiTheme="minorHAnsi" w:hAnsiTheme="minorHAnsi" w:cstheme="minorHAnsi"/>
          <w:sz w:val="22"/>
          <w:szCs w:val="22"/>
        </w:rPr>
        <w:t xml:space="preserve"> się obowiązujące dla wszystkich Wykonawców ubiegających się o udzielenie przedmiotowego zamówienia z dniem ich udostępnienia na stronie internetowej prowadzonego postępowania </w:t>
      </w:r>
      <w:hyperlink r:id="rId8" w:history="1">
        <w:r w:rsidR="002852AB" w:rsidRPr="002852AB">
          <w:rPr>
            <w:rStyle w:val="Hipercze"/>
            <w:rFonts w:asciiTheme="minorHAnsi" w:hAnsiTheme="minorHAnsi" w:cstheme="minorHAnsi"/>
            <w:color w:val="0000FF"/>
            <w:sz w:val="22"/>
            <w:szCs w:val="22"/>
          </w:rPr>
          <w:t>https://platformazakupowa.pl/transakcja/1005101</w:t>
        </w:r>
      </w:hyperlink>
      <w:r w:rsidR="002852AB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.</w:t>
      </w:r>
    </w:p>
    <w:p w14:paraId="20560DB3" w14:textId="504407ED" w:rsidR="004426A2" w:rsidRDefault="004426A2" w:rsidP="004426A2">
      <w:pPr>
        <w:pStyle w:val="Akapitzlist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59018AE7" w14:textId="2058617B" w:rsidR="001750CE" w:rsidRDefault="001750CE" w:rsidP="004426A2">
      <w:pPr>
        <w:pStyle w:val="Akapitzlist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201D4E7D" w14:textId="48FC8C04" w:rsidR="007D3771" w:rsidRPr="00204641" w:rsidRDefault="007D3771" w:rsidP="004C7E4B">
      <w:pPr>
        <w:spacing w:after="0" w:line="240" w:lineRule="auto"/>
        <w:ind w:left="4536" w:right="-1"/>
        <w:jc w:val="center"/>
        <w:rPr>
          <w:rFonts w:cs="Calibri"/>
        </w:rPr>
      </w:pPr>
      <w:r w:rsidRPr="00204641">
        <w:rPr>
          <w:rFonts w:cs="Calibri"/>
        </w:rPr>
        <w:t xml:space="preserve">DYREKTOR </w:t>
      </w:r>
    </w:p>
    <w:p w14:paraId="1F58C663" w14:textId="77777777" w:rsidR="007D3771" w:rsidRPr="00204641" w:rsidRDefault="007D3771" w:rsidP="002852AB">
      <w:pPr>
        <w:spacing w:before="120" w:after="120" w:line="240" w:lineRule="auto"/>
        <w:ind w:left="4536"/>
        <w:jc w:val="center"/>
        <w:rPr>
          <w:rFonts w:cs="Calibri"/>
          <w:sz w:val="20"/>
          <w:szCs w:val="20"/>
        </w:rPr>
      </w:pPr>
      <w:r w:rsidRPr="00204641">
        <w:rPr>
          <w:rFonts w:cs="Calibri"/>
          <w:sz w:val="20"/>
          <w:szCs w:val="20"/>
        </w:rPr>
        <w:t>podpis nieczytelny</w:t>
      </w:r>
    </w:p>
    <w:p w14:paraId="2BBF878D" w14:textId="77777777" w:rsidR="007D3771" w:rsidRPr="00204641" w:rsidRDefault="007D3771" w:rsidP="004C7E4B">
      <w:pPr>
        <w:pBdr>
          <w:bottom w:val="dotted" w:sz="4" w:space="1" w:color="auto"/>
        </w:pBdr>
        <w:tabs>
          <w:tab w:val="left" w:pos="5387"/>
        </w:tabs>
        <w:spacing w:after="0" w:line="240" w:lineRule="auto"/>
        <w:ind w:left="5387" w:right="850"/>
        <w:jc w:val="center"/>
        <w:rPr>
          <w:rFonts w:cs="Calibri"/>
        </w:rPr>
      </w:pPr>
      <w:r w:rsidRPr="00204641">
        <w:rPr>
          <w:rFonts w:cs="Calibri"/>
        </w:rPr>
        <w:t>Wojciech Nalazek</w:t>
      </w:r>
    </w:p>
    <w:p w14:paraId="79C9B016" w14:textId="1FE31F59" w:rsidR="007D3771" w:rsidRPr="007D3771" w:rsidRDefault="007D3771" w:rsidP="007D3771">
      <w:pPr>
        <w:spacing w:after="0" w:line="240" w:lineRule="auto"/>
        <w:ind w:left="4678" w:right="-1"/>
        <w:jc w:val="center"/>
        <w:rPr>
          <w:rFonts w:ascii="Calibri" w:hAnsi="Calibri" w:cs="Arial"/>
          <w:bCs/>
          <w:spacing w:val="-4"/>
          <w:sz w:val="16"/>
          <w:szCs w:val="16"/>
        </w:rPr>
      </w:pPr>
      <w:r w:rsidRPr="007D3771">
        <w:rPr>
          <w:rFonts w:ascii="Calibri" w:hAnsi="Calibri" w:cs="Arial"/>
          <w:bCs/>
          <w:spacing w:val="-4"/>
          <w:sz w:val="16"/>
          <w:szCs w:val="16"/>
        </w:rPr>
        <w:t>(podpis Kierownika Zamawiającego)</w:t>
      </w:r>
      <w:bookmarkEnd w:id="0"/>
      <w:bookmarkEnd w:id="4"/>
    </w:p>
    <w:sectPr w:rsidR="007D3771" w:rsidRPr="007D3771" w:rsidSect="00434F5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1050D" w14:textId="77777777" w:rsidR="004657D7" w:rsidRDefault="004657D7" w:rsidP="0033686C">
      <w:pPr>
        <w:spacing w:after="0" w:line="240" w:lineRule="auto"/>
      </w:pPr>
      <w:r>
        <w:separator/>
      </w:r>
    </w:p>
  </w:endnote>
  <w:endnote w:type="continuationSeparator" w:id="0">
    <w:p w14:paraId="3F45CF6E" w14:textId="77777777" w:rsidR="004657D7" w:rsidRDefault="004657D7" w:rsidP="0033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241638"/>
      <w:docPartObj>
        <w:docPartGallery w:val="Page Numbers (Bottom of Page)"/>
        <w:docPartUnique/>
      </w:docPartObj>
    </w:sdtPr>
    <w:sdtContent>
      <w:p w14:paraId="4F632C1C" w14:textId="6900E602" w:rsidR="00293F87" w:rsidRDefault="00293F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E3EF60" w14:textId="77777777" w:rsidR="00293F87" w:rsidRDefault="00293F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33944" w14:textId="77777777" w:rsidR="00434F5E" w:rsidRPr="00BD476B" w:rsidRDefault="00434F5E" w:rsidP="00434F5E">
    <w:pPr>
      <w:pStyle w:val="Stopka"/>
      <w:jc w:val="right"/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>Zarząd Dróg Miejskich i Komunikacji Publicznej w Bydgoszczy</w:t>
    </w:r>
  </w:p>
  <w:p w14:paraId="5138E2C2" w14:textId="77777777" w:rsidR="00434F5E" w:rsidRPr="00BD476B" w:rsidRDefault="00434F5E" w:rsidP="00434F5E">
    <w:pPr>
      <w:pStyle w:val="Stopka"/>
      <w:jc w:val="right"/>
      <w:rPr>
        <w:rFonts w:ascii="Calibri" w:hAnsi="Calibri" w:cs="Calibri"/>
        <w:color w:val="808080" w:themeColor="background1" w:themeShade="80"/>
        <w:sz w:val="16"/>
        <w:szCs w:val="16"/>
        <w:lang w:val="de-DE"/>
      </w:rPr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 xml:space="preserve">85-844 Bydgoszcz, ul.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Toruńska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174a, tel. 52 / 582 27 23,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fax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52 / 582 27 77     </w:t>
    </w:r>
  </w:p>
  <w:p w14:paraId="56855095" w14:textId="5647593B" w:rsidR="00434F5E" w:rsidRPr="00434F5E" w:rsidRDefault="00434F5E" w:rsidP="00434F5E">
    <w:pPr>
      <w:pStyle w:val="Stopka"/>
      <w:jc w:val="right"/>
      <w:rPr>
        <w:rFonts w:ascii="Calibri" w:hAnsi="Calibri" w:cs="Calibri"/>
        <w:color w:val="808080" w:themeColor="background1" w:themeShade="80"/>
        <w:w w:val="120"/>
        <w:sz w:val="16"/>
        <w:szCs w:val="16"/>
        <w:lang w:val="de-DE"/>
      </w:rPr>
    </w:pPr>
    <w:hyperlink r:id="rId1" w:history="1">
      <w:r w:rsidRPr="00BD476B">
        <w:rPr>
          <w:rStyle w:val="Hipercze"/>
          <w:rFonts w:ascii="Calibri" w:hAnsi="Calibri" w:cs="Calibri"/>
          <w:color w:val="808080" w:themeColor="background1" w:themeShade="80"/>
          <w:sz w:val="16"/>
          <w:szCs w:val="16"/>
          <w:lang w:val="de-DE"/>
        </w:rPr>
        <w:t>zarzad@zdmikp.bydgoszcz.pl</w:t>
      </w:r>
    </w:hyperlink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, www.zdmikp.bydgoszcz.pl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8A8C2" w14:textId="77777777" w:rsidR="004657D7" w:rsidRDefault="004657D7" w:rsidP="0033686C">
      <w:pPr>
        <w:spacing w:after="0" w:line="240" w:lineRule="auto"/>
      </w:pPr>
      <w:r>
        <w:separator/>
      </w:r>
    </w:p>
  </w:footnote>
  <w:footnote w:type="continuationSeparator" w:id="0">
    <w:p w14:paraId="2AC9C48D" w14:textId="77777777" w:rsidR="004657D7" w:rsidRDefault="004657D7" w:rsidP="0033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9C0E" w14:textId="465A1B72" w:rsidR="0033686C" w:rsidRDefault="00434F5E" w:rsidP="00434F5E">
    <w:pPr>
      <w:pStyle w:val="Nagwek"/>
      <w:tabs>
        <w:tab w:val="clear" w:pos="4536"/>
        <w:tab w:val="clear" w:pos="9072"/>
        <w:tab w:val="left" w:pos="76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BE24" w14:textId="09DBCFB7" w:rsidR="00434F5E" w:rsidRDefault="00434F5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A2692" wp14:editId="2DA61649">
          <wp:simplePos x="0" y="0"/>
          <wp:positionH relativeFrom="column">
            <wp:posOffset>-419100</wp:posOffset>
          </wp:positionH>
          <wp:positionV relativeFrom="paragraph">
            <wp:posOffset>-286385</wp:posOffset>
          </wp:positionV>
          <wp:extent cx="2359507" cy="723900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348A1"/>
    <w:multiLevelType w:val="hybridMultilevel"/>
    <w:tmpl w:val="35A8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4D4C"/>
    <w:multiLevelType w:val="hybridMultilevel"/>
    <w:tmpl w:val="34C4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D6135"/>
    <w:multiLevelType w:val="hybridMultilevel"/>
    <w:tmpl w:val="083887DA"/>
    <w:lvl w:ilvl="0" w:tplc="2E18C77A">
      <w:start w:val="1"/>
      <w:numFmt w:val="decimal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04440">
      <w:start w:val="1"/>
      <w:numFmt w:val="decimal"/>
      <w:lvlText w:val="%2)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E840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AB70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A496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4AC5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CA27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AE42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8ABE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337F8E"/>
    <w:multiLevelType w:val="hybridMultilevel"/>
    <w:tmpl w:val="EA8C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F37B6"/>
    <w:multiLevelType w:val="hybridMultilevel"/>
    <w:tmpl w:val="3B7A39E4"/>
    <w:lvl w:ilvl="0" w:tplc="4C62BA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61021"/>
    <w:multiLevelType w:val="hybridMultilevel"/>
    <w:tmpl w:val="FDBC9DA6"/>
    <w:lvl w:ilvl="0" w:tplc="DC7AB6CA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FB6064"/>
    <w:multiLevelType w:val="hybridMultilevel"/>
    <w:tmpl w:val="6B0652EA"/>
    <w:lvl w:ilvl="0" w:tplc="3C5C024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8CA58D6"/>
    <w:multiLevelType w:val="hybridMultilevel"/>
    <w:tmpl w:val="D0B2CF3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37394D"/>
    <w:multiLevelType w:val="hybridMultilevel"/>
    <w:tmpl w:val="B6545380"/>
    <w:lvl w:ilvl="0" w:tplc="0C30CC6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256BEC"/>
    <w:multiLevelType w:val="multilevel"/>
    <w:tmpl w:val="E6061862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6B54C9F"/>
    <w:multiLevelType w:val="hybridMultilevel"/>
    <w:tmpl w:val="1234B6EE"/>
    <w:lvl w:ilvl="0" w:tplc="C58AF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75330C"/>
    <w:multiLevelType w:val="hybridMultilevel"/>
    <w:tmpl w:val="CB24B552"/>
    <w:lvl w:ilvl="0" w:tplc="F54C02B8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num w:numId="1" w16cid:durableId="449738395">
    <w:abstractNumId w:val="1"/>
  </w:num>
  <w:num w:numId="2" w16cid:durableId="406615007">
    <w:abstractNumId w:val="6"/>
  </w:num>
  <w:num w:numId="3" w16cid:durableId="293340123">
    <w:abstractNumId w:val="3"/>
  </w:num>
  <w:num w:numId="4" w16cid:durableId="517544815">
    <w:abstractNumId w:val="7"/>
  </w:num>
  <w:num w:numId="5" w16cid:durableId="466898873">
    <w:abstractNumId w:val="9"/>
  </w:num>
  <w:num w:numId="6" w16cid:durableId="12438736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620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38223">
    <w:abstractNumId w:val="10"/>
  </w:num>
  <w:num w:numId="9" w16cid:durableId="1566067527">
    <w:abstractNumId w:val="11"/>
  </w:num>
  <w:num w:numId="10" w16cid:durableId="551386885">
    <w:abstractNumId w:val="12"/>
  </w:num>
  <w:num w:numId="11" w16cid:durableId="2098863524">
    <w:abstractNumId w:val="8"/>
  </w:num>
  <w:num w:numId="12" w16cid:durableId="1177770401">
    <w:abstractNumId w:val="0"/>
  </w:num>
  <w:num w:numId="13" w16cid:durableId="2089958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6C"/>
    <w:rsid w:val="0014329A"/>
    <w:rsid w:val="001750CE"/>
    <w:rsid w:val="00204641"/>
    <w:rsid w:val="0020614C"/>
    <w:rsid w:val="002852AB"/>
    <w:rsid w:val="00293F87"/>
    <w:rsid w:val="002F6235"/>
    <w:rsid w:val="0033686C"/>
    <w:rsid w:val="0042575A"/>
    <w:rsid w:val="00434F5E"/>
    <w:rsid w:val="00436340"/>
    <w:rsid w:val="004426A2"/>
    <w:rsid w:val="004657D7"/>
    <w:rsid w:val="004C7E4B"/>
    <w:rsid w:val="00565AB4"/>
    <w:rsid w:val="0060343D"/>
    <w:rsid w:val="006E0041"/>
    <w:rsid w:val="007307A5"/>
    <w:rsid w:val="007C6C65"/>
    <w:rsid w:val="007D3771"/>
    <w:rsid w:val="008F482C"/>
    <w:rsid w:val="009B010C"/>
    <w:rsid w:val="009E2BC6"/>
    <w:rsid w:val="00AB5134"/>
    <w:rsid w:val="00B61B9E"/>
    <w:rsid w:val="00BD0840"/>
    <w:rsid w:val="00CC3243"/>
    <w:rsid w:val="00D0794B"/>
    <w:rsid w:val="00D35C1F"/>
    <w:rsid w:val="00DA3CCB"/>
    <w:rsid w:val="00E973BA"/>
    <w:rsid w:val="00F254F0"/>
    <w:rsid w:val="00F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92676"/>
  <w15:chartTrackingRefBased/>
  <w15:docId w15:val="{802AAB65-F287-4CDF-B77B-F970A73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86C"/>
  </w:style>
  <w:style w:type="paragraph" w:styleId="Stopka">
    <w:name w:val="footer"/>
    <w:basedOn w:val="Normalny"/>
    <w:link w:val="StopkaZnak"/>
    <w:uiPriority w:val="99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86C"/>
  </w:style>
  <w:style w:type="character" w:styleId="Hipercze">
    <w:name w:val="Hyperlink"/>
    <w:basedOn w:val="Domylnaczcionkaakapitu"/>
    <w:unhideWhenUsed/>
    <w:rsid w:val="0033686C"/>
    <w:rPr>
      <w:color w:val="0563C1" w:themeColor="hyperlink"/>
      <w:u w:val="single"/>
    </w:rPr>
  </w:style>
  <w:style w:type="paragraph" w:customStyle="1" w:styleId="Informacjekontaktowe">
    <w:name w:val="Informacje kontaktowe"/>
    <w:basedOn w:val="Normalny"/>
    <w:uiPriority w:val="1"/>
    <w:qFormat/>
    <w:rsid w:val="0033686C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Tekstpodstawowy">
    <w:name w:val="Body Text"/>
    <w:aliases w:val="Treść"/>
    <w:basedOn w:val="Normalny"/>
    <w:link w:val="TekstpodstawowyZnak"/>
    <w:rsid w:val="004426A2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4426A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"/>
    <w:basedOn w:val="Normalny"/>
    <w:link w:val="AkapitzlistZnak"/>
    <w:uiPriority w:val="34"/>
    <w:qFormat/>
    <w:rsid w:val="004426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34"/>
    <w:qFormat/>
    <w:locked/>
    <w:rsid w:val="004426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051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zdmikp.bydgoszcz.pl/index.php/procedura-zgloszen-w-zdmik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1556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ZDMiKP ZDMiKP</dc:creator>
  <cp:keywords/>
  <dc:description/>
  <cp:lastModifiedBy>Bogna Klimczewska</cp:lastModifiedBy>
  <cp:revision>8</cp:revision>
  <cp:lastPrinted>2024-11-18T10:43:00Z</cp:lastPrinted>
  <dcterms:created xsi:type="dcterms:W3CDTF">2023-01-02T09:48:00Z</dcterms:created>
  <dcterms:modified xsi:type="dcterms:W3CDTF">2024-11-18T10:43:00Z</dcterms:modified>
</cp:coreProperties>
</file>