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end"/>
        <w:rPr>
          <w:b/>
        </w:rPr>
      </w:pPr>
      <w:r>
        <w:rPr>
          <w:b/>
        </w:rPr>
        <w:t>ZAŁĄCZNIK NR 1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 xml:space="preserve">FORMULARZ CENOWY </w:t>
      </w:r>
    </w:p>
    <w:p>
      <w:pPr>
        <w:pStyle w:val="Normal"/>
        <w:jc w:val="center"/>
        <w:rPr/>
      </w:pPr>
      <w:r>
        <w:rPr>
          <w:b/>
        </w:rPr>
        <w:t xml:space="preserve">Przedmiot wartości szacunkowej – </w:t>
      </w:r>
      <w:r>
        <w:rPr>
          <w:b/>
          <w:color w:val="000000"/>
          <w:sz w:val="22"/>
          <w:szCs w:val="22"/>
        </w:rPr>
        <w:t xml:space="preserve"> „Zakup i dostawa wężyków do automatycznego wstrzykiwacza CT Motion dla pracowni RTG w Zespole Zakładów Opieki Zdrowotnej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w Czarnkowie” </w:t>
      </w:r>
    </w:p>
    <w:p>
      <w:pPr>
        <w:pStyle w:val="Normal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Zamawiający – Zespół Zakładów Opieki Zdrowotnej w Czarnkowie ul. Kościuszki 96; </w:t>
      </w:r>
    </w:p>
    <w:p>
      <w:pPr>
        <w:pStyle w:val="Normal"/>
        <w:rPr>
          <w:sz w:val="14"/>
          <w:szCs w:val="14"/>
        </w:rPr>
      </w:pPr>
      <w:r>
        <w:rPr>
          <w:b/>
          <w:sz w:val="22"/>
          <w:szCs w:val="22"/>
        </w:rPr>
        <w:t>64-700 Czarnków</w:t>
      </w:r>
    </w:p>
    <w:p>
      <w:pPr>
        <w:pStyle w:val="Normal"/>
        <w:ind w:start="1416" w:end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/>
        <w:rPr>
          <w:sz w:val="14"/>
          <w:szCs w:val="14"/>
        </w:rPr>
      </w:pPr>
      <w:r>
        <w:rPr>
          <w:b/>
          <w:sz w:val="22"/>
          <w:szCs w:val="22"/>
        </w:rPr>
        <w:t xml:space="preserve">Wykonawca – </w:t>
      </w:r>
      <w:r>
        <w:rPr>
          <w:sz w:val="22"/>
          <w:szCs w:val="22"/>
        </w:rPr>
        <w:t>( nazwa) …………………………………………………………………………………………</w:t>
      </w:r>
    </w:p>
    <w:p>
      <w:pPr>
        <w:pStyle w:val="Normal"/>
        <w:spacing w:lineRule="auto" w:line="24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/>
        <w:rPr>
          <w:sz w:val="14"/>
          <w:szCs w:val="14"/>
        </w:rPr>
      </w:pPr>
      <w:r>
        <w:rPr>
          <w:sz w:val="22"/>
          <w:szCs w:val="22"/>
        </w:rPr>
        <w:t>Adres……………………………………………………………………………………………………………...</w:t>
      </w:r>
    </w:p>
    <w:p>
      <w:pPr>
        <w:pStyle w:val="Normal"/>
        <w:spacing w:lineRule="auto" w:line="24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240"/>
        <w:rPr>
          <w:sz w:val="14"/>
          <w:szCs w:val="14"/>
          <w:lang w:val="de-DE"/>
        </w:rPr>
      </w:pPr>
      <w:r>
        <w:rPr>
          <w:sz w:val="22"/>
          <w:szCs w:val="22"/>
        </w:rPr>
        <w:t>NIP............................................................  nr KRS (jeżeli dotyczy) .....................................................................</w:t>
      </w:r>
    </w:p>
    <w:p>
      <w:pPr>
        <w:pStyle w:val="Normal"/>
        <w:spacing w:lineRule="auto" w:line="240"/>
        <w:jc w:val="both"/>
        <w:rPr>
          <w:sz w:val="14"/>
          <w:szCs w:val="14"/>
          <w:lang w:val="de-DE"/>
        </w:rPr>
      </w:pPr>
      <w:r>
        <w:rPr>
          <w:sz w:val="14"/>
          <w:szCs w:val="14"/>
          <w:lang w:val="de-DE"/>
        </w:rPr>
      </w:r>
    </w:p>
    <w:p>
      <w:pPr>
        <w:pStyle w:val="Normal"/>
        <w:spacing w:lineRule="auto" w:line="240"/>
        <w:rPr>
          <w:sz w:val="14"/>
          <w:szCs w:val="14"/>
          <w:lang w:val="de-DE"/>
        </w:rPr>
      </w:pPr>
      <w:r>
        <w:rPr>
          <w:sz w:val="22"/>
          <w:szCs w:val="22"/>
          <w:lang w:val="de-DE"/>
        </w:rPr>
        <w:t>nr telefonu* .................................................................................  adres e-mail*...................................................</w:t>
      </w:r>
    </w:p>
    <w:p>
      <w:pPr>
        <w:pStyle w:val="Normal"/>
        <w:rPr>
          <w:sz w:val="14"/>
          <w:szCs w:val="14"/>
          <w:lang w:val="de-DE"/>
        </w:rPr>
      </w:pPr>
      <w:r>
        <w:rPr>
          <w:sz w:val="14"/>
          <w:szCs w:val="14"/>
          <w:lang w:val="de-DE"/>
        </w:rPr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* Pola wypełniane nieobowiązkowo. Wypełnienie któregokolwiek z powyższych pól (telefon lub e-mail) oznacza, że wyrażasz zgodę na </w:t>
      </w:r>
      <w:r>
        <w:rPr>
          <w:b/>
          <w:sz w:val="18"/>
          <w:szCs w:val="18"/>
        </w:rPr>
        <w:t>przetwarzanie przez Zamawiającego podanych danych w celu kontaktu w związku z prowadzonym postępowaniem.</w:t>
      </w:r>
      <w:r>
        <w:rPr>
          <w:sz w:val="18"/>
          <w:szCs w:val="18"/>
        </w:rPr>
        <w:t xml:space="preserve"> </w:t>
        <w:br/>
        <w:t>Zgodę można wycofać w dowolnym momencie, przy czym wycofanie zgody nie będzie miało wpływu na zgodność z prawem.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Cs/>
          <w:sz w:val="16"/>
          <w:szCs w:val="16"/>
        </w:rPr>
      </w:pPr>
      <w:r>
        <w:rPr>
          <w:sz w:val="24"/>
          <w:szCs w:val="24"/>
        </w:rPr>
        <w:t>1. Charakterystyka zamówienia wężyków do pompy:</w:t>
      </w:r>
    </w:p>
    <w:p>
      <w:pPr>
        <w:pStyle w:val="Norma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5000" w:type="pct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081"/>
        <w:gridCol w:w="730"/>
        <w:gridCol w:w="803"/>
        <w:gridCol w:w="1468"/>
        <w:gridCol w:w="793"/>
        <w:gridCol w:w="963"/>
        <w:gridCol w:w="879"/>
      </w:tblGrid>
      <w:tr>
        <w:trPr/>
        <w:tc>
          <w:tcPr>
            <w:tcW w:w="40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Asortyment</w:t>
            </w:r>
          </w:p>
        </w:tc>
        <w:tc>
          <w:tcPr>
            <w:tcW w:w="7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</w:t>
            </w:r>
          </w:p>
        </w:tc>
        <w:tc>
          <w:tcPr>
            <w:tcW w:w="8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4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12 miesięcy</w:t>
            </w:r>
          </w:p>
        </w:tc>
      </w:tr>
      <w:tr>
        <w:trPr/>
        <w:tc>
          <w:tcPr>
            <w:tcW w:w="4081" w:type="dxa"/>
            <w:tcBorders>
              <w:star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Normal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0" w:type="dxa"/>
            <w:tcBorders>
              <w:star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03" w:type="dxa"/>
            <w:tcBorders>
              <w:star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68" w:type="dxa"/>
            <w:tcBorders>
              <w:star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  <w:shd w:fill="999999" w:val="clear"/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Netto</w:t>
            </w:r>
          </w:p>
        </w:tc>
        <w:tc>
          <w:tcPr>
            <w:tcW w:w="8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Brutto</w:t>
            </w:r>
          </w:p>
        </w:tc>
      </w:tr>
      <w:tr>
        <w:trPr/>
        <w:tc>
          <w:tcPr>
            <w:tcW w:w="408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Sterylny wężyk pacjenta, dł. 250 cm, dwa zawory zwrotne, złącze luerlock. Bez zawartości lateksu oraz ftalanów (DEHP). Szczelność 20 bar</w:t>
            </w:r>
          </w:p>
        </w:tc>
        <w:tc>
          <w:tcPr>
            <w:tcW w:w="7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80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46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081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Sterylny wężyk pompy wyposażony w trzy igły zabezpieczone kapturkami ochronnymi, elementy wężyka umożliwiają monitorowanie ciśnienia, posiada filtr cząsteczkowy, wbudowany zawór zwrotny, czas pracy na wężyku 24h, bez lateksu i ftalanów</w:t>
            </w:r>
          </w:p>
        </w:tc>
        <w:tc>
          <w:tcPr>
            <w:tcW w:w="730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</w:t>
            </w:r>
          </w:p>
        </w:tc>
        <w:tc>
          <w:tcPr>
            <w:tcW w:w="80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1468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9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63" w:type="dxa"/>
            <w:tcBorders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7875" w:type="dxa"/>
            <w:gridSpan w:val="5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jc w:val="en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6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Zawarto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rPr>
          <w:rFonts w:eastAsia="Times New Roman" w:cs="Times New Roman"/>
          <w:b w:val="false"/>
          <w:bCs w:val="false"/>
          <w:color w:val="auto"/>
          <w:sz w:val="22"/>
          <w:szCs w:val="22"/>
          <w:lang w:val="pl-PL" w:eastAsia="zh-CN" w:bidi="ar-SA"/>
        </w:rPr>
      </w:pPr>
      <w:r>
        <w:rPr>
          <w:b/>
          <w:sz w:val="22"/>
          <w:szCs w:val="22"/>
        </w:rPr>
        <w:t>Oświadczenia ofertowe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auto"/>
          <w:sz w:val="22"/>
          <w:szCs w:val="22"/>
          <w:lang w:val="pl-PL" w:eastAsia="zh-CN" w:bidi="ar-SA"/>
        </w:rPr>
        <w:t>oświadczamy, ze zapoznaliśmy się z warunkami ogłoszenia</w:t>
      </w:r>
      <w:r>
        <w:rPr>
          <w:sz w:val="22"/>
          <w:szCs w:val="22"/>
        </w:rPr>
        <w:t xml:space="preserve"> i nie wnosimy do nich zastrzeżeń oraz przyjmujemy warunki w nim zawarte;</w:t>
      </w:r>
    </w:p>
    <w:p>
      <w:pPr>
        <w:pStyle w:val="Normal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pozyskaliśmy wszystkie informacje pozwalające na sporządzenie oferty </w:t>
        <w:br/>
        <w:t>oraz wykonanie w/w zamówienia.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start="360" w:end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start="360" w:end="0"/>
        <w:rPr>
          <w:sz w:val="20"/>
          <w:szCs w:val="20"/>
        </w:rPr>
      </w:pPr>
      <w:r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  <w:tab/>
        <w:tab/>
        <w:tab/>
        <w:tab/>
        <w:tab/>
        <w:tab/>
        <w:t>…………………………………</w:t>
      </w:r>
    </w:p>
    <w:p>
      <w:pPr>
        <w:pStyle w:val="Normal"/>
        <w:ind w:start="360" w:end="0"/>
        <w:rPr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miejsce i data</w:t>
      </w:r>
      <w:r>
        <w:rPr>
          <w:sz w:val="22"/>
          <w:szCs w:val="22"/>
        </w:rPr>
        <w:tab/>
        <w:tab/>
        <w:tab/>
        <w:tab/>
        <w:tab/>
        <w:tab/>
      </w:r>
      <w:r>
        <w:rPr>
          <w:sz w:val="20"/>
          <w:szCs w:val="20"/>
        </w:rPr>
        <w:t>podpis i pieczęć osoby upoważnionej</w:t>
      </w:r>
    </w:p>
    <w:sectPr>
      <w:headerReference w:type="default" r:id="rId2"/>
      <w:type w:val="nextPage"/>
      <w:pgSz w:w="11906" w:h="16838"/>
      <w:pgMar w:left="1440" w:right="748" w:gutter="0" w:header="506" w:top="1920" w:footer="0" w:bottom="125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OpenSymbol">
    <w:altName w:val="Arial Unicode MS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98870" cy="728980"/>
          <wp:effectExtent l="0" t="0" r="0" b="0"/>
          <wp:wrapSquare wrapText="largest"/>
          <wp:docPr id="1" name="Obraz4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66" t="-1390" r="-166" b="-1390"/>
                  <a:stretch>
                    <a:fillRect/>
                  </a:stretch>
                </pic:blipFill>
                <pic:spPr bwMode="auto">
                  <a:xfrm>
                    <a:off x="0" y="0"/>
                    <a:ext cx="619887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ab/>
      <w:tab/>
      <w:tab/>
      <w:tab/>
      <w:tab/>
      <w:tab/>
      <w:tab/>
      <w:tab/>
      <w:tab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doNotBreakWrappedTable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426" w:leader="none"/>
      </w:tabs>
      <w:jc w:val="both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end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0" w:start="426" w:end="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2"/>
    </w:rPr>
  </w:style>
  <w:style w:type="character" w:styleId="WW8Num2z0">
    <w:name w:val="WW8Num2z0"/>
    <w:qFormat/>
    <w:rPr/>
  </w:style>
  <w:style w:type="character" w:styleId="WW8Num1z0">
    <w:name w:val="WW8Num1z0"/>
    <w:qFormat/>
    <w:rPr>
      <w:b w:val="false"/>
      <w:sz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1z6">
    <w:name w:val="WW8Num1z6"/>
    <w:qFormat/>
    <w:rPr>
      <w:rFonts w:ascii="Symbol" w:hAnsi="Symbol" w:cs="Symbol"/>
    </w:rPr>
  </w:style>
  <w:style w:type="character" w:styleId="WW8Num2z1">
    <w:name w:val="WW8Num2z1"/>
    <w:qFormat/>
    <w:rPr>
      <w:b w:val="false"/>
    </w:rPr>
  </w:style>
  <w:style w:type="character" w:styleId="WW8Num2z2">
    <w:name w:val="WW8Num2z2"/>
    <w:qFormat/>
    <w:rPr/>
  </w:style>
  <w:style w:type="character" w:styleId="WW8Num3z0">
    <w:name w:val="WW8Num3z0"/>
    <w:qFormat/>
    <w:rPr>
      <w:i w:val="false"/>
      <w:color w:val="000000"/>
      <w:sz w:val="22"/>
      <w:szCs w:val="22"/>
    </w:rPr>
  </w:style>
  <w:style w:type="character" w:styleId="WW8Num3z1">
    <w:name w:val="WW8Num3z1"/>
    <w:qFormat/>
    <w:rPr>
      <w:b w:val="false"/>
    </w:rPr>
  </w:style>
  <w:style w:type="character" w:styleId="WW8Num3z2">
    <w:name w:val="WW8Num3z2"/>
    <w:qFormat/>
    <w:rPr/>
  </w:style>
  <w:style w:type="character" w:styleId="WW8Num4z0">
    <w:name w:val="WW8Num4z0"/>
    <w:qFormat/>
    <w:rPr>
      <w:b w:val="false"/>
      <w:sz w:val="22"/>
      <w:szCs w:val="22"/>
    </w:rPr>
  </w:style>
  <w:style w:type="character" w:styleId="WW8Num5z0">
    <w:name w:val="WW8Num5z0"/>
    <w:qFormat/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WW8Num6z0">
    <w:name w:val="WW8Num6z0"/>
    <w:qFormat/>
    <w:rPr>
      <w:rFonts w:ascii="Times New Roman" w:hAnsi="Times New Roman" w:eastAsia="Times New Roman" w:cs="Times New Roman"/>
      <w:b/>
      <w:sz w:val="22"/>
      <w:szCs w:val="22"/>
    </w:rPr>
  </w:style>
  <w:style w:type="character" w:styleId="WW8Num7z0">
    <w:name w:val="WW8Num7z0"/>
    <w:qFormat/>
    <w:rPr>
      <w:rFonts w:ascii="Times New Roman" w:hAnsi="Times New Roman" w:eastAsia="Calibri" w:cs="Times New Roman"/>
      <w:b w:val="false"/>
      <w:i/>
      <w:sz w:val="22"/>
      <w:szCs w:val="22"/>
    </w:rPr>
  </w:style>
  <w:style w:type="character" w:styleId="WW8Num7z1">
    <w:name w:val="WW8Num7z1"/>
    <w:qFormat/>
    <w:rPr>
      <w:rFonts w:ascii="Times New Roman" w:hAnsi="Times New Roman" w:eastAsia="Calibri" w:cs="Times New Roman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4">
    <w:name w:val="WW8Num7z4"/>
    <w:qFormat/>
    <w:rPr>
      <w:rFonts w:ascii="Courier New" w:hAnsi="Courier New" w:cs="Courier New"/>
    </w:rPr>
  </w:style>
  <w:style w:type="character" w:styleId="WW8Num8z0">
    <w:name w:val="WW8Num8z0"/>
    <w:qFormat/>
    <w:rPr>
      <w:i w:val="false"/>
      <w:color w:val="000000"/>
      <w:sz w:val="22"/>
      <w:szCs w:val="22"/>
    </w:rPr>
  </w:style>
  <w:style w:type="character" w:styleId="WW8Num8z1">
    <w:name w:val="WW8Num8z1"/>
    <w:qFormat/>
    <w:rPr>
      <w:rFonts w:ascii="Times New Roman" w:hAnsi="Times New Roman" w:cs="Times New Roman"/>
      <w:b/>
    </w:rPr>
  </w:style>
  <w:style w:type="character" w:styleId="WW8Num8z2">
    <w:name w:val="WW8Num8z2"/>
    <w:qFormat/>
    <w:rPr>
      <w:b w:val="false"/>
    </w:rPr>
  </w:style>
  <w:style w:type="character" w:styleId="WW8Num9z0">
    <w:name w:val="WW8Num9z0"/>
    <w:qFormat/>
    <w:rPr>
      <w:rFonts w:ascii="Times New Roman" w:hAnsi="Times New Roman" w:eastAsia="Calibri" w:cs="Times New Roman"/>
      <w:b/>
    </w:rPr>
  </w:style>
  <w:style w:type="character" w:styleId="WW8Num9z1">
    <w:name w:val="WW8Num9z1"/>
    <w:qFormat/>
    <w:rPr/>
  </w:style>
  <w:style w:type="character" w:styleId="WW8Num10z0">
    <w:name w:val="WW8Num10z0"/>
    <w:qFormat/>
    <w:rPr>
      <w:rFonts w:ascii="Times New Roman" w:hAnsi="Times New Roman" w:eastAsia="Calibri" w:cs="Times New Roman"/>
      <w:b w:val="false"/>
      <w:color w:val="000000"/>
      <w:sz w:val="22"/>
      <w:szCs w:val="22"/>
      <w:lang w:eastAsia="en-US"/>
    </w:rPr>
  </w:style>
  <w:style w:type="character" w:styleId="WW8Num11z0">
    <w:name w:val="WW8Num11z0"/>
    <w:qFormat/>
    <w:rPr>
      <w:rFonts w:ascii="Symbol" w:hAnsi="Symbol" w:cs="Symbol"/>
      <w:color w:val="000000"/>
      <w:sz w:val="22"/>
      <w:szCs w:val="22"/>
      <w:lang w:eastAsia="en-US"/>
    </w:rPr>
  </w:style>
  <w:style w:type="character" w:styleId="WW8Num11z1">
    <w:name w:val="WW8Num11z1"/>
    <w:qFormat/>
    <w:rPr>
      <w:rFonts w:ascii="OpenSymbol;Arial Unicode MS" w:hAnsi="OpenSymbol;Arial Unicode MS" w:cs="Courier New"/>
    </w:rPr>
  </w:style>
  <w:style w:type="character" w:styleId="WW8Num11z3">
    <w:name w:val="WW8Num11z3"/>
    <w:qFormat/>
    <w:rPr>
      <w:rFonts w:ascii="Symbol" w:hAnsi="Symbol" w:cs="Symbol"/>
      <w:color w:val="FF0000"/>
      <w:sz w:val="22"/>
      <w:szCs w:val="22"/>
      <w:lang w:eastAsia="en-US"/>
    </w:rPr>
  </w:style>
  <w:style w:type="character" w:styleId="WW8Num12z0">
    <w:name w:val="WW8Num12z0"/>
    <w:qFormat/>
    <w:rPr>
      <w:rFonts w:ascii="Symbol" w:hAnsi="Symbol" w:cs="Symbol"/>
      <w:b/>
      <w:color w:val="000000"/>
      <w:sz w:val="22"/>
      <w:szCs w:val="22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2z3">
    <w:name w:val="WW8Num12z3"/>
    <w:qFormat/>
    <w:rPr>
      <w:rFonts w:ascii="Symbol" w:hAnsi="Symbol" w:cs="Symbol"/>
      <w:b/>
      <w:color w:val="FF0000"/>
      <w:sz w:val="22"/>
      <w:szCs w:val="22"/>
    </w:rPr>
  </w:style>
  <w:style w:type="character" w:styleId="WW8Num13z0">
    <w:name w:val="WW8Num13z0"/>
    <w:qFormat/>
    <w:rPr>
      <w:rFonts w:ascii="Symbol" w:hAnsi="Symbol" w:cs="Times New Roman"/>
      <w:b w:val="false"/>
      <w:i w:val="false"/>
      <w:color w:val="000000"/>
      <w:sz w:val="22"/>
      <w:szCs w:val="22"/>
      <w:lang w:val="de-DE" w:eastAsia="en-US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Times New Roman" w:hAnsi="Times New Roman" w:cs="Times New Roman"/>
      <w:b/>
    </w:rPr>
  </w:style>
  <w:style w:type="character" w:styleId="WW8Num16z0">
    <w:name w:val="WW8Num16z0"/>
    <w:qFormat/>
    <w:rPr>
      <w:rFonts w:ascii="Times New Roman" w:hAnsi="Times New Roman" w:eastAsia="Calibri" w:cs="Times New Roman"/>
    </w:rPr>
  </w:style>
  <w:style w:type="character" w:styleId="WW8Num18z0">
    <w:name w:val="WW8Num18z0"/>
    <w:qFormat/>
    <w:rPr>
      <w:rFonts w:ascii="Times New Roman" w:hAnsi="Times New Roman" w:eastAsia="Times New Roman" w:cs="Times New Roman"/>
      <w:b w:val="false"/>
      <w:sz w:val="22"/>
    </w:rPr>
  </w:style>
  <w:style w:type="character" w:styleId="WW8Num20z0">
    <w:name w:val="WW8Num20z0"/>
    <w:qFormat/>
    <w:rPr>
      <w:b w:val="false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/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>
      <w:b w:val="false"/>
      <w:i w:val="false"/>
    </w:rPr>
  </w:style>
  <w:style w:type="character" w:styleId="WW8Num24z0">
    <w:name w:val="WW8Num24z0"/>
    <w:qFormat/>
    <w:rPr>
      <w:i w:val="false"/>
    </w:rPr>
  </w:style>
  <w:style w:type="character" w:styleId="WW8Num27z0">
    <w:name w:val="WW8Num27z0"/>
    <w:qFormat/>
    <w:rPr/>
  </w:style>
  <w:style w:type="character" w:styleId="WW8Num29z0">
    <w:name w:val="WW8Num29z0"/>
    <w:qFormat/>
    <w:rPr>
      <w:b w:val="false"/>
    </w:rPr>
  </w:style>
  <w:style w:type="character" w:styleId="WW8Num30z0">
    <w:name w:val="WW8Num30z0"/>
    <w:qFormat/>
    <w:rPr>
      <w:b w:val="false"/>
      <w:sz w:val="22"/>
    </w:rPr>
  </w:style>
  <w:style w:type="character" w:styleId="WW8Num30z1">
    <w:name w:val="WW8Num30z1"/>
    <w:qFormat/>
    <w:rPr/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4">
    <w:name w:val="WW8Num30z4"/>
    <w:qFormat/>
    <w:rPr>
      <w:rFonts w:ascii="Courier New" w:hAnsi="Courier New" w:cs="Courier New"/>
    </w:rPr>
  </w:style>
  <w:style w:type="character" w:styleId="WW8Num30z6">
    <w:name w:val="WW8Num30z6"/>
    <w:qFormat/>
    <w:rPr>
      <w:rFonts w:ascii="Symbol" w:hAnsi="Symbol" w:cs="Symbol"/>
    </w:rPr>
  </w:style>
  <w:style w:type="character" w:styleId="WW8Num31z0">
    <w:name w:val="WW8Num31z0"/>
    <w:qFormat/>
    <w:rPr>
      <w:b w:val="false"/>
      <w:i w:val="false"/>
      <w:color w:val="000000"/>
    </w:rPr>
  </w:style>
  <w:style w:type="character" w:styleId="WW8Num31z1">
    <w:name w:val="WW8Num31z1"/>
    <w:qFormat/>
    <w:rPr/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4">
    <w:name w:val="WW8Num31z4"/>
    <w:qFormat/>
    <w:rPr>
      <w:rFonts w:ascii="Courier New" w:hAnsi="Courier New" w:cs="Courier New"/>
    </w:rPr>
  </w:style>
  <w:style w:type="character" w:styleId="WW8Num32z0">
    <w:name w:val="WW8Num32z0"/>
    <w:qFormat/>
    <w:rPr/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0">
    <w:name w:val="WW8Num33z0"/>
    <w:qFormat/>
    <w:rPr/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PageNumber">
    <w:name w:val="Page Number"/>
    <w:basedOn w:val="Domylnaczcionkaakapitu"/>
    <w:rPr/>
  </w:style>
  <w:style w:type="character" w:styleId="Hyperlink">
    <w:name w:val="Hyperlink"/>
    <w:rPr>
      <w:color w:val="0000FF"/>
      <w:u w:val="single"/>
    </w:rPr>
  </w:style>
  <w:style w:type="character" w:styleId="StopkaZnak">
    <w:name w:val="Stopka Znak"/>
    <w:qFormat/>
    <w:rPr>
      <w:sz w:val="24"/>
      <w:szCs w:val="24"/>
      <w:lang w:val="pl-PL" w:bidi="ar-SA"/>
    </w:rPr>
  </w:style>
  <w:style w:type="character" w:styleId="TytuZnak">
    <w:name w:val="Tytuł Znak"/>
    <w:qFormat/>
    <w:rPr>
      <w:b/>
      <w:bCs/>
      <w:sz w:val="24"/>
      <w:lang w:val="pl-PL" w:bidi="ar-SA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sz w:val="24"/>
      <w:szCs w:val="24"/>
      <w:lang w:val="pl-PL" w:bidi="ar-SA"/>
    </w:rPr>
  </w:style>
  <w:style w:type="character" w:styleId="TematkomentarzaZnak">
    <w:name w:val="Temat komentarza Znak"/>
    <w:qFormat/>
    <w:rPr>
      <w:b/>
      <w:bCs/>
      <w:sz w:val="24"/>
      <w:szCs w:val="24"/>
      <w:lang w:val="pl-PL" w:bidi="ar-SA"/>
    </w:rPr>
  </w:style>
  <w:style w:type="character" w:styleId="Teksttreci">
    <w:name w:val="Tekst treści_"/>
    <w:qFormat/>
    <w:rPr>
      <w:sz w:val="22"/>
      <w:szCs w:val="22"/>
      <w:shd w:fill="FFFFFF" w:val="clear"/>
    </w:rPr>
  </w:style>
  <w:style w:type="character" w:styleId="TekstpodstawowyZnak">
    <w:name w:val="Tekst podstawowy Znak"/>
    <w:qFormat/>
    <w:rPr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character" w:styleId="TekstdymkaZnak">
    <w:name w:val="Tekst dymka Znak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BodyText"/>
    <w:qFormat/>
    <w:pPr>
      <w:jc w:val="center"/>
    </w:pPr>
    <w:rPr>
      <w:b/>
      <w:bCs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">
    <w:name w:val="Caption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">
    <w:name w:val="Caption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">
    <w:name w:val="Caption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1">
    <w:name w:val="Caption1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11">
    <w:name w:val="Caption11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111">
    <w:name w:val="Caption111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111111111111">
    <w:name w:val="Caption11111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ption1111111111111111">
    <w:name w:val="Caption1111111111111111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wcity2">
    <w:name w:val="Tekst podstawowy wcięty 2"/>
    <w:basedOn w:val="Normal"/>
    <w:qFormat/>
    <w:pPr>
      <w:ind w:hanging="567" w:start="993" w:end="0"/>
      <w:jc w:val="both"/>
    </w:pPr>
    <w:rPr>
      <w:szCs w:val="20"/>
    </w:rPr>
  </w:style>
  <w:style w:type="paragraph" w:styleId="Tekstpodstawowy2">
    <w:name w:val="Tekst podstawowy 2"/>
    <w:basedOn w:val="Normal"/>
    <w:qFormat/>
    <w:pPr>
      <w:tabs>
        <w:tab w:val="clear" w:pos="708"/>
        <w:tab w:val="left" w:pos="426" w:leader="none"/>
      </w:tabs>
    </w:pPr>
    <w:rPr>
      <w:sz w:val="22"/>
    </w:rPr>
  </w:style>
  <w:style w:type="paragraph" w:styleId="BodyTextIndent">
    <w:name w:val="Body Text Indent"/>
    <w:basedOn w:val="Normal"/>
    <w:pPr>
      <w:spacing w:before="0" w:after="120"/>
      <w:ind w:hanging="0" w:start="283" w:end="0"/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Legenda">
    <w:name w:val="Legenda"/>
    <w:basedOn w:val="Normal"/>
    <w:next w:val="Normal"/>
    <w:qFormat/>
    <w:pPr>
      <w:tabs>
        <w:tab w:val="clear" w:pos="708"/>
        <w:tab w:val="left" w:pos="426" w:leader="none"/>
      </w:tabs>
      <w:jc w:val="end"/>
    </w:pPr>
    <w:rPr>
      <w:b/>
      <w:sz w:val="22"/>
    </w:rPr>
  </w:style>
  <w:style w:type="paragraph" w:styleId="ListParagraph">
    <w:name w:val="List Paragraph"/>
    <w:basedOn w:val="Normal"/>
    <w:qFormat/>
    <w:pPr>
      <w:spacing w:before="0" w:after="0"/>
      <w:ind w:hanging="0" w:start="720" w:end="0"/>
      <w:contextualSpacing/>
    </w:pPr>
    <w:rPr>
      <w:rFonts w:eastAsia="Calibri"/>
    </w:rPr>
  </w:style>
  <w:style w:type="paragraph" w:styleId="Tekstkomentarza">
    <w:name w:val="Tekst komentarza"/>
    <w:basedOn w:val="Normal"/>
    <w:qFormat/>
    <w:pPr/>
    <w:rPr/>
  </w:style>
  <w:style w:type="paragraph" w:styleId="Tematkomentarza">
    <w:name w:val="Temat komentarza"/>
    <w:basedOn w:val="Tekstkomentarza"/>
    <w:next w:val="Tekstkomentarza"/>
    <w:qFormat/>
    <w:pPr/>
    <w:rPr>
      <w:b/>
      <w:bCs/>
      <w:sz w:val="20"/>
      <w:szCs w:val="20"/>
    </w:rPr>
  </w:style>
  <w:style w:type="paragraph" w:styleId="Poprawka">
    <w:name w:val="Poprawka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atLeast" w:line="0" w:before="0" w:after="240"/>
      <w:ind w:hanging="220" w:start="0" w:end="0"/>
      <w:jc w:val="both"/>
    </w:pPr>
    <w:rPr>
      <w:sz w:val="22"/>
      <w:szCs w:val="22"/>
    </w:rPr>
  </w:style>
  <w:style w:type="paragraph" w:styleId="Akapitzlist">
    <w:name w:val="Akapit z listą"/>
    <w:basedOn w:val="Normal"/>
    <w:qFormat/>
    <w:pPr>
      <w:ind w:hanging="0" w:start="708" w:end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2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Numeracjaabc">
    <w:name w:val="Numeracja abc"/>
    <w:qFormat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587</TotalTime>
  <Application>LibreOffice/7.6.4.1$Windows_X86_64 LibreOffice_project/e19e193f88cd6c0525a17fb7a176ed8e6a3e2aa1</Application>
  <AppVersion>15.0000</AppVersion>
  <Pages>1</Pages>
  <Words>222</Words>
  <Characters>1708</Characters>
  <CharactersWithSpaces>1933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2022-02-03T13:57:00Z</dcterms:created>
  <dc:creator>Wioletta Witalińska</dc:creator>
  <dc:description/>
  <dc:language>pl-PL</dc:language>
  <cp:lastModifiedBy/>
  <cp:lastPrinted>2021-02-05T09:54:00Z</cp:lastPrinted>
  <dcterms:modified xsi:type="dcterms:W3CDTF">2024-10-07T09:10:18Z</dcterms:modified>
  <cp:revision>28</cp:revision>
  <dc:subject/>
  <dc:title>SPECYFIKACJA ISTOTNYCH WARUNKÓW ZAMÓWIENIA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