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77D3F267" w:rsidR="00997A60" w:rsidRDefault="00FC1EE8" w:rsidP="0089522F">
      <w:pPr>
        <w:spacing w:after="0" w:line="312" w:lineRule="auto"/>
        <w:jc w:val="right"/>
      </w:pPr>
      <w:r w:rsidRPr="008C538B">
        <w:t>Białystok, dnia</w:t>
      </w:r>
      <w:r w:rsidR="005615D2" w:rsidRPr="008C538B">
        <w:t xml:space="preserve"> </w:t>
      </w:r>
      <w:r w:rsidR="008C538B">
        <w:t>0</w:t>
      </w:r>
      <w:r w:rsidR="005615D2" w:rsidRPr="008C538B">
        <w:t>2.</w:t>
      </w:r>
      <w:r w:rsidR="008C538B">
        <w:t>07.</w:t>
      </w:r>
      <w:r w:rsidR="005615D2" w:rsidRPr="008C538B">
        <w:t>2021 r.</w:t>
      </w:r>
    </w:p>
    <w:p w14:paraId="066E75BB" w14:textId="77777777" w:rsidR="00997A60" w:rsidRDefault="00997A60" w:rsidP="0089522F">
      <w:pPr>
        <w:spacing w:after="0" w:line="312" w:lineRule="auto"/>
        <w:jc w:val="both"/>
      </w:pPr>
    </w:p>
    <w:p w14:paraId="56A73C48" w14:textId="77777777" w:rsidR="00997A60" w:rsidRDefault="00997A60" w:rsidP="0089522F">
      <w:pPr>
        <w:spacing w:after="0" w:line="312" w:lineRule="auto"/>
        <w:jc w:val="both"/>
        <w:rPr>
          <w:b/>
          <w:bCs/>
        </w:rPr>
      </w:pPr>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2316A626" w:rsidR="00FC1EE8" w:rsidRPr="006F6AA8" w:rsidRDefault="00FC1EE8" w:rsidP="0089522F">
      <w:pPr>
        <w:spacing w:after="0" w:line="312" w:lineRule="auto"/>
        <w:ind w:left="993" w:hanging="993"/>
        <w:jc w:val="center"/>
      </w:pPr>
      <w:r>
        <w:t xml:space="preserve"> </w:t>
      </w:r>
      <w:r w:rsidR="00E34483">
        <w:t>„</w:t>
      </w:r>
      <w:r w:rsidR="00E34483" w:rsidRPr="00B91A8E">
        <w:rPr>
          <w:i/>
          <w:iCs/>
        </w:rPr>
        <w:t>D</w:t>
      </w:r>
      <w:r w:rsidRPr="00B91A8E">
        <w:rPr>
          <w:i/>
          <w:iCs/>
        </w:rPr>
        <w:t>ostawę samochodu osobowego typu furgon wraz wyposażeniem</w:t>
      </w:r>
      <w:r w:rsidR="00E34483" w:rsidRPr="006F6AA8">
        <w:t xml:space="preserve">” </w:t>
      </w:r>
    </w:p>
    <w:p w14:paraId="26B045A6" w14:textId="25D2A121" w:rsidR="00997A60" w:rsidRPr="00E34483" w:rsidRDefault="00FC1EE8" w:rsidP="0089522F">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Pr="006F6AA8">
        <w:rPr>
          <w:lang w:val="en-GB"/>
        </w:rPr>
        <w:t>„</w:t>
      </w:r>
      <w:r w:rsidRPr="006F6AA8">
        <w:rPr>
          <w:i/>
          <w:iCs/>
          <w:lang w:val="en-GB"/>
        </w:rPr>
        <w:t>Technical and operation support for law enforcement authorities in combating illegal cross-border actions threatening financial interests of the European Union</w:t>
      </w:r>
      <w:r w:rsidR="00E34483" w:rsidRPr="006F6AA8">
        <w:rPr>
          <w:lang w:val="en-GB"/>
        </w:rPr>
        <w:t>”</w:t>
      </w:r>
      <w:r w:rsidRPr="006F6AA8">
        <w:rPr>
          <w:lang w:val="en-GB"/>
        </w:rPr>
        <w:t xml:space="preserve"> </w:t>
      </w:r>
      <w:r w:rsidR="00E34483" w:rsidRPr="006F6AA8">
        <w:rPr>
          <w:lang w:val="en-GB"/>
        </w:rPr>
        <w:t>(„</w:t>
      </w:r>
      <w:r w:rsidRPr="006F6AA8">
        <w:rPr>
          <w:i/>
          <w:iCs/>
          <w:lang w:val="en-GB"/>
        </w:rPr>
        <w:t>Wsparcie techniczne i operacyjne organów ścigania w zwalczaniu przestępczości transgranicznej naruszającej interesy finansowe Unii Europejskiej</w:t>
      </w:r>
      <w:r w:rsidRPr="006F6AA8">
        <w:rPr>
          <w:lang w:val="en-GB"/>
        </w:rPr>
        <w:t>”)</w:t>
      </w:r>
    </w:p>
    <w:p w14:paraId="536CACDF" w14:textId="675795EE" w:rsidR="00997A60" w:rsidRDefault="00FC1EE8" w:rsidP="0089522F">
      <w:pPr>
        <w:spacing w:after="0" w:line="312" w:lineRule="auto"/>
        <w:jc w:val="center"/>
        <w:rPr>
          <w:i/>
          <w:iCs/>
        </w:rPr>
      </w:pPr>
      <w:bookmarkStart w:id="1" w:name="_Hlk75594067"/>
      <w:r>
        <w:t>finansowan</w:t>
      </w:r>
      <w:r w:rsidR="002C43E0">
        <w:t>ego</w:t>
      </w:r>
      <w:r>
        <w:t xml:space="preserve"> z Programu </w:t>
      </w:r>
      <w:r w:rsidR="0098152C" w:rsidRPr="0098152C">
        <w:rPr>
          <w:lang w:val="en-GB"/>
        </w:rPr>
        <w:t xml:space="preserve">Unii Europejskiej </w:t>
      </w:r>
      <w:r>
        <w:t xml:space="preserve">Hercule III </w:t>
      </w:r>
    </w:p>
    <w:bookmarkEnd w:id="0"/>
    <w:bookmarkEnd w:id="1"/>
    <w:p w14:paraId="0B30D05D" w14:textId="73B84681" w:rsidR="00997A60" w:rsidRDefault="00FC1EE8" w:rsidP="0089522F">
      <w:pPr>
        <w:spacing w:after="0" w:line="312" w:lineRule="auto"/>
        <w:ind w:left="993" w:hanging="993"/>
        <w:jc w:val="center"/>
        <w:rPr>
          <w:highlight w:val="yellow"/>
        </w:rPr>
      </w:pPr>
      <w:r>
        <w:rPr>
          <w:i/>
          <w:iCs/>
        </w:rPr>
        <w:t xml:space="preserve">Nr </w:t>
      </w:r>
      <w:r w:rsidRPr="00245724">
        <w:rPr>
          <w:i/>
          <w:iCs/>
        </w:rPr>
        <w:t>postępowania</w:t>
      </w:r>
      <w:r w:rsidRPr="00245724">
        <w:t xml:space="preserve">: </w:t>
      </w:r>
      <w:r w:rsidR="003C7805" w:rsidRPr="00245724">
        <w:t>23/S/21</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7B2E29D4" w14:textId="2771CBDC"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przetargu nieograniczonego na „</w:t>
      </w:r>
      <w:r w:rsidRPr="00245724">
        <w:rPr>
          <w:i/>
          <w:iCs/>
        </w:rPr>
        <w:t xml:space="preserve">Dostawę samochodu osobowego typu furgon wraz </w:t>
      </w:r>
      <w:r w:rsidR="006F6AA8" w:rsidRPr="00245724">
        <w:rPr>
          <w:i/>
          <w:iCs/>
        </w:rPr>
        <w:t xml:space="preserve">z </w:t>
      </w:r>
      <w:r w:rsidRPr="00245724">
        <w:rPr>
          <w:i/>
          <w:iCs/>
        </w:rPr>
        <w:t>wyposażeniem</w:t>
      </w:r>
      <w:r w:rsidRPr="00245724">
        <w:t xml:space="preserve">”, nr postępowania </w:t>
      </w:r>
      <w:r w:rsidR="003C7805" w:rsidRPr="00245724">
        <w:t xml:space="preserve">23/S/21, </w:t>
      </w:r>
      <w:r w:rsidRPr="00245724">
        <w:t xml:space="preserve">w ramach </w:t>
      </w:r>
      <w:r w:rsidR="006F6AA8" w:rsidRPr="00245724">
        <w:t xml:space="preserve">realizacji </w:t>
      </w:r>
      <w:r w:rsidRPr="00245724">
        <w:t>Projektu</w:t>
      </w:r>
      <w:r>
        <w:t xml:space="preserve"> pn. </w:t>
      </w:r>
      <w:r w:rsidRPr="006F6AA8">
        <w:rPr>
          <w:lang w:val="en-GB"/>
        </w:rPr>
        <w:t>„</w:t>
      </w:r>
      <w:bookmarkStart w:id="2" w:name="_Hlk74813020"/>
      <w:r w:rsidRPr="006F6AA8">
        <w:rPr>
          <w:i/>
          <w:iCs/>
          <w:lang w:val="en-GB"/>
        </w:rPr>
        <w:t>Technical and operation support for law enforcement authorities in combating illegal cross-border actions threatening financial interests of the European Union</w:t>
      </w:r>
      <w:r w:rsidR="006F6AA8" w:rsidRPr="006F6AA8">
        <w:rPr>
          <w:lang w:val="en-GB"/>
        </w:rPr>
        <w:t>”</w:t>
      </w:r>
      <w:r>
        <w:rPr>
          <w:lang w:val="en-GB"/>
        </w:rPr>
        <w:t xml:space="preserve"> (</w:t>
      </w:r>
      <w:r w:rsidR="006F6AA8" w:rsidRPr="006F6AA8">
        <w:t>„</w:t>
      </w:r>
      <w:r w:rsidRPr="006F6AA8">
        <w:rPr>
          <w:i/>
          <w:iCs/>
          <w:lang w:val="en-GB"/>
        </w:rPr>
        <w:t>Wsparcie techniczne i operacyjne organów ścigania w zwalczaniu przestępczości transgranicznej naruszającej interesy finansowe Unii Europejskiej</w:t>
      </w:r>
      <w:r w:rsidR="006F6AA8">
        <w:rPr>
          <w:lang w:val="en-GB"/>
        </w:rPr>
        <w:t>”</w:t>
      </w:r>
      <w:r>
        <w:rPr>
          <w:lang w:val="en-GB"/>
        </w:rPr>
        <w:t>)</w:t>
      </w:r>
      <w:r w:rsidR="006F6AA8">
        <w:rPr>
          <w:lang w:val="en-GB"/>
        </w:rPr>
        <w:t xml:space="preserve"> finansowanego</w:t>
      </w:r>
      <w:r>
        <w:rPr>
          <w:lang w:val="en-GB"/>
        </w:rPr>
        <w:t xml:space="preserve"> z Programu </w:t>
      </w:r>
      <w:r w:rsidR="006F6AA8">
        <w:rPr>
          <w:lang w:val="en-GB"/>
        </w:rPr>
        <w:t xml:space="preserve">Unii Europejskiej </w:t>
      </w:r>
      <w:r>
        <w:rPr>
          <w:lang w:val="en-GB"/>
        </w:rPr>
        <w:t>Hercule III</w:t>
      </w:r>
      <w:bookmarkEnd w:id="2"/>
      <w:r w:rsidR="006F6AA8">
        <w:rPr>
          <w:lang w:val="en-GB"/>
        </w:rPr>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89522F">
      <w:pPr>
        <w:spacing w:after="0" w:line="312" w:lineRule="auto"/>
        <w:ind w:left="426"/>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89522F">
      <w:pPr>
        <w:autoSpaceDE w:val="0"/>
        <w:autoSpaceDN w:val="0"/>
        <w:adjustRightInd w:val="0"/>
        <w:spacing w:after="0" w:line="312" w:lineRule="auto"/>
        <w:ind w:left="426"/>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89522F">
      <w:pPr>
        <w:spacing w:after="0" w:line="312" w:lineRule="auto"/>
        <w:ind w:left="426"/>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89522F">
      <w:pPr>
        <w:autoSpaceDE w:val="0"/>
        <w:autoSpaceDN w:val="0"/>
        <w:adjustRightInd w:val="0"/>
        <w:spacing w:after="0" w:line="312" w:lineRule="auto"/>
        <w:ind w:left="426"/>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89522F">
      <w:pPr>
        <w:spacing w:after="0" w:line="312" w:lineRule="auto"/>
        <w:ind w:left="426"/>
        <w:jc w:val="both"/>
        <w:rPr>
          <w:color w:val="002060"/>
        </w:rPr>
      </w:pPr>
      <w:r>
        <w:rPr>
          <w:bCs/>
        </w:rPr>
        <w:t xml:space="preserve">Adres strony internetowej, na której jest prowadzone postępowanie i na której będą dostępne wszelkie dokumenty związane z prowadzoną procedurą, w tym zmiany i </w:t>
      </w:r>
      <w:r>
        <w:rPr>
          <w:bCs/>
        </w:rPr>
        <w:lastRenderedPageBreak/>
        <w:t>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18CFAF58" w:rsidR="00997A60" w:rsidRDefault="00FC1EE8" w:rsidP="0089522F">
      <w:pPr>
        <w:pStyle w:val="Akapitzlist"/>
        <w:numPr>
          <w:ilvl w:val="0"/>
          <w:numId w:val="2"/>
        </w:numPr>
        <w:spacing w:line="312" w:lineRule="auto"/>
        <w:ind w:left="425" w:hanging="425"/>
        <w:contextualSpacing w:val="0"/>
        <w:jc w:val="both"/>
      </w:pPr>
      <w:r>
        <w:t>Do udzielenia przedmiotowego zamówienia stosuje się przepisy ustawy z dnia 11 września 2019 r. – Prawo zamówień publicznych (Dz. U. z 2019 r.</w:t>
      </w:r>
      <w:r w:rsidR="002F19D6">
        <w:t>,</w:t>
      </w:r>
      <w:r>
        <w:t xml:space="preserve"> poz. </w:t>
      </w:r>
      <w:r w:rsidR="00357979">
        <w:t>1129 t.j.</w:t>
      </w:r>
      <w:r w:rsidR="002F19D6">
        <w:t xml:space="preserve"> ze zm.</w:t>
      </w:r>
      <w:r>
        <w:t>), zwanej dalej p.z.p.</w:t>
      </w:r>
    </w:p>
    <w:p w14:paraId="5830A36B" w14:textId="3D2C3140" w:rsidR="00997A60" w:rsidRPr="00103DFD" w:rsidRDefault="00FC1EE8" w:rsidP="0089522F">
      <w:pPr>
        <w:pStyle w:val="Akapitzlist"/>
        <w:numPr>
          <w:ilvl w:val="0"/>
          <w:numId w:val="2"/>
        </w:numPr>
        <w:autoSpaceDE w:val="0"/>
        <w:autoSpaceDN w:val="0"/>
        <w:adjustRightInd w:val="0"/>
        <w:spacing w:line="312" w:lineRule="auto"/>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p.z.p. oraz akty wykonawcze wydane na jej </w:t>
      </w:r>
      <w:r w:rsidRPr="00103DFD">
        <w:rPr>
          <w:rFonts w:eastAsia="CIDFont+F1"/>
          <w:color w:val="000000"/>
        </w:rPr>
        <w:t>podstawie.</w:t>
      </w:r>
    </w:p>
    <w:p w14:paraId="028263BE" w14:textId="54433EA9" w:rsidR="00997A60" w:rsidRDefault="00FC1EE8" w:rsidP="0089522F">
      <w:pPr>
        <w:pStyle w:val="Akapitzlist"/>
        <w:numPr>
          <w:ilvl w:val="0"/>
          <w:numId w:val="2"/>
        </w:numPr>
        <w:autoSpaceDE w:val="0"/>
        <w:autoSpaceDN w:val="0"/>
        <w:adjustRightInd w:val="0"/>
        <w:spacing w:line="312" w:lineRule="auto"/>
        <w:ind w:left="425" w:hanging="425"/>
        <w:contextualSpacing w:val="0"/>
        <w:jc w:val="both"/>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89522F">
      <w:pPr>
        <w:pStyle w:val="pkt"/>
        <w:numPr>
          <w:ilvl w:val="0"/>
          <w:numId w:val="3"/>
        </w:numPr>
        <w:spacing w:before="0" w:after="0" w:line="312" w:lineRule="auto"/>
        <w:ind w:left="426" w:hanging="426"/>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p.z.p.</w:t>
      </w:r>
    </w:p>
    <w:p w14:paraId="1AE42E3F" w14:textId="77777777" w:rsidR="00997A60" w:rsidRPr="00245724" w:rsidRDefault="00FC1EE8" w:rsidP="0089522F">
      <w:pPr>
        <w:pStyle w:val="pkt"/>
        <w:numPr>
          <w:ilvl w:val="0"/>
          <w:numId w:val="3"/>
        </w:numPr>
        <w:spacing w:before="0" w:after="0" w:line="312" w:lineRule="auto"/>
        <w:ind w:left="426" w:hanging="426"/>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89522F">
      <w:pPr>
        <w:pStyle w:val="pkt"/>
        <w:numPr>
          <w:ilvl w:val="0"/>
          <w:numId w:val="3"/>
        </w:numPr>
        <w:spacing w:before="0" w:after="0" w:line="312" w:lineRule="auto"/>
        <w:ind w:left="426" w:hanging="426"/>
        <w:rPr>
          <w:strike/>
          <w:szCs w:val="24"/>
        </w:rPr>
      </w:pPr>
      <w:r w:rsidRPr="00245724">
        <w:rPr>
          <w:szCs w:val="24"/>
        </w:rPr>
        <w:t>Zamawiający przewiduje zastosowanie tzw. procedury odwróconej, o której mowa w art. 139 ust. 1 p.z.p.,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89522F">
      <w:pPr>
        <w:pStyle w:val="pkt"/>
        <w:numPr>
          <w:ilvl w:val="0"/>
          <w:numId w:val="3"/>
        </w:numPr>
        <w:spacing w:before="0" w:after="0" w:line="312" w:lineRule="auto"/>
        <w:ind w:left="426" w:hanging="426"/>
        <w:rPr>
          <w:szCs w:val="24"/>
        </w:rPr>
      </w:pPr>
      <w:r w:rsidRPr="00245724">
        <w:rPr>
          <w:szCs w:val="24"/>
        </w:rPr>
        <w:t>Zamawiający nie przewiduje aukcji elektronicznej.</w:t>
      </w:r>
    </w:p>
    <w:p w14:paraId="2ADBC842" w14:textId="77777777" w:rsidR="00997A60" w:rsidRDefault="00FC1EE8" w:rsidP="0089522F">
      <w:pPr>
        <w:pStyle w:val="pkt"/>
        <w:numPr>
          <w:ilvl w:val="0"/>
          <w:numId w:val="3"/>
        </w:numPr>
        <w:spacing w:before="0" w:after="0" w:line="312" w:lineRule="auto"/>
        <w:ind w:left="426" w:hanging="426"/>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89522F">
      <w:pPr>
        <w:pStyle w:val="pkt"/>
        <w:numPr>
          <w:ilvl w:val="0"/>
          <w:numId w:val="3"/>
        </w:numPr>
        <w:spacing w:before="0" w:after="0" w:line="312" w:lineRule="auto"/>
        <w:ind w:left="426" w:hanging="426"/>
        <w:rPr>
          <w:szCs w:val="24"/>
        </w:rPr>
      </w:pPr>
      <w:r>
        <w:rPr>
          <w:szCs w:val="24"/>
        </w:rPr>
        <w:t xml:space="preserve">Zamawiający nie zastrzega możliwości ubiegania się o udzielenie zamówienia wyłącznie przez wykonawców, o których mowa w art. 94 p.z.p. </w:t>
      </w:r>
    </w:p>
    <w:p w14:paraId="72534481" w14:textId="77777777" w:rsidR="00997A60" w:rsidRDefault="00FC1EE8" w:rsidP="0089522F">
      <w:pPr>
        <w:pStyle w:val="Akapitzlist"/>
        <w:numPr>
          <w:ilvl w:val="0"/>
          <w:numId w:val="3"/>
        </w:numPr>
        <w:spacing w:line="312" w:lineRule="auto"/>
        <w:ind w:left="426" w:hanging="426"/>
        <w:contextualSpacing w:val="0"/>
        <w:jc w:val="both"/>
      </w:pPr>
      <w:r>
        <w:t>Zamawiający nie dopuszcza składania ofert wariantowych oraz ofert w postaci katalogów elektronicznych.</w:t>
      </w:r>
    </w:p>
    <w:p w14:paraId="7F77EA6B" w14:textId="77777777" w:rsidR="00997A60" w:rsidRDefault="00FC1EE8" w:rsidP="0089522F">
      <w:pPr>
        <w:pStyle w:val="Akapitzlist"/>
        <w:numPr>
          <w:ilvl w:val="0"/>
          <w:numId w:val="3"/>
        </w:numPr>
        <w:spacing w:line="312" w:lineRule="auto"/>
        <w:ind w:left="426" w:hanging="426"/>
        <w:contextualSpacing w:val="0"/>
        <w:jc w:val="both"/>
      </w:pPr>
      <w:r>
        <w:rPr>
          <w:rFonts w:eastAsia="CIDFont+F1"/>
        </w:rPr>
        <w:t xml:space="preserve">Zamawiający nie dopuszcza możliwości składania </w:t>
      </w:r>
      <w:r>
        <w:t>ofert częściowych.</w:t>
      </w:r>
    </w:p>
    <w:p w14:paraId="3668F7E5" w14:textId="77777777" w:rsidR="00997A60" w:rsidRDefault="00FC1EE8" w:rsidP="0089522F">
      <w:pPr>
        <w:pStyle w:val="Akapitzlist"/>
        <w:numPr>
          <w:ilvl w:val="0"/>
          <w:numId w:val="3"/>
        </w:numPr>
        <w:spacing w:line="312" w:lineRule="auto"/>
        <w:ind w:left="426" w:hanging="426"/>
        <w:contextualSpacing w:val="0"/>
        <w:jc w:val="both"/>
      </w:pPr>
      <w:r>
        <w:t>Zamawiający nie przewiduje wizji lokalnej.</w:t>
      </w:r>
    </w:p>
    <w:p w14:paraId="774141A6" w14:textId="77777777" w:rsidR="00997A60" w:rsidRDefault="00FC1EE8" w:rsidP="0089522F">
      <w:pPr>
        <w:pStyle w:val="Akapitzlist"/>
        <w:numPr>
          <w:ilvl w:val="0"/>
          <w:numId w:val="3"/>
        </w:numPr>
        <w:spacing w:line="312" w:lineRule="auto"/>
        <w:ind w:left="426" w:hanging="426"/>
        <w:contextualSpacing w:val="0"/>
        <w:jc w:val="both"/>
      </w:pPr>
      <w:r>
        <w:t>Zamawiający nie przewiduje możliwości udzielenia zamówień, o których mowa w art. 214 ust. 1 pkt 8 p.z.p.</w:t>
      </w:r>
    </w:p>
    <w:p w14:paraId="1D80811B" w14:textId="6424EC49" w:rsidR="00997A60" w:rsidRDefault="00FC1EE8" w:rsidP="0089522F">
      <w:pPr>
        <w:pStyle w:val="Akapitzlist"/>
        <w:numPr>
          <w:ilvl w:val="0"/>
          <w:numId w:val="3"/>
        </w:numPr>
        <w:spacing w:line="312" w:lineRule="auto"/>
        <w:ind w:left="426" w:hanging="426"/>
        <w:contextualSpacing w:val="0"/>
        <w:jc w:val="both"/>
      </w:pPr>
      <w:r>
        <w:t>Zamawiający przewiduje możliwość unieważnienia postępowania na podstawie art. 257 pkt 1 p.z.p.</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89522F">
      <w:pPr>
        <w:pStyle w:val="Akapitzlist"/>
        <w:numPr>
          <w:ilvl w:val="0"/>
          <w:numId w:val="3"/>
        </w:numPr>
        <w:spacing w:line="312" w:lineRule="auto"/>
        <w:ind w:left="426" w:hanging="426"/>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89522F">
      <w:pPr>
        <w:pStyle w:val="Akapitzlist"/>
        <w:numPr>
          <w:ilvl w:val="0"/>
          <w:numId w:val="4"/>
        </w:numPr>
        <w:spacing w:line="312" w:lineRule="auto"/>
        <w:ind w:left="426" w:hanging="426"/>
        <w:contextualSpacing w:val="0"/>
        <w:jc w:val="both"/>
      </w:pPr>
      <w:r w:rsidRPr="002C3322">
        <w:t>Wspólny Słownik Zamówień</w:t>
      </w:r>
      <w:r w:rsidR="002E7083" w:rsidRPr="002C3322">
        <w:t xml:space="preserve"> – kody </w:t>
      </w:r>
      <w:r w:rsidRPr="002C3322">
        <w:t xml:space="preserve">CPV: </w:t>
      </w:r>
    </w:p>
    <w:p w14:paraId="1C2D3444" w14:textId="0B52652F" w:rsidR="00997A60" w:rsidRPr="00AD21CE" w:rsidRDefault="00FC1EE8" w:rsidP="0089522F">
      <w:pPr>
        <w:pStyle w:val="Akapitzlist"/>
        <w:spacing w:line="312" w:lineRule="auto"/>
        <w:ind w:left="426"/>
        <w:contextualSpacing w:val="0"/>
        <w:jc w:val="both"/>
      </w:pPr>
      <w:r w:rsidRPr="002C3322">
        <w:t>34114200-1 – Radiowozy policyjne, 50117100</w:t>
      </w:r>
      <w:r w:rsidR="00A5008A" w:rsidRPr="002C3322">
        <w:t xml:space="preserve"> – </w:t>
      </w:r>
      <w:r w:rsidRPr="002C3322">
        <w:t xml:space="preserve">Usługi w zakresie zmiany przeznaczenia użytkowego pojazdów mechanicznych, </w:t>
      </w:r>
      <w:r w:rsidRPr="002C3322">
        <w:rPr>
          <w:shd w:val="clear" w:color="auto" w:fill="FFFFFF"/>
        </w:rPr>
        <w:t>35200000-6</w:t>
      </w:r>
      <w:r w:rsidR="00A5008A" w:rsidRPr="002C3322">
        <w:rPr>
          <w:shd w:val="clear" w:color="auto" w:fill="FFFFFF"/>
        </w:rPr>
        <w:t xml:space="preserve"> – </w:t>
      </w:r>
      <w:r w:rsidRPr="002C3322">
        <w:rPr>
          <w:shd w:val="clear" w:color="auto" w:fill="FFFFFF"/>
        </w:rPr>
        <w:t xml:space="preserve">Sprzęt policyjny, </w:t>
      </w:r>
      <w:r w:rsidRPr="002C3322">
        <w:t>35125300-2</w:t>
      </w:r>
      <w:r w:rsidR="00A5008A" w:rsidRPr="002C3322">
        <w:t xml:space="preserve"> – </w:t>
      </w:r>
      <w:r w:rsidRPr="002C3322">
        <w:t>Kamery bezpieczeństwa, 32323500-8</w:t>
      </w:r>
      <w:r w:rsidR="00A5008A" w:rsidRPr="002C3322">
        <w:t xml:space="preserve"> – </w:t>
      </w:r>
      <w:r w:rsidRPr="002C3322">
        <w:t>Urządzenia do nadzoru wideo, 30213100-6 – Komputery przenośne, 48620000-0 – System operacyjne, 30231000-7</w:t>
      </w:r>
      <w:r w:rsidR="00A5008A" w:rsidRPr="002C3322">
        <w:t xml:space="preserve"> – </w:t>
      </w:r>
      <w:r w:rsidRPr="002C3322">
        <w:t>Ekrany i konsole komputerowe, 32410000-0</w:t>
      </w:r>
      <w:r w:rsidR="00A5008A" w:rsidRPr="002C3322">
        <w:t xml:space="preserve"> – </w:t>
      </w:r>
      <w:r w:rsidRPr="002C3322">
        <w:t>Lokalna sieć komputerowa, 31400000-0</w:t>
      </w:r>
      <w:r w:rsidR="00A5008A" w:rsidRPr="002C3322">
        <w:t xml:space="preserve"> – </w:t>
      </w:r>
      <w:r w:rsidRPr="002C3322">
        <w:t>Akumulatory, komory galwaniczne i baterie galwaniczne, 31500000-1</w:t>
      </w:r>
      <w:r w:rsidR="00A5008A" w:rsidRPr="002C3322">
        <w:t xml:space="preserve"> – </w:t>
      </w:r>
      <w:r w:rsidRPr="002C3322">
        <w:t>Urządzenia oświetleniowe i lampy elektryczne, 31611000-2</w:t>
      </w:r>
      <w:r w:rsidR="00A5008A" w:rsidRPr="002C3322">
        <w:t xml:space="preserve"> – </w:t>
      </w:r>
      <w:r w:rsidRPr="002C3322">
        <w:t>Zestawy instalacji elektrycznej</w:t>
      </w:r>
    </w:p>
    <w:p w14:paraId="0D3AC3B0" w14:textId="0A4C196F" w:rsidR="00997A60" w:rsidRPr="00AD21CE" w:rsidRDefault="00FC1EE8" w:rsidP="0089522F">
      <w:pPr>
        <w:pStyle w:val="Akapitzlist"/>
        <w:numPr>
          <w:ilvl w:val="0"/>
          <w:numId w:val="4"/>
        </w:numPr>
        <w:spacing w:line="312" w:lineRule="auto"/>
        <w:ind w:left="426" w:hanging="426"/>
        <w:contextualSpacing w:val="0"/>
        <w:jc w:val="both"/>
      </w:pPr>
      <w:r w:rsidRPr="00AD21CE">
        <w:t>Przedmiot zamówienia obejmuje</w:t>
      </w:r>
      <w:r w:rsidR="00D00BD0">
        <w:t xml:space="preserve"> w szczególności</w:t>
      </w:r>
      <w:r w:rsidRPr="00AD21CE">
        <w:t xml:space="preserve">: </w:t>
      </w:r>
    </w:p>
    <w:p w14:paraId="2271E625" w14:textId="79409961" w:rsidR="00997A60"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t xml:space="preserve">dostawę samochodu osobowego typu furgon wraz z zabudową biurową, </w:t>
      </w:r>
      <w:r>
        <w:rPr>
          <w:rFonts w:eastAsia="Times New Roman"/>
          <w:color w:val="000000"/>
        </w:rPr>
        <w:t xml:space="preserve">systemem monitoringu wizyjnego oraz pozostałym wyposażeniem (dalej jako pojazd), szczegółowo opisanego w Szczegółowym opisie przedmiotu zamówienia, stanowiącym Załącznik nr </w:t>
      </w:r>
      <w:r w:rsidR="00E0654C">
        <w:rPr>
          <w:rFonts w:eastAsia="Times New Roman"/>
          <w:color w:val="000000"/>
        </w:rPr>
        <w:t>1</w:t>
      </w:r>
      <w:r>
        <w:rPr>
          <w:rFonts w:eastAsia="Times New Roman"/>
          <w:color w:val="000000"/>
        </w:rPr>
        <w:t xml:space="preserve"> do SWZ, </w:t>
      </w:r>
    </w:p>
    <w:p w14:paraId="0696DD8E" w14:textId="07400FEC" w:rsidR="00997A60" w:rsidRPr="00C4422C" w:rsidRDefault="00FC1EE8" w:rsidP="00C4422C">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3" w:name="_Hlk74307385"/>
      <w:r w:rsidRPr="0021782E">
        <w:rPr>
          <w:rFonts w:eastAsia="Times New Roman"/>
          <w:bCs/>
          <w:lang w:eastAsia="ar-SA"/>
        </w:rPr>
        <w:t xml:space="preserve">Wzorze umowy, stanowiącym Załącznik nr </w:t>
      </w:r>
      <w:r w:rsidR="00C4422C">
        <w:rPr>
          <w:rFonts w:eastAsia="Times New Roman"/>
          <w:bCs/>
          <w:lang w:eastAsia="ar-SA"/>
        </w:rPr>
        <w:t>6</w:t>
      </w:r>
      <w:r w:rsidR="0021782E" w:rsidRPr="00C4422C">
        <w:rPr>
          <w:rFonts w:eastAsia="Times New Roman"/>
          <w:bCs/>
          <w:lang w:eastAsia="ar-SA"/>
        </w:rPr>
        <w:t xml:space="preserve"> </w:t>
      </w:r>
      <w:r w:rsidRPr="00C4422C">
        <w:rPr>
          <w:rFonts w:eastAsia="Times New Roman"/>
          <w:bCs/>
          <w:lang w:eastAsia="ar-SA"/>
        </w:rPr>
        <w:t xml:space="preserve">do SWZ, </w:t>
      </w:r>
    </w:p>
    <w:bookmarkEnd w:id="3"/>
    <w:p w14:paraId="72E9C41C" w14:textId="4C55D2F1" w:rsidR="00997A60" w:rsidRPr="0021782E"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sidRPr="0021782E">
        <w:rPr>
          <w:rFonts w:eastAsia="Times New Roman"/>
          <w:bCs/>
          <w:lang w:eastAsia="ar-SA"/>
        </w:rPr>
        <w:t xml:space="preserve">zapewnienie Zamawiającemu niewyłącznej licencji na korzystanie z oprogramowania zainstalowanego w ramach przedmiotu zamówienia oraz dokumentacji dostarczonego oprogramowania, niezbędnego do korzystania z pojazdu, w zakresie szczegółowo określonym we Wzorze umowy stanowiącym Załącznik nr  </w:t>
      </w:r>
      <w:r w:rsidR="00C4422C">
        <w:rPr>
          <w:rFonts w:eastAsia="Times New Roman"/>
          <w:bCs/>
          <w:lang w:eastAsia="ar-SA"/>
        </w:rPr>
        <w:t>6</w:t>
      </w:r>
      <w:r w:rsidRPr="0021782E">
        <w:rPr>
          <w:rFonts w:eastAsia="Times New Roman"/>
          <w:bCs/>
          <w:lang w:eastAsia="ar-SA"/>
        </w:rPr>
        <w:t xml:space="preserve"> do SWZ. </w:t>
      </w:r>
    </w:p>
    <w:p w14:paraId="0D156135" w14:textId="341B66EA" w:rsidR="00997A60" w:rsidRPr="0021782E" w:rsidRDefault="00FC1EE8" w:rsidP="0089522F">
      <w:pPr>
        <w:pStyle w:val="Akapitzlist"/>
        <w:widowControl w:val="0"/>
        <w:numPr>
          <w:ilvl w:val="0"/>
          <w:numId w:val="4"/>
        </w:numPr>
        <w:suppressAutoHyphens/>
        <w:spacing w:line="312" w:lineRule="auto"/>
        <w:ind w:left="426" w:hanging="426"/>
        <w:contextualSpacing w:val="0"/>
        <w:jc w:val="both"/>
        <w:rPr>
          <w:rFonts w:eastAsia="Times New Roman"/>
          <w:bCs/>
          <w:lang w:eastAsia="ar-SA"/>
        </w:rPr>
      </w:pPr>
      <w:r w:rsidRPr="0021782E">
        <w:t xml:space="preserve">Pojazd musi być fabrycznie nowy </w:t>
      </w:r>
      <w:bookmarkStart w:id="4" w:name="_Hlk75601229"/>
      <w:r w:rsidRPr="0021782E">
        <w:t>(</w:t>
      </w:r>
      <w:r w:rsidR="00E0654C" w:rsidRPr="0021782E">
        <w:t>rok</w:t>
      </w:r>
      <w:r w:rsidRPr="0021782E">
        <w:t xml:space="preserve"> produkcji </w:t>
      </w:r>
      <w:r w:rsidR="00FB2D1A" w:rsidRPr="0021782E">
        <w:t>2021)</w:t>
      </w:r>
      <w:r w:rsidR="00CC1DF5" w:rsidRPr="0021782E">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4"/>
    </w:p>
    <w:p w14:paraId="55856819" w14:textId="11CF78D8" w:rsidR="00997A60" w:rsidRPr="0021782E" w:rsidRDefault="00B302EF" w:rsidP="0089522F">
      <w:pPr>
        <w:pStyle w:val="Akapitzlist"/>
        <w:numPr>
          <w:ilvl w:val="0"/>
          <w:numId w:val="4"/>
        </w:numPr>
        <w:autoSpaceDE w:val="0"/>
        <w:autoSpaceDN w:val="0"/>
        <w:adjustRightInd w:val="0"/>
        <w:spacing w:line="312" w:lineRule="auto"/>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89522F">
      <w:pPr>
        <w:pStyle w:val="Akapitzlist"/>
        <w:numPr>
          <w:ilvl w:val="0"/>
          <w:numId w:val="4"/>
        </w:numPr>
        <w:autoSpaceDE w:val="0"/>
        <w:autoSpaceDN w:val="0"/>
        <w:adjustRightInd w:val="0"/>
        <w:spacing w:line="312" w:lineRule="auto"/>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ocen technicznych, specyfikacji technicznych i systemów referencji technicznych, o których mowa w art. 101 ust. 1 pkt 2 oraz ust. 3 p.z.p.,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w:t>
      </w:r>
      <w:r w:rsidR="004357F2" w:rsidRPr="004357F2">
        <w:rPr>
          <w:rFonts w:eastAsia="CIDFont+F1"/>
        </w:rPr>
        <w:lastRenderedPageBreak/>
        <w:t xml:space="preserve">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89522F">
      <w:pPr>
        <w:pStyle w:val="Akapitzlist"/>
        <w:numPr>
          <w:ilvl w:val="3"/>
          <w:numId w:val="5"/>
        </w:numPr>
        <w:autoSpaceDE w:val="0"/>
        <w:autoSpaceDN w:val="0"/>
        <w:adjustRightInd w:val="0"/>
        <w:spacing w:line="312" w:lineRule="auto"/>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89522F">
      <w:pPr>
        <w:pStyle w:val="Akapitzlist"/>
        <w:numPr>
          <w:ilvl w:val="0"/>
          <w:numId w:val="6"/>
        </w:numPr>
        <w:autoSpaceDE w:val="0"/>
        <w:autoSpaceDN w:val="0"/>
        <w:adjustRightInd w:val="0"/>
        <w:spacing w:line="312" w:lineRule="auto"/>
        <w:ind w:hanging="294"/>
        <w:contextualSpacing w:val="0"/>
        <w:jc w:val="both"/>
      </w:pPr>
      <w:r w:rsidRPr="00D14212">
        <w:t xml:space="preserve">wykazu paramentów technicznych pojazdu bazowego, według wzoru stanowiącego </w:t>
      </w:r>
      <w:r w:rsidRPr="00BC3749">
        <w:t xml:space="preserve">Załącznik nr 2 do SWZ, </w:t>
      </w:r>
    </w:p>
    <w:p w14:paraId="4CAB0070" w14:textId="38356D7D" w:rsidR="00BC3749" w:rsidRPr="00BC3749" w:rsidRDefault="00BC3749" w:rsidP="0089522F">
      <w:pPr>
        <w:pStyle w:val="Akapitzlist"/>
        <w:numPr>
          <w:ilvl w:val="0"/>
          <w:numId w:val="6"/>
        </w:numPr>
        <w:autoSpaceDE w:val="0"/>
        <w:autoSpaceDN w:val="0"/>
        <w:adjustRightInd w:val="0"/>
        <w:spacing w:line="312" w:lineRule="auto"/>
        <w:ind w:hanging="294"/>
        <w:contextualSpacing w:val="0"/>
        <w:jc w:val="both"/>
      </w:pPr>
      <w:r w:rsidRPr="00BC3749">
        <w:t>świadectwa homologacji typu WE pojazdu bazowego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89522F">
      <w:pPr>
        <w:pStyle w:val="Akapitzlist"/>
        <w:numPr>
          <w:ilvl w:val="0"/>
          <w:numId w:val="7"/>
        </w:numPr>
        <w:shd w:val="clear" w:color="auto" w:fill="FFFFFF"/>
        <w:spacing w:line="312" w:lineRule="auto"/>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89522F">
      <w:pPr>
        <w:pStyle w:val="Akapitzlist"/>
        <w:numPr>
          <w:ilvl w:val="0"/>
          <w:numId w:val="7"/>
        </w:numPr>
        <w:shd w:val="clear" w:color="auto" w:fill="FFFFFF"/>
        <w:spacing w:line="312" w:lineRule="auto"/>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89522F">
      <w:pPr>
        <w:pStyle w:val="Akapitzlist"/>
        <w:numPr>
          <w:ilvl w:val="0"/>
          <w:numId w:val="7"/>
        </w:numPr>
        <w:shd w:val="clear" w:color="auto" w:fill="FFFFFF"/>
        <w:spacing w:line="312" w:lineRule="auto"/>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13003055"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C2215B">
        <w:rPr>
          <w:rFonts w:eastAsia="Times New Roman"/>
          <w:b/>
          <w:bCs/>
        </w:rPr>
        <w:t xml:space="preserve">14 </w:t>
      </w:r>
      <w:r w:rsidRPr="00BC3749">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Default="00FC1EE8" w:rsidP="00AD1C27">
      <w:pPr>
        <w:pStyle w:val="pkt"/>
        <w:numPr>
          <w:ilvl w:val="0"/>
          <w:numId w:val="8"/>
        </w:numPr>
        <w:spacing w:before="0" w:after="0" w:line="312" w:lineRule="auto"/>
        <w:ind w:left="426" w:hanging="426"/>
        <w:rPr>
          <w:szCs w:val="24"/>
        </w:rPr>
      </w:pPr>
      <w:r>
        <w:rPr>
          <w:szCs w:val="24"/>
        </w:rPr>
        <w:t>Z postępowania o udzielenie zamówienia wyklucza się Wykonawcę, w stosunku do którego zachodzi którakolwiek z okoliczności wskazanych w art. 108 ust. 1 p.z.p.</w:t>
      </w:r>
      <w:r w:rsidR="00654617">
        <w:rPr>
          <w:szCs w:val="24"/>
        </w:rPr>
        <w:t>, tj.</w:t>
      </w:r>
      <w:r>
        <w:rPr>
          <w:szCs w:val="24"/>
        </w:rPr>
        <w:t>:</w:t>
      </w:r>
    </w:p>
    <w:p w14:paraId="234CC3B9" w14:textId="77777777" w:rsidR="00997A60" w:rsidRDefault="00FC1EE8" w:rsidP="00AD1C27">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lastRenderedPageBreak/>
        <w:t>będącego osobą fizyczną, którego prawomocnie skazano za przestępstwo:</w:t>
      </w:r>
    </w:p>
    <w:p w14:paraId="52FD5FE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89522F">
      <w:pPr>
        <w:pStyle w:val="Akapitzlist"/>
        <w:shd w:val="clear" w:color="auto" w:fill="FFFFFF"/>
        <w:spacing w:line="312" w:lineRule="auto"/>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Default="00FC1EE8" w:rsidP="00AD1C27">
      <w:pPr>
        <w:pStyle w:val="pkt"/>
        <w:numPr>
          <w:ilvl w:val="0"/>
          <w:numId w:val="8"/>
        </w:numPr>
        <w:spacing w:before="0" w:after="0" w:line="312" w:lineRule="auto"/>
        <w:rPr>
          <w:b/>
          <w:szCs w:val="24"/>
        </w:rPr>
      </w:pPr>
      <w:r>
        <w:rPr>
          <w:bCs/>
          <w:szCs w:val="24"/>
        </w:rPr>
        <w:t>Zamawiający wykluczy z postępowania wykonawcę, wobec którego zachodzą podstawy wykluczenia, o których mowa w art. 109 ust. 1 pkt 1</w:t>
      </w:r>
      <w:r w:rsidR="0065305D">
        <w:rPr>
          <w:bCs/>
          <w:szCs w:val="24"/>
        </w:rPr>
        <w:t xml:space="preserve"> lub</w:t>
      </w:r>
      <w:r>
        <w:rPr>
          <w:bCs/>
          <w:szCs w:val="24"/>
        </w:rPr>
        <w:t xml:space="preserve"> 4 p.z.p., tj. Zamawiający wykluczy wykonawcę:</w:t>
      </w:r>
    </w:p>
    <w:p w14:paraId="1946BA24" w14:textId="77777777" w:rsidR="00997A60" w:rsidRDefault="00FC1EE8" w:rsidP="00AD1C27">
      <w:pPr>
        <w:pStyle w:val="pkt"/>
        <w:numPr>
          <w:ilvl w:val="1"/>
          <w:numId w:val="11"/>
        </w:numPr>
        <w:spacing w:before="0" w:after="0" w:line="312" w:lineRule="auto"/>
        <w:ind w:left="709" w:hanging="283"/>
        <w:rPr>
          <w:rFonts w:eastAsia="Times New Roman"/>
          <w:szCs w:val="24"/>
          <w:shd w:val="clear" w:color="auto" w:fill="FFFFFF"/>
        </w:rPr>
      </w:pPr>
      <w:r>
        <w:rPr>
          <w:rFonts w:eastAsia="Times New Roman"/>
          <w:szCs w:val="24"/>
          <w:shd w:val="clear" w:color="auto" w:fill="FFFFFF"/>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AD1C27">
      <w:pPr>
        <w:pStyle w:val="pkt"/>
        <w:numPr>
          <w:ilvl w:val="1"/>
          <w:numId w:val="11"/>
        </w:numPr>
        <w:spacing w:before="0" w:after="0" w:line="312" w:lineRule="auto"/>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AD1C27">
      <w:pPr>
        <w:pStyle w:val="pkt"/>
        <w:numPr>
          <w:ilvl w:val="0"/>
          <w:numId w:val="12"/>
        </w:numPr>
        <w:spacing w:before="0" w:after="0" w:line="312" w:lineRule="auto"/>
        <w:ind w:left="426" w:hanging="426"/>
        <w:rPr>
          <w:b/>
          <w:szCs w:val="24"/>
        </w:rPr>
      </w:pPr>
      <w:r>
        <w:rPr>
          <w:szCs w:val="24"/>
        </w:rPr>
        <w:t xml:space="preserve">Wykluczenie Wykonawcy następuje zgodnie z art. 111 p.z.p. </w:t>
      </w:r>
    </w:p>
    <w:p w14:paraId="0E33D217" w14:textId="77777777" w:rsidR="00997A60" w:rsidRDefault="00FC1EE8" w:rsidP="00AD1C27">
      <w:pPr>
        <w:pStyle w:val="pkt"/>
        <w:numPr>
          <w:ilvl w:val="0"/>
          <w:numId w:val="12"/>
        </w:numPr>
        <w:spacing w:before="0" w:after="0" w:line="312" w:lineRule="auto"/>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AD1C27">
      <w:pPr>
        <w:pStyle w:val="pkt"/>
        <w:numPr>
          <w:ilvl w:val="0"/>
          <w:numId w:val="12"/>
        </w:numPr>
        <w:spacing w:before="0" w:after="0" w:line="312" w:lineRule="auto"/>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p.z.p. lub art. 109 ust. 1 pkt 4 p.z.p., jeżeli udowodni Zamawiającemu, że spełnił łącznie przesłanki wskazane w art. 110 ust. 2 p.z.p.</w:t>
      </w:r>
    </w:p>
    <w:p w14:paraId="7EF504EB" w14:textId="3BADDFE2" w:rsidR="0065305D" w:rsidRPr="0065305D" w:rsidRDefault="0065305D" w:rsidP="00AD1C27">
      <w:pPr>
        <w:pStyle w:val="pkt"/>
        <w:numPr>
          <w:ilvl w:val="0"/>
          <w:numId w:val="12"/>
        </w:numPr>
        <w:spacing w:before="0" w:after="0" w:line="312" w:lineRule="auto"/>
        <w:ind w:left="426" w:hanging="426"/>
        <w:rPr>
          <w:b/>
          <w:szCs w:val="24"/>
        </w:rPr>
      </w:pPr>
      <w:r w:rsidRPr="0065305D">
        <w:rPr>
          <w:shd w:val="clear" w:color="auto" w:fill="FFFFFF"/>
        </w:rPr>
        <w:t xml:space="preserve">Zamawiający oceni, czy podjęte przez wykonawcę czynności, o których mowa w art. 110 ust. 2 p.z.p., są wystarczające do wykazania jego rzetelności, uwzględniając wagę i </w:t>
      </w:r>
      <w:r w:rsidRPr="0065305D">
        <w:rPr>
          <w:shd w:val="clear" w:color="auto" w:fill="FFFFFF"/>
        </w:rPr>
        <w:lastRenderedPageBreak/>
        <w:t>szczególne okoliczności czynu wykonawcy. Jeżeli podjęte przez wykonawcę czynności nie są wystarczające do wykazania jego rzetelności, Zamawiający wyklucza wykonawcę.</w:t>
      </w:r>
    </w:p>
    <w:p w14:paraId="6A4826CF" w14:textId="00315600" w:rsidR="00997A60" w:rsidRDefault="00FC1EE8" w:rsidP="00AD1C27">
      <w:pPr>
        <w:pStyle w:val="pkt"/>
        <w:numPr>
          <w:ilvl w:val="0"/>
          <w:numId w:val="12"/>
        </w:numPr>
        <w:spacing w:before="0" w:after="0" w:line="312" w:lineRule="auto"/>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WARUNKI UDZIAŁU W POSTĘPOWANIU</w:t>
      </w:r>
    </w:p>
    <w:p w14:paraId="57110056" w14:textId="1E7BF559" w:rsidR="00997A60" w:rsidRPr="00E736BD" w:rsidRDefault="00FC1EE8" w:rsidP="00E736BD">
      <w:pPr>
        <w:pStyle w:val="pkt"/>
        <w:spacing w:before="0" w:after="0" w:line="312" w:lineRule="auto"/>
        <w:ind w:left="426" w:hanging="426"/>
        <w:rPr>
          <w:szCs w:val="24"/>
        </w:rPr>
      </w:pPr>
      <w:r w:rsidRPr="00E736BD">
        <w:rPr>
          <w:szCs w:val="24"/>
        </w:rPr>
        <w:t xml:space="preserve">Zamawiający nie stawia warunku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AD1C27">
      <w:pPr>
        <w:pStyle w:val="pkt"/>
        <w:numPr>
          <w:ilvl w:val="3"/>
          <w:numId w:val="25"/>
        </w:numPr>
        <w:spacing w:before="0" w:after="0" w:line="312" w:lineRule="auto"/>
        <w:ind w:left="426" w:hanging="426"/>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6F5DB1">
      <w:pPr>
        <w:pStyle w:val="pkt"/>
        <w:spacing w:before="0" w:after="0" w:line="312" w:lineRule="auto"/>
        <w:ind w:left="426" w:hanging="426"/>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6F5DB1">
      <w:pPr>
        <w:pStyle w:val="pkt"/>
        <w:spacing w:before="0" w:after="0" w:line="312" w:lineRule="auto"/>
        <w:ind w:left="426" w:hanging="426"/>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6F5DB1">
      <w:pPr>
        <w:pStyle w:val="pkt"/>
        <w:spacing w:before="0" w:after="0" w:line="312" w:lineRule="auto"/>
        <w:ind w:left="426" w:hanging="426"/>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6F5DB1">
      <w:pPr>
        <w:pStyle w:val="pkt"/>
        <w:spacing w:before="0" w:after="0" w:line="312" w:lineRule="auto"/>
        <w:ind w:left="426" w:hanging="426"/>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6F5DB1">
      <w:pPr>
        <w:pStyle w:val="pkt"/>
        <w:spacing w:before="0" w:after="0" w:line="312" w:lineRule="auto"/>
        <w:ind w:left="426" w:hanging="426"/>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AD1C27">
      <w:pPr>
        <w:numPr>
          <w:ilvl w:val="0"/>
          <w:numId w:val="13"/>
        </w:numPr>
        <w:spacing w:after="0" w:line="312"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(JEDZ), </w:t>
      </w:r>
      <w:r w:rsidR="002D11D0" w:rsidRPr="002D11D0">
        <w:t>sporządzon</w:t>
      </w:r>
      <w:r w:rsidR="002D11D0">
        <w:t>e</w:t>
      </w:r>
      <w:r w:rsidR="002D11D0" w:rsidRPr="002D11D0">
        <w:t xml:space="preserve"> zgodnie ze wzorem standardowego formularza określonego w rozporządzeniu wykonawczym Komisji (UE) 2016/7 z dnia 5 </w:t>
      </w:r>
      <w:r w:rsidR="002D11D0" w:rsidRPr="002D11D0">
        <w:lastRenderedPageBreak/>
        <w:t>stycznia 2016 r. ustanawiającym standardowy formularz jednolitego europejskiego dokumentu zamówienia (Dz. Urz. UE L 3 z 06.01.2016, str. 16)</w:t>
      </w:r>
      <w:r w:rsidR="002D11D0">
        <w:t xml:space="preserve">. </w:t>
      </w:r>
    </w:p>
    <w:p w14:paraId="2DE74C79" w14:textId="77777777" w:rsidR="000A60C4" w:rsidRDefault="00FC1EE8" w:rsidP="00AD1C27">
      <w:pPr>
        <w:numPr>
          <w:ilvl w:val="0"/>
          <w:numId w:val="13"/>
        </w:numPr>
        <w:spacing w:after="0" w:line="312"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AD1C27">
      <w:pPr>
        <w:numPr>
          <w:ilvl w:val="0"/>
          <w:numId w:val="13"/>
        </w:numPr>
        <w:spacing w:after="0" w:line="312"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AD1C27">
      <w:pPr>
        <w:numPr>
          <w:ilvl w:val="0"/>
          <w:numId w:val="13"/>
        </w:numPr>
        <w:spacing w:after="0" w:line="312" w:lineRule="auto"/>
        <w:ind w:left="426" w:hanging="426"/>
        <w:jc w:val="both"/>
      </w:pPr>
      <w:r w:rsidRPr="002C1A6E">
        <w:t>Zasady wypełniania JEDZ:</w:t>
      </w:r>
    </w:p>
    <w:p w14:paraId="6BEDE522" w14:textId="6CCD9D7E" w:rsidR="00997A60" w:rsidRPr="002C1A6E" w:rsidRDefault="00FC1EE8" w:rsidP="00AD1C27">
      <w:pPr>
        <w:pStyle w:val="Akapitzlist"/>
        <w:numPr>
          <w:ilvl w:val="1"/>
          <w:numId w:val="14"/>
        </w:numPr>
        <w:spacing w:line="312" w:lineRule="auto"/>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AD1C27">
      <w:pPr>
        <w:pStyle w:val="Akapitzlist"/>
        <w:numPr>
          <w:ilvl w:val="1"/>
          <w:numId w:val="14"/>
        </w:numPr>
        <w:spacing w:line="312" w:lineRule="auto"/>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AD1C27">
      <w:pPr>
        <w:pStyle w:val="Akapitzlist"/>
        <w:numPr>
          <w:ilvl w:val="0"/>
          <w:numId w:val="13"/>
        </w:numPr>
        <w:spacing w:line="312" w:lineRule="auto"/>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AD1C27">
      <w:pPr>
        <w:pStyle w:val="Akapitzlist"/>
        <w:numPr>
          <w:ilvl w:val="0"/>
          <w:numId w:val="13"/>
        </w:numPr>
        <w:spacing w:line="312" w:lineRule="auto"/>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AD1C27">
      <w:pPr>
        <w:pStyle w:val="Akapitzlist"/>
        <w:numPr>
          <w:ilvl w:val="0"/>
          <w:numId w:val="13"/>
        </w:numPr>
        <w:spacing w:line="312" w:lineRule="auto"/>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r w:rsidRPr="002C1A6E">
        <w:t>p.z.p.), aktualnych na dzień złożenia:</w:t>
      </w:r>
    </w:p>
    <w:p w14:paraId="4AB40EC4" w14:textId="32A46009" w:rsidR="002D41FD" w:rsidRDefault="002D41FD" w:rsidP="00AD1C27">
      <w:pPr>
        <w:pStyle w:val="Akapitzlist"/>
        <w:numPr>
          <w:ilvl w:val="1"/>
          <w:numId w:val="26"/>
        </w:numPr>
        <w:spacing w:line="312" w:lineRule="auto"/>
        <w:ind w:left="851" w:hanging="425"/>
        <w:contextualSpacing w:val="0"/>
        <w:jc w:val="both"/>
      </w:pPr>
      <w:r>
        <w:t xml:space="preserve">Informacji z Krajowego Rejestru Karnego w zakresie podstaw wykluczenia wskazanych w art. 108 ust. 1 pkt 1, 2 i 4 p.z.p., sporządzonych nie wcześniej niż 6 miesięcy przed </w:t>
      </w:r>
      <w:r w:rsidR="00832C48">
        <w:t>ich</w:t>
      </w:r>
      <w:r>
        <w:t xml:space="preserve"> złożeniem,</w:t>
      </w:r>
    </w:p>
    <w:p w14:paraId="5BB0A121" w14:textId="77777777" w:rsidR="006B26D3" w:rsidRDefault="00FC1EE8" w:rsidP="00AD1C27">
      <w:pPr>
        <w:pStyle w:val="Akapitzlist"/>
        <w:numPr>
          <w:ilvl w:val="1"/>
          <w:numId w:val="26"/>
        </w:numPr>
        <w:spacing w:line="312" w:lineRule="auto"/>
        <w:ind w:left="851" w:hanging="425"/>
        <w:contextualSpacing w:val="0"/>
        <w:jc w:val="both"/>
      </w:pPr>
      <w:r w:rsidRPr="002D41FD">
        <w:rPr>
          <w:bCs/>
        </w:rPr>
        <w:t>oświadczeni</w:t>
      </w:r>
      <w:r w:rsidR="002C1A6E" w:rsidRPr="002D41FD">
        <w:rPr>
          <w:bCs/>
        </w:rPr>
        <w:t>a</w:t>
      </w:r>
      <w:r w:rsidRPr="002D41FD">
        <w:rPr>
          <w:bCs/>
        </w:rPr>
        <w:t xml:space="preserve"> wykonawcy</w:t>
      </w:r>
      <w:r w:rsidRPr="002C1A6E">
        <w:t>, w zakresie art. 108 ust. 1 pkt 5 p.z.p., o braku przynależności do tej samej grupy kapitałowej, w rozumieniu ustawy z dnia 16.02.2007 r. o ochronie konkurencji i konsumentów (</w:t>
      </w:r>
      <w:bookmarkStart w:id="5" w:name="_Hlk72784397"/>
      <w:r w:rsidRPr="002C1A6E">
        <w:t>Dz. U. z 2021 r. poz. 275</w:t>
      </w:r>
      <w:bookmarkEnd w:id="5"/>
      <w:r w:rsidRPr="002C1A6E">
        <w:t>), z innym wykonawcą, który złożył odrębną ofertę, albo oświadczenia o przynależności do tej samej grupy kapitałowej</w:t>
      </w:r>
      <w:r>
        <w:t xml:space="preserve"> wraz z dokumentami lub informacjami </w:t>
      </w:r>
      <w:r>
        <w:lastRenderedPageBreak/>
        <w:t>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AD1C27">
      <w:pPr>
        <w:pStyle w:val="Akapitzlist"/>
        <w:numPr>
          <w:ilvl w:val="1"/>
          <w:numId w:val="26"/>
        </w:numPr>
        <w:spacing w:line="312" w:lineRule="auto"/>
        <w:ind w:left="851" w:hanging="425"/>
        <w:contextualSpacing w:val="0"/>
        <w:jc w:val="both"/>
      </w:pPr>
      <w:r>
        <w:t>zaświadczenia właściwego naczelnika urzędu skarbowego potwierdzającego, że wykonawca nie zalega z opłacaniem podatków i opłat, w zakresie art. 109 ust. 1 pkt 1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AD1C27">
      <w:pPr>
        <w:pStyle w:val="Akapitzlist"/>
        <w:numPr>
          <w:ilvl w:val="1"/>
          <w:numId w:val="26"/>
        </w:numPr>
        <w:spacing w:line="312" w:lineRule="auto"/>
        <w:ind w:left="851" w:hanging="425"/>
        <w:contextualSpacing w:val="0"/>
        <w:jc w:val="both"/>
      </w:pPr>
      <w: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AD1C27">
      <w:pPr>
        <w:pStyle w:val="Akapitzlist"/>
        <w:numPr>
          <w:ilvl w:val="1"/>
          <w:numId w:val="26"/>
        </w:numPr>
        <w:spacing w:line="312" w:lineRule="auto"/>
        <w:ind w:left="851" w:hanging="425"/>
        <w:contextualSpacing w:val="0"/>
        <w:jc w:val="both"/>
      </w:pPr>
      <w: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6B26D3">
        <w:t xml:space="preserve">, </w:t>
      </w:r>
    </w:p>
    <w:p w14:paraId="6D8ABCD8" w14:textId="5C085AB8" w:rsidR="006B26D3" w:rsidRDefault="006B26D3" w:rsidP="00AD1C27">
      <w:pPr>
        <w:pStyle w:val="Akapitzlist"/>
        <w:numPr>
          <w:ilvl w:val="1"/>
          <w:numId w:val="26"/>
        </w:numPr>
        <w:spacing w:line="312" w:lineRule="auto"/>
        <w:ind w:left="851" w:hanging="425"/>
        <w:contextualSpacing w:val="0"/>
        <w:jc w:val="both"/>
      </w:pPr>
      <w:bookmarkStart w:id="6" w:name="_Hlk75622678"/>
      <w:r>
        <w:t>oświadczenia wykonawcy o aktualności informacji zawartych w oświadczeniu</w:t>
      </w:r>
      <w:bookmarkEnd w:id="6"/>
      <w:r>
        <w:t xml:space="preserve"> JEDZ, </w:t>
      </w:r>
      <w:bookmarkStart w:id="7" w:name="_Hlk75623044"/>
      <w:r>
        <w:t>w zakresie następujących podstaw wykluczenia z postępowania określonych w:</w:t>
      </w:r>
    </w:p>
    <w:p w14:paraId="2EA2BC46" w14:textId="77777777" w:rsidR="006B26D3" w:rsidRDefault="006B26D3" w:rsidP="00AD1C27">
      <w:pPr>
        <w:pStyle w:val="Akapitzlist"/>
        <w:numPr>
          <w:ilvl w:val="0"/>
          <w:numId w:val="27"/>
        </w:numPr>
        <w:spacing w:line="312" w:lineRule="auto"/>
        <w:ind w:left="1134" w:hanging="284"/>
        <w:jc w:val="both"/>
      </w:pPr>
      <w:r>
        <w:t>art. 108 ust. 1 pkt 3 p.z.p.,</w:t>
      </w:r>
    </w:p>
    <w:p w14:paraId="0C9CC07D" w14:textId="77777777" w:rsidR="006B26D3" w:rsidRDefault="006B26D3" w:rsidP="00AD1C27">
      <w:pPr>
        <w:pStyle w:val="Akapitzlist"/>
        <w:numPr>
          <w:ilvl w:val="0"/>
          <w:numId w:val="27"/>
        </w:numPr>
        <w:spacing w:line="312" w:lineRule="auto"/>
        <w:ind w:left="1134" w:hanging="284"/>
        <w:jc w:val="both"/>
      </w:pPr>
      <w:r>
        <w:t>art. 108 ust. 1 pkt 4 p.z.p., dotyczących orzeczenia zakazu ubiegania się o zamówienie publiczne tytułem środka zapobiegawczego,</w:t>
      </w:r>
    </w:p>
    <w:p w14:paraId="625289DA" w14:textId="3BD56F71" w:rsidR="006B26D3" w:rsidRPr="006B26D3" w:rsidRDefault="006B26D3" w:rsidP="00AD1C27">
      <w:pPr>
        <w:pStyle w:val="Akapitzlist"/>
        <w:numPr>
          <w:ilvl w:val="0"/>
          <w:numId w:val="27"/>
        </w:numPr>
        <w:spacing w:line="312" w:lineRule="auto"/>
        <w:ind w:left="1134" w:hanging="284"/>
        <w:jc w:val="both"/>
      </w:pPr>
      <w:r w:rsidRPr="006B26D3">
        <w:t>art. 108 ust. 1 pkt 5 p.z.p., dotyczących zawarcia z innymi wykonawcami porozumienia mającego na celu zakłócenie konkurencji,</w:t>
      </w:r>
    </w:p>
    <w:p w14:paraId="36CCBB54" w14:textId="77777777" w:rsidR="006B26D3" w:rsidRPr="006B26D3" w:rsidRDefault="006B26D3" w:rsidP="00AD1C27">
      <w:pPr>
        <w:pStyle w:val="Akapitzlist"/>
        <w:numPr>
          <w:ilvl w:val="0"/>
          <w:numId w:val="27"/>
        </w:numPr>
        <w:spacing w:line="312" w:lineRule="auto"/>
        <w:ind w:left="1134" w:hanging="284"/>
        <w:contextualSpacing w:val="0"/>
        <w:jc w:val="both"/>
      </w:pPr>
      <w:r w:rsidRPr="006B26D3">
        <w:t>art. 108 ust. 1 pkt 6 p.z.p.,</w:t>
      </w:r>
    </w:p>
    <w:p w14:paraId="092349B9" w14:textId="3CB10ADB" w:rsidR="006B26D3" w:rsidRDefault="006B26D3" w:rsidP="00AD1C27">
      <w:pPr>
        <w:pStyle w:val="Akapitzlist"/>
        <w:numPr>
          <w:ilvl w:val="0"/>
          <w:numId w:val="27"/>
        </w:numPr>
        <w:spacing w:line="312" w:lineRule="auto"/>
        <w:ind w:left="1134" w:hanging="284"/>
        <w:contextualSpacing w:val="0"/>
        <w:jc w:val="both"/>
      </w:pPr>
      <w:r w:rsidRPr="006B26D3">
        <w:t xml:space="preserve">art. 109 ust. 1 pkt 1 </w:t>
      </w:r>
      <w:r>
        <w:t>p.z.p.</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7"/>
    <w:p w14:paraId="6EFA4F31" w14:textId="6D45A3C8" w:rsidR="00C4422C" w:rsidRPr="0023621B" w:rsidRDefault="00C4422C" w:rsidP="00C4422C">
      <w:pPr>
        <w:spacing w:after="0" w:line="312" w:lineRule="auto"/>
        <w:ind w:left="850"/>
        <w:jc w:val="both"/>
      </w:pPr>
      <w:r w:rsidRPr="0023621B">
        <w:lastRenderedPageBreak/>
        <w:t xml:space="preserve">- wzór oświadczenia stanowi Załącznik nr 5 do SWZ. </w:t>
      </w:r>
    </w:p>
    <w:p w14:paraId="4692D052" w14:textId="77777777" w:rsidR="00997A60" w:rsidRPr="0023621B" w:rsidRDefault="00FC1EE8" w:rsidP="00AD1C27">
      <w:pPr>
        <w:pStyle w:val="Akapitzlist"/>
        <w:numPr>
          <w:ilvl w:val="0"/>
          <w:numId w:val="13"/>
        </w:numPr>
        <w:spacing w:line="312" w:lineRule="auto"/>
        <w:contextualSpacing w:val="0"/>
        <w:jc w:val="both"/>
      </w:pPr>
      <w:r w:rsidRPr="0023621B">
        <w:t>Jeżeli Wykonawca ma siedzibę lub miejsce zamieszkania poza granicami Rzeczypospolitej Polskiej zamiast:</w:t>
      </w:r>
    </w:p>
    <w:p w14:paraId="094EC756" w14:textId="11441FF1" w:rsidR="00997A60" w:rsidRDefault="00FC1EE8" w:rsidP="00AD1C27">
      <w:pPr>
        <w:pStyle w:val="Akapitzlist"/>
        <w:numPr>
          <w:ilvl w:val="0"/>
          <w:numId w:val="15"/>
        </w:numPr>
        <w:spacing w:line="312" w:lineRule="auto"/>
        <w:ind w:left="851"/>
        <w:contextualSpacing w:val="0"/>
        <w:jc w:val="both"/>
      </w:pPr>
      <w:r w:rsidRPr="0023621B">
        <w:t>dokument</w:t>
      </w:r>
      <w:r w:rsidR="0023621B">
        <w:t>ów</w:t>
      </w:r>
      <w:r w:rsidRPr="0023621B">
        <w:t xml:space="preserve">, o którym mowa w </w:t>
      </w:r>
      <w:bookmarkStart w:id="8" w:name="_Hlk74918880"/>
      <w:r w:rsidRPr="0023621B">
        <w:t xml:space="preserve">ust. </w:t>
      </w:r>
      <w:r w:rsidR="0023621B">
        <w:t>7</w:t>
      </w:r>
      <w:r w:rsidRPr="0023621B">
        <w:t xml:space="preserve"> pkt </w:t>
      </w:r>
      <w:r w:rsidR="0023621B" w:rsidRPr="0023621B">
        <w:t>1</w:t>
      </w:r>
      <w:r w:rsidRPr="0023621B">
        <w:t xml:space="preserve"> </w:t>
      </w:r>
      <w:bookmarkEnd w:id="8"/>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AD1C27">
      <w:pPr>
        <w:pStyle w:val="Akapitzlist"/>
        <w:numPr>
          <w:ilvl w:val="0"/>
          <w:numId w:val="15"/>
        </w:numPr>
        <w:spacing w:line="312" w:lineRule="auto"/>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AD1C27">
      <w:pPr>
        <w:pStyle w:val="Akapitzlist"/>
        <w:numPr>
          <w:ilvl w:val="0"/>
          <w:numId w:val="28"/>
        </w:numPr>
        <w:spacing w:line="312" w:lineRule="auto"/>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AD1C27">
      <w:pPr>
        <w:pStyle w:val="Akapitzlist"/>
        <w:numPr>
          <w:ilvl w:val="0"/>
          <w:numId w:val="28"/>
        </w:numPr>
        <w:spacing w:line="312" w:lineRule="auto"/>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23621B">
      <w:pPr>
        <w:spacing w:after="0" w:line="312"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AD1C27">
      <w:pPr>
        <w:pStyle w:val="pkt"/>
        <w:numPr>
          <w:ilvl w:val="0"/>
          <w:numId w:val="13"/>
        </w:numPr>
        <w:tabs>
          <w:tab w:val="left" w:pos="851"/>
        </w:tabs>
        <w:spacing w:before="0" w:after="0" w:line="312" w:lineRule="auto"/>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AD1C27">
      <w:pPr>
        <w:pStyle w:val="pkt"/>
        <w:numPr>
          <w:ilvl w:val="0"/>
          <w:numId w:val="13"/>
        </w:numPr>
        <w:spacing w:before="0" w:after="0" w:line="312" w:lineRule="auto"/>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77777777" w:rsidR="00997A60" w:rsidRDefault="00FC1EE8" w:rsidP="00AD1C27">
      <w:pPr>
        <w:pStyle w:val="pkt"/>
        <w:numPr>
          <w:ilvl w:val="0"/>
          <w:numId w:val="13"/>
        </w:numPr>
        <w:spacing w:before="0" w:after="0" w:line="312" w:lineRule="auto"/>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w:t>
      </w:r>
      <w:r>
        <w:lastRenderedPageBreak/>
        <w:t xml:space="preserve">działalności podmiotów realizujących zadania publiczne, o ile wykonawca wskazał w oświadczeniu, o którym mowa w art. 125 ust. 1 p.z.p dane umożliwiające dostęp do tych środków. </w:t>
      </w:r>
    </w:p>
    <w:p w14:paraId="209F399A" w14:textId="5DCF6A55" w:rsidR="00997A60" w:rsidRDefault="00FC1EE8" w:rsidP="00AD1C27">
      <w:pPr>
        <w:pStyle w:val="pkt"/>
        <w:numPr>
          <w:ilvl w:val="0"/>
          <w:numId w:val="13"/>
        </w:numPr>
        <w:spacing w:before="0" w:after="0" w:line="312" w:lineRule="auto"/>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AD1C27">
      <w:pPr>
        <w:pStyle w:val="pkt"/>
        <w:numPr>
          <w:ilvl w:val="0"/>
          <w:numId w:val="13"/>
        </w:numPr>
        <w:spacing w:before="0" w:after="0" w:line="312" w:lineRule="auto"/>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AD1C27">
      <w:pPr>
        <w:pStyle w:val="pkt"/>
        <w:numPr>
          <w:ilvl w:val="0"/>
          <w:numId w:val="13"/>
        </w:numPr>
        <w:spacing w:before="0" w:after="0" w:line="312" w:lineRule="auto"/>
        <w:rPr>
          <w:szCs w:val="24"/>
        </w:rPr>
      </w:pPr>
      <w:r>
        <w:t xml:space="preserve">W zakresie nieuregulowanym p.z.p.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AD1C27">
      <w:pPr>
        <w:pStyle w:val="Akapitzlist"/>
        <w:numPr>
          <w:ilvl w:val="0"/>
          <w:numId w:val="25"/>
        </w:numPr>
        <w:spacing w:line="312" w:lineRule="auto"/>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5F00B5">
      <w:pPr>
        <w:pStyle w:val="Akapitzlist"/>
        <w:numPr>
          <w:ilvl w:val="6"/>
          <w:numId w:val="5"/>
        </w:numPr>
        <w:spacing w:line="312" w:lineRule="auto"/>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5F00B5">
      <w:pPr>
        <w:pStyle w:val="Akapitzlist"/>
        <w:numPr>
          <w:ilvl w:val="3"/>
          <w:numId w:val="5"/>
        </w:numPr>
        <w:spacing w:line="312" w:lineRule="auto"/>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w:t>
        </w:r>
        <w:bookmarkStart w:id="9" w:name="_GoBack"/>
        <w:bookmarkEnd w:id="9"/>
        <w:r>
          <w:rPr>
            <w:rStyle w:val="Hipercze"/>
          </w:rPr>
          <w:t>n/kwp_bialystok</w:t>
        </w:r>
      </w:hyperlink>
    </w:p>
    <w:p w14:paraId="69E5B24C" w14:textId="59F6839B" w:rsidR="00997A60" w:rsidRDefault="00FC1EE8" w:rsidP="005F00B5">
      <w:pPr>
        <w:pStyle w:val="Akapitzlist"/>
        <w:numPr>
          <w:ilvl w:val="3"/>
          <w:numId w:val="5"/>
        </w:numPr>
        <w:spacing w:line="312" w:lineRule="auto"/>
        <w:ind w:left="426" w:hanging="426"/>
        <w:contextualSpacing w:val="0"/>
        <w:jc w:val="both"/>
        <w:rPr>
          <w:rFonts w:eastAsia="Times New Roman"/>
        </w:rPr>
      </w:pPr>
      <w:r>
        <w:lastRenderedPageBreak/>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5F00B5">
      <w:pPr>
        <w:pStyle w:val="Akapitzlist"/>
        <w:numPr>
          <w:ilvl w:val="3"/>
          <w:numId w:val="5"/>
        </w:numPr>
        <w:spacing w:line="312" w:lineRule="auto"/>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5F00B5">
      <w:pPr>
        <w:pStyle w:val="Akapitzlist"/>
        <w:numPr>
          <w:ilvl w:val="3"/>
          <w:numId w:val="5"/>
        </w:numPr>
        <w:spacing w:line="312" w:lineRule="auto"/>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5F00B5">
      <w:pPr>
        <w:pStyle w:val="Akapitzlist"/>
        <w:numPr>
          <w:ilvl w:val="3"/>
          <w:numId w:val="5"/>
        </w:numPr>
        <w:spacing w:line="312" w:lineRule="auto"/>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5F00B5">
      <w:pPr>
        <w:pStyle w:val="Akapitzlist"/>
        <w:numPr>
          <w:ilvl w:val="3"/>
          <w:numId w:val="5"/>
        </w:numPr>
        <w:spacing w:line="312" w:lineRule="auto"/>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5F00B5">
      <w:pPr>
        <w:pStyle w:val="Akapitzlist"/>
        <w:numPr>
          <w:ilvl w:val="3"/>
          <w:numId w:val="5"/>
        </w:numPr>
        <w:spacing w:line="312" w:lineRule="auto"/>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AD1C27">
      <w:pPr>
        <w:pStyle w:val="Akapitzlist"/>
        <w:numPr>
          <w:ilvl w:val="0"/>
          <w:numId w:val="16"/>
        </w:numPr>
        <w:spacing w:line="312" w:lineRule="auto"/>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AD1C27">
      <w:pPr>
        <w:pStyle w:val="Akapitzlist"/>
        <w:numPr>
          <w:ilvl w:val="0"/>
          <w:numId w:val="16"/>
        </w:numPr>
        <w:spacing w:line="312" w:lineRule="auto"/>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AD1C27">
      <w:pPr>
        <w:pStyle w:val="Akapitzlist"/>
        <w:numPr>
          <w:ilvl w:val="0"/>
          <w:numId w:val="16"/>
        </w:numPr>
        <w:spacing w:line="312" w:lineRule="auto"/>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AD1C27">
      <w:pPr>
        <w:pStyle w:val="Akapitzlist"/>
        <w:keepLines/>
        <w:numPr>
          <w:ilvl w:val="0"/>
          <w:numId w:val="16"/>
        </w:numPr>
        <w:autoSpaceDN w:val="0"/>
        <w:spacing w:line="312" w:lineRule="auto"/>
        <w:ind w:left="726" w:hanging="363"/>
        <w:contextualSpacing w:val="0"/>
        <w:jc w:val="both"/>
        <w:rPr>
          <w:bCs/>
        </w:rPr>
      </w:pPr>
      <w:r>
        <w:rPr>
          <w:bCs/>
        </w:rPr>
        <w:lastRenderedPageBreak/>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.xps; .odt; .ods; .odp; .doc; .xls; .ppt; .docx; .xlsx; .pptx; .csv, .zip, .tar, .gz, (.gzip), .7Z</w:t>
      </w:r>
    </w:p>
    <w:p w14:paraId="69872561" w14:textId="77777777" w:rsidR="003D54FD" w:rsidRDefault="003D54FD" w:rsidP="003D54FD">
      <w:pPr>
        <w:pStyle w:val="Akapitzlist"/>
        <w:keepLines/>
        <w:numPr>
          <w:ilvl w:val="0"/>
          <w:numId w:val="16"/>
        </w:numPr>
        <w:tabs>
          <w:tab w:val="left" w:pos="567"/>
        </w:tabs>
        <w:autoSpaceDN w:val="0"/>
        <w:spacing w:line="312" w:lineRule="auto"/>
        <w:ind w:left="567" w:hanging="283"/>
        <w:jc w:val="both"/>
        <w:rPr>
          <w:bCs/>
        </w:rPr>
      </w:pPr>
      <w:r>
        <w:rPr>
          <w:bCs/>
        </w:rPr>
        <w:t>Z</w:t>
      </w:r>
      <w:r w:rsidRPr="003D54FD">
        <w:rPr>
          <w:bCs/>
        </w:rPr>
        <w:t>amawiający zaleca następujące formaty danych: .pdf, .doc, .docx, ze szczególnym wskazaniem na pdf</w:t>
      </w:r>
      <w:r>
        <w:rPr>
          <w:bCs/>
        </w:rPr>
        <w:t>,</w:t>
      </w:r>
    </w:p>
    <w:p w14:paraId="44DF48ED" w14:textId="1438E86D" w:rsidR="003D54FD" w:rsidRPr="003D54FD" w:rsidRDefault="003D54FD" w:rsidP="003D54FD">
      <w:pPr>
        <w:pStyle w:val="Akapitzlist"/>
        <w:keepLines/>
        <w:numPr>
          <w:ilvl w:val="0"/>
          <w:numId w:val="16"/>
        </w:numPr>
        <w:tabs>
          <w:tab w:val="left" w:pos="567"/>
        </w:tabs>
        <w:autoSpaceDN w:val="0"/>
        <w:spacing w:line="312" w:lineRule="auto"/>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3D54FD">
      <w:pPr>
        <w:pStyle w:val="Akapitzlist"/>
        <w:numPr>
          <w:ilvl w:val="0"/>
          <w:numId w:val="16"/>
        </w:numPr>
        <w:tabs>
          <w:tab w:val="left" w:pos="567"/>
        </w:tabs>
        <w:spacing w:line="312" w:lineRule="auto"/>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AD1C27">
      <w:pPr>
        <w:pStyle w:val="Akapitzlist"/>
        <w:numPr>
          <w:ilvl w:val="0"/>
          <w:numId w:val="29"/>
        </w:numPr>
        <w:spacing w:line="312" w:lineRule="auto"/>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przeglądarka internetowa Internet Explorer, Chrome i FireFox w najnowszej dostępnej wersji, z włączoną obsługą języka Javascript, akceptująca pliki typu „cookies”,</w:t>
      </w:r>
    </w:p>
    <w:p w14:paraId="78353ECA"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łącze internetowe o przepustowości, co najmniej 256 kbit/s,</w:t>
      </w:r>
    </w:p>
    <w:p w14:paraId="0214BE56" w14:textId="23AE7E6F" w:rsidR="00997A60" w:rsidRPr="004C4E57" w:rsidRDefault="00FC1EE8" w:rsidP="00AD1C27">
      <w:pPr>
        <w:pStyle w:val="Akapitzlist"/>
        <w:numPr>
          <w:ilvl w:val="0"/>
          <w:numId w:val="29"/>
        </w:numPr>
        <w:spacing w:line="312" w:lineRule="auto"/>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AD1C27">
      <w:pPr>
        <w:pStyle w:val="Akapitzlist"/>
        <w:numPr>
          <w:ilvl w:val="0"/>
          <w:numId w:val="16"/>
        </w:numPr>
        <w:spacing w:line="312" w:lineRule="auto"/>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AD1C27">
      <w:pPr>
        <w:pStyle w:val="Akapitzlist"/>
        <w:numPr>
          <w:ilvl w:val="1"/>
          <w:numId w:val="27"/>
        </w:numPr>
        <w:spacing w:line="312" w:lineRule="auto"/>
        <w:ind w:left="993" w:hanging="284"/>
        <w:contextualSpacing w:val="0"/>
        <w:jc w:val="both"/>
        <w:rPr>
          <w:bCs/>
        </w:rPr>
      </w:pPr>
      <w:r>
        <w:rPr>
          <w:bCs/>
        </w:rPr>
        <w:t>dokumenty w formacie „pdf” zaleca się podpisywać formatem PAdES,</w:t>
      </w:r>
    </w:p>
    <w:p w14:paraId="5BEE3122" w14:textId="70D2D396" w:rsidR="00997A60" w:rsidRPr="003D54FD" w:rsidRDefault="00FC1EE8" w:rsidP="00AD1C27">
      <w:pPr>
        <w:pStyle w:val="Akapitzlist"/>
        <w:numPr>
          <w:ilvl w:val="1"/>
          <w:numId w:val="27"/>
        </w:numPr>
        <w:spacing w:line="312" w:lineRule="auto"/>
        <w:ind w:left="993" w:hanging="284"/>
        <w:contextualSpacing w:val="0"/>
        <w:jc w:val="both"/>
        <w:rPr>
          <w:bCs/>
        </w:rPr>
      </w:pPr>
      <w:r>
        <w:rPr>
          <w:bCs/>
        </w:rPr>
        <w:t xml:space="preserve">dopuszcza się podpisanie dokumentów w formacie innym niż „pdf”, wtedy należy użyć formatu XAdES (stanowiącego odrębny plik). W związku z tym Wykonawca </w:t>
      </w:r>
      <w:r w:rsidRPr="003D54FD">
        <w:rPr>
          <w:bCs/>
        </w:rPr>
        <w:t>zobowiązany będzie załączyć oddzielny plik z podpisem.</w:t>
      </w:r>
    </w:p>
    <w:p w14:paraId="5BDFC1E3" w14:textId="55D811D7" w:rsidR="00997A60" w:rsidRPr="003D54FD" w:rsidRDefault="00FC1EE8" w:rsidP="004C4E57">
      <w:pPr>
        <w:numPr>
          <w:ilvl w:val="3"/>
          <w:numId w:val="5"/>
        </w:numPr>
        <w:tabs>
          <w:tab w:val="left" w:pos="960"/>
        </w:tabs>
        <w:spacing w:after="0" w:line="312"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AD1C27">
      <w:pPr>
        <w:numPr>
          <w:ilvl w:val="0"/>
          <w:numId w:val="17"/>
        </w:numPr>
        <w:tabs>
          <w:tab w:val="clear" w:pos="312"/>
          <w:tab w:val="left" w:pos="709"/>
        </w:tabs>
        <w:spacing w:after="0" w:line="312"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AD1C27">
      <w:pPr>
        <w:numPr>
          <w:ilvl w:val="0"/>
          <w:numId w:val="17"/>
        </w:numPr>
        <w:tabs>
          <w:tab w:val="clear" w:pos="312"/>
          <w:tab w:val="left" w:pos="709"/>
        </w:tabs>
        <w:spacing w:after="0" w:line="312"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990952">
      <w:pPr>
        <w:numPr>
          <w:ilvl w:val="3"/>
          <w:numId w:val="5"/>
        </w:numPr>
        <w:tabs>
          <w:tab w:val="left" w:pos="426"/>
        </w:tabs>
        <w:spacing w:after="0" w:line="312" w:lineRule="auto"/>
        <w:ind w:left="426" w:hanging="426"/>
        <w:jc w:val="both"/>
        <w:rPr>
          <w:u w:val="single"/>
        </w:rPr>
      </w:pPr>
      <w:r>
        <w:t xml:space="preserve">Wykonawca może zwrócić się do Zamawiającego o wyjaśnienie treści SWZ. </w:t>
      </w:r>
    </w:p>
    <w:p w14:paraId="4E975A00" w14:textId="77777777" w:rsidR="00997A60" w:rsidRDefault="00FC1EE8" w:rsidP="00990952">
      <w:pPr>
        <w:numPr>
          <w:ilvl w:val="3"/>
          <w:numId w:val="5"/>
        </w:numPr>
        <w:tabs>
          <w:tab w:val="left" w:pos="426"/>
        </w:tabs>
        <w:spacing w:after="0" w:line="312"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990952">
      <w:pPr>
        <w:numPr>
          <w:ilvl w:val="3"/>
          <w:numId w:val="5"/>
        </w:numPr>
        <w:tabs>
          <w:tab w:val="left" w:pos="426"/>
        </w:tabs>
        <w:spacing w:after="0" w:line="312"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w:t>
      </w:r>
      <w:r>
        <w:lastRenderedPageBreak/>
        <w:t xml:space="preserve">treści SWZ wpłynął do zamawiającego nie później niż na 14 dni przed upływem terminu składania ofert. </w:t>
      </w:r>
    </w:p>
    <w:p w14:paraId="65122472" w14:textId="77777777" w:rsidR="00990952" w:rsidRPr="00990952" w:rsidRDefault="00FC1EE8" w:rsidP="00990952">
      <w:pPr>
        <w:numPr>
          <w:ilvl w:val="3"/>
          <w:numId w:val="5"/>
        </w:numPr>
        <w:tabs>
          <w:tab w:val="left" w:pos="426"/>
        </w:tabs>
        <w:spacing w:after="0" w:line="312"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990952">
      <w:pPr>
        <w:numPr>
          <w:ilvl w:val="3"/>
          <w:numId w:val="5"/>
        </w:numPr>
        <w:tabs>
          <w:tab w:val="left" w:pos="426"/>
        </w:tabs>
        <w:spacing w:after="0" w:line="312"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990952">
      <w:pPr>
        <w:numPr>
          <w:ilvl w:val="3"/>
          <w:numId w:val="5"/>
        </w:numPr>
        <w:tabs>
          <w:tab w:val="left" w:pos="426"/>
        </w:tabs>
        <w:spacing w:after="0" w:line="312"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10308E3C" w:rsidR="00997A60" w:rsidRDefault="00FC1EE8" w:rsidP="00AD1C27">
      <w:pPr>
        <w:pStyle w:val="pkt"/>
        <w:numPr>
          <w:ilvl w:val="3"/>
          <w:numId w:val="30"/>
        </w:numPr>
        <w:spacing w:before="0" w:after="0" w:line="312" w:lineRule="auto"/>
        <w:ind w:left="426" w:hanging="426"/>
        <w:rPr>
          <w:szCs w:val="24"/>
        </w:rPr>
      </w:pPr>
      <w:r w:rsidRPr="007576DD">
        <w:rPr>
          <w:szCs w:val="24"/>
        </w:rPr>
        <w:t xml:space="preserve">Wykonawca będzie związany ofertą przez okres 90 dni, tj. do dnia </w:t>
      </w:r>
      <w:r w:rsidR="008C538B" w:rsidRPr="00E86F79">
        <w:rPr>
          <w:b/>
          <w:bCs/>
          <w:szCs w:val="24"/>
        </w:rPr>
        <w:t>30 października 2021</w:t>
      </w:r>
      <w:r w:rsidR="00E86F79">
        <w:rPr>
          <w:b/>
          <w:bCs/>
          <w:szCs w:val="24"/>
        </w:rPr>
        <w:t> </w:t>
      </w:r>
      <w:r w:rsidRPr="00E86F79">
        <w:rPr>
          <w:b/>
          <w:bCs/>
          <w:szCs w:val="24"/>
        </w:rPr>
        <w:t>r.</w:t>
      </w:r>
      <w:r w:rsidRPr="007576DD">
        <w:rPr>
          <w:szCs w:val="24"/>
        </w:rPr>
        <w:t xml:space="preserve"> 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AD1C27">
      <w:pPr>
        <w:pStyle w:val="pkt"/>
        <w:numPr>
          <w:ilvl w:val="3"/>
          <w:numId w:val="30"/>
        </w:numPr>
        <w:spacing w:before="0" w:after="0" w:line="312" w:lineRule="auto"/>
        <w:ind w:left="426" w:hanging="426"/>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AD1C27">
      <w:pPr>
        <w:pStyle w:val="pkt"/>
        <w:numPr>
          <w:ilvl w:val="3"/>
          <w:numId w:val="30"/>
        </w:numPr>
        <w:spacing w:before="0" w:after="0" w:line="312" w:lineRule="auto"/>
        <w:ind w:left="426" w:hanging="426"/>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AD1C27">
      <w:pPr>
        <w:pStyle w:val="pkt"/>
        <w:numPr>
          <w:ilvl w:val="3"/>
          <w:numId w:val="30"/>
        </w:numPr>
        <w:spacing w:before="0" w:after="0" w:line="312" w:lineRule="auto"/>
        <w:ind w:left="426" w:hanging="426"/>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AD1C27">
      <w:pPr>
        <w:pStyle w:val="pkt"/>
        <w:numPr>
          <w:ilvl w:val="3"/>
          <w:numId w:val="30"/>
        </w:numPr>
        <w:spacing w:before="0" w:after="0" w:line="312" w:lineRule="auto"/>
        <w:ind w:left="426" w:hanging="426"/>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AD1C27">
      <w:pPr>
        <w:pStyle w:val="Akapitzlist"/>
        <w:numPr>
          <w:ilvl w:val="0"/>
          <w:numId w:val="25"/>
        </w:numPr>
        <w:spacing w:line="312" w:lineRule="auto"/>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Pr>
          <w:rFonts w:eastAsia="Times New Roman"/>
          <w:szCs w:val="24"/>
        </w:rPr>
        <w:t>Załączn</w:t>
      </w:r>
      <w:r w:rsidR="00D06B79">
        <w:rPr>
          <w:rFonts w:eastAsia="Times New Roman"/>
          <w:szCs w:val="24"/>
        </w:rPr>
        <w:t>ik</w:t>
      </w:r>
      <w:r>
        <w:rPr>
          <w:rFonts w:eastAsia="Times New Roman"/>
          <w:szCs w:val="24"/>
        </w:rPr>
        <w:t xml:space="preserve"> nr </w:t>
      </w:r>
      <w:r w:rsidR="00D06B79">
        <w:rPr>
          <w:rFonts w:eastAsia="Times New Roman"/>
          <w:szCs w:val="24"/>
        </w:rPr>
        <w:t xml:space="preserve">3 </w:t>
      </w:r>
      <w:r>
        <w:rPr>
          <w:rFonts w:eastAsia="Times New Roman"/>
          <w:szCs w:val="24"/>
        </w:rPr>
        <w:t xml:space="preserve">do SWZ. </w:t>
      </w:r>
    </w:p>
    <w:p w14:paraId="248F5837" w14:textId="77777777" w:rsidR="00D06B79"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AD1C27">
      <w:pPr>
        <w:pStyle w:val="pkt"/>
        <w:numPr>
          <w:ilvl w:val="0"/>
          <w:numId w:val="32"/>
        </w:numPr>
        <w:spacing w:before="0" w:after="0" w:line="312" w:lineRule="auto"/>
        <w:ind w:left="709" w:hanging="283"/>
        <w:rPr>
          <w:rFonts w:eastAsia="Times New Roman"/>
          <w:szCs w:val="24"/>
        </w:rPr>
      </w:pPr>
      <w:r>
        <w:rPr>
          <w:rFonts w:eastAsia="Times New Roman"/>
          <w:szCs w:val="24"/>
        </w:rPr>
        <w:lastRenderedPageBreak/>
        <w:t xml:space="preserve">oświadczenie na formularzu JEDZ (zgodnie z wymaganiami określonymi niniejszą SWZ), </w:t>
      </w:r>
    </w:p>
    <w:p w14:paraId="0DBE9AE4" w14:textId="77777777" w:rsidR="00003AD0" w:rsidRDefault="00FC1EE8" w:rsidP="00AD1C27">
      <w:pPr>
        <w:pStyle w:val="pkt"/>
        <w:numPr>
          <w:ilvl w:val="0"/>
          <w:numId w:val="32"/>
        </w:numPr>
        <w:spacing w:before="0" w:after="0" w:line="312" w:lineRule="auto"/>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AD1C27">
      <w:pPr>
        <w:pStyle w:val="pkt"/>
        <w:numPr>
          <w:ilvl w:val="0"/>
          <w:numId w:val="32"/>
        </w:numPr>
        <w:spacing w:before="0" w:after="0" w:line="312" w:lineRule="auto"/>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AD1C27">
      <w:pPr>
        <w:pStyle w:val="pkt"/>
        <w:numPr>
          <w:ilvl w:val="0"/>
          <w:numId w:val="32"/>
        </w:numPr>
        <w:spacing w:before="0" w:after="0" w:line="312" w:lineRule="auto"/>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AD1C27">
      <w:pPr>
        <w:pStyle w:val="pkt"/>
        <w:numPr>
          <w:ilvl w:val="0"/>
          <w:numId w:val="32"/>
        </w:numPr>
        <w:spacing w:before="0" w:after="0" w:line="312" w:lineRule="auto"/>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C4FF5">
      <w:pPr>
        <w:pStyle w:val="pkt"/>
        <w:numPr>
          <w:ilvl w:val="3"/>
          <w:numId w:val="31"/>
        </w:numPr>
        <w:spacing w:before="0" w:after="0" w:line="312" w:lineRule="auto"/>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w:t>
      </w:r>
      <w:r w:rsidRPr="007F1563">
        <w:rPr>
          <w:szCs w:val="24"/>
        </w:rPr>
        <w:lastRenderedPageBreak/>
        <w:t xml:space="preserve">18 ust. 3 p.z.p.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38627C">
      <w:pPr>
        <w:pStyle w:val="pkt"/>
        <w:numPr>
          <w:ilvl w:val="3"/>
          <w:numId w:val="31"/>
        </w:numPr>
        <w:spacing w:before="0" w:after="0" w:line="312" w:lineRule="auto"/>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AD1C27">
      <w:pPr>
        <w:pStyle w:val="pkt"/>
        <w:numPr>
          <w:ilvl w:val="3"/>
          <w:numId w:val="31"/>
        </w:numPr>
        <w:spacing w:before="0" w:after="0" w:line="312" w:lineRule="auto"/>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1EB5C432" w14:textId="77777777" w:rsidR="00997A60" w:rsidRDefault="00997A60"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1C283CF4" w:rsidR="00997A60" w:rsidRDefault="00FC1EE8" w:rsidP="0089522F">
      <w:pPr>
        <w:pStyle w:val="pkt"/>
        <w:spacing w:before="0" w:after="0" w:line="312" w:lineRule="auto"/>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AF4F26">
        <w:rPr>
          <w:b/>
          <w:szCs w:val="24"/>
        </w:rPr>
        <w:t xml:space="preserve">do dnia </w:t>
      </w:r>
      <w:r w:rsidR="00AF4F26" w:rsidRPr="00AF4F26">
        <w:rPr>
          <w:b/>
          <w:szCs w:val="24"/>
        </w:rPr>
        <w:t>2 sierpnia 2021</w:t>
      </w:r>
      <w:r w:rsidRPr="00AF4F26">
        <w:rPr>
          <w:b/>
          <w:szCs w:val="24"/>
        </w:rPr>
        <w:t xml:space="preserve"> r. do godziny </w:t>
      </w:r>
      <w:r w:rsidR="00AF4F26" w:rsidRPr="00AF4F26">
        <w:rPr>
          <w:b/>
          <w:szCs w:val="24"/>
        </w:rPr>
        <w:t>9:30.</w:t>
      </w:r>
    </w:p>
    <w:p w14:paraId="7CAD93D5" w14:textId="77777777" w:rsidR="00997A60" w:rsidRDefault="00FC1EE8" w:rsidP="0089522F">
      <w:pPr>
        <w:pStyle w:val="pkt"/>
        <w:spacing w:before="0" w:after="0" w:line="312" w:lineRule="auto"/>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50F8888D" w:rsidR="00997A60" w:rsidRDefault="00FC1EE8" w:rsidP="0089522F">
      <w:pPr>
        <w:pStyle w:val="pkt"/>
        <w:spacing w:before="0" w:after="0" w:line="312" w:lineRule="auto"/>
        <w:ind w:left="426" w:hanging="426"/>
        <w:rPr>
          <w:b/>
          <w:szCs w:val="24"/>
        </w:rPr>
      </w:pPr>
      <w:r>
        <w:rPr>
          <w:szCs w:val="24"/>
        </w:rPr>
        <w:t>3.</w:t>
      </w:r>
      <w:r>
        <w:rPr>
          <w:b/>
          <w:szCs w:val="24"/>
        </w:rPr>
        <w:tab/>
      </w:r>
      <w:r>
        <w:rPr>
          <w:szCs w:val="24"/>
        </w:rPr>
        <w:t xml:space="preserve">Otwarcie ofert nastąpi </w:t>
      </w:r>
      <w:r w:rsidRPr="00AF4F26">
        <w:rPr>
          <w:szCs w:val="24"/>
        </w:rPr>
        <w:t xml:space="preserve">w dniu </w:t>
      </w:r>
      <w:r w:rsidR="00AF4F26" w:rsidRPr="00AF4F26">
        <w:rPr>
          <w:b/>
          <w:szCs w:val="24"/>
        </w:rPr>
        <w:t>2 sierpnia 2021</w:t>
      </w:r>
      <w:r w:rsidRPr="00AF4F26">
        <w:rPr>
          <w:b/>
          <w:szCs w:val="24"/>
        </w:rPr>
        <w:t xml:space="preserve"> r. o godzinie </w:t>
      </w:r>
      <w:r w:rsidR="00AF4F26" w:rsidRPr="00AF4F26">
        <w:rPr>
          <w:b/>
          <w:szCs w:val="24"/>
        </w:rPr>
        <w:t>10:00.</w:t>
      </w:r>
      <w:r w:rsidR="00AF4F26">
        <w:rPr>
          <w:b/>
          <w:szCs w:val="24"/>
        </w:rPr>
        <w:t xml:space="preserve"> </w:t>
      </w:r>
    </w:p>
    <w:p w14:paraId="5893D900" w14:textId="0AB51A9C" w:rsidR="00997A60" w:rsidRDefault="00FC1EE8" w:rsidP="0089522F">
      <w:pPr>
        <w:pStyle w:val="pkt"/>
        <w:spacing w:before="0" w:after="0" w:line="312" w:lineRule="auto"/>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89522F">
      <w:pPr>
        <w:pStyle w:val="pkt"/>
        <w:spacing w:before="0" w:after="0" w:line="312" w:lineRule="auto"/>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89522F">
      <w:pPr>
        <w:spacing w:after="0" w:line="312"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89522F">
      <w:pPr>
        <w:spacing w:after="0" w:line="312" w:lineRule="auto"/>
        <w:ind w:left="852" w:hanging="426"/>
        <w:jc w:val="both"/>
      </w:pPr>
      <w:r>
        <w:t>2)</w:t>
      </w:r>
      <w:r>
        <w:tab/>
        <w:t>cenach lub kosztach zawartych w ofertach.</w:t>
      </w:r>
    </w:p>
    <w:p w14:paraId="22369038" w14:textId="77777777" w:rsidR="00997A60" w:rsidRDefault="00FC1EE8" w:rsidP="0089522F">
      <w:pPr>
        <w:spacing w:after="0" w:line="312" w:lineRule="auto"/>
        <w:ind w:left="480" w:hanging="480"/>
        <w:jc w:val="both"/>
      </w:pPr>
      <w:r>
        <w:t>6.</w:t>
      </w:r>
      <w:r>
        <w:rPr>
          <w:b/>
        </w:rPr>
        <w:t xml:space="preserve">   </w:t>
      </w:r>
      <w:r>
        <w:t>W przypadku wystąpienia awarii systemu teleinformatycznego, która spowoduje brak możliwości otwarcia ofert w terminie określonym przez Zamawiającego, otwarcie ofert nastąpi niezwłocznie po usunięciu awarii.</w:t>
      </w:r>
    </w:p>
    <w:p w14:paraId="22477A54" w14:textId="77777777" w:rsidR="00997A60" w:rsidRDefault="00FC1EE8" w:rsidP="0089522F">
      <w:pPr>
        <w:tabs>
          <w:tab w:val="left" w:pos="480"/>
          <w:tab w:val="left" w:pos="960"/>
        </w:tabs>
        <w:spacing w:after="0" w:line="312" w:lineRule="auto"/>
        <w:ind w:left="480" w:hanging="480"/>
        <w:jc w:val="both"/>
      </w:pPr>
      <w:r>
        <w:t>7.</w:t>
      </w:r>
      <w:r>
        <w:rPr>
          <w:b/>
        </w:rPr>
        <w:t xml:space="preserve">  </w:t>
      </w:r>
      <w:r>
        <w:rPr>
          <w:bCs/>
        </w:rPr>
        <w:t>Za</w:t>
      </w:r>
      <w:r>
        <w:t>mawiający poinformuje o zmianie terminu otwarcia ofert na stronie internetowej prowadzonego postępowania.</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lastRenderedPageBreak/>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AD1C27">
      <w:pPr>
        <w:pStyle w:val="Akapitzlist"/>
        <w:numPr>
          <w:ilvl w:val="1"/>
          <w:numId w:val="33"/>
        </w:numPr>
        <w:suppressAutoHyphens/>
        <w:spacing w:line="312" w:lineRule="auto"/>
        <w:ind w:left="709" w:hanging="283"/>
        <w:jc w:val="both"/>
      </w:pPr>
      <w:r>
        <w:t>poinformowania Zamawiającego, że wybór jego oferty będzie prowadził do powstania u Zamawiającego obowiązku podatkowego;</w:t>
      </w:r>
    </w:p>
    <w:p w14:paraId="31ECB902" w14:textId="758E1862" w:rsidR="00997A60" w:rsidRDefault="00FC1EE8" w:rsidP="00AD1C27">
      <w:pPr>
        <w:pStyle w:val="Akapitzlist"/>
        <w:numPr>
          <w:ilvl w:val="1"/>
          <w:numId w:val="33"/>
        </w:numPr>
        <w:suppressAutoHyphens/>
        <w:spacing w:line="312" w:lineRule="auto"/>
        <w:ind w:left="709" w:hanging="283"/>
        <w:jc w:val="both"/>
      </w:pPr>
      <w:r>
        <w:t>wskazania nazwy (rodzaju) towaru lub usługi, których dostawa lub świadczenie będą prowadziły do powstania obowiązku podatkowego;</w:t>
      </w:r>
    </w:p>
    <w:p w14:paraId="61824DA1" w14:textId="32747D43" w:rsidR="00997A60" w:rsidRDefault="00FC1EE8" w:rsidP="00AD1C27">
      <w:pPr>
        <w:pStyle w:val="Akapitzlist"/>
        <w:numPr>
          <w:ilvl w:val="1"/>
          <w:numId w:val="33"/>
        </w:numPr>
        <w:suppressAutoHyphens/>
        <w:spacing w:line="312" w:lineRule="auto"/>
        <w:ind w:left="709" w:hanging="283"/>
        <w:jc w:val="both"/>
      </w:pPr>
      <w:r>
        <w:t>wskazania wartości towaru lub usługi objętego obowiązkiem podatkowym Zamawiającego, bez kwoty podatku;</w:t>
      </w:r>
    </w:p>
    <w:p w14:paraId="5EE8F367" w14:textId="721ED75D" w:rsidR="00997A60" w:rsidRDefault="00FC1EE8" w:rsidP="00AD1C27">
      <w:pPr>
        <w:pStyle w:val="Akapitzlist"/>
        <w:numPr>
          <w:ilvl w:val="1"/>
          <w:numId w:val="33"/>
        </w:numPr>
        <w:suppressAutoHyphens/>
        <w:spacing w:line="312" w:lineRule="auto"/>
        <w:ind w:left="709" w:hanging="283"/>
        <w:jc w:val="both"/>
      </w:pPr>
      <w:r>
        <w:t>wskazania stawki podatku od towarów i usług, która zgodnie z wiedzą Wykonawcy, będzie miała zastosowanie.</w:t>
      </w:r>
    </w:p>
    <w:p w14:paraId="1299199C" w14:textId="77777777" w:rsidR="001000DD" w:rsidRDefault="00FC1EE8" w:rsidP="00AD1C27">
      <w:pPr>
        <w:numPr>
          <w:ilvl w:val="0"/>
          <w:numId w:val="18"/>
        </w:numPr>
        <w:spacing w:after="0" w:line="312"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AD1C27">
      <w:pPr>
        <w:numPr>
          <w:ilvl w:val="0"/>
          <w:numId w:val="18"/>
        </w:numPr>
        <w:spacing w:after="0" w:line="312"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AD1C27">
      <w:pPr>
        <w:numPr>
          <w:ilvl w:val="0"/>
          <w:numId w:val="18"/>
        </w:numPr>
        <w:spacing w:after="0" w:line="312"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AD1C27">
      <w:pPr>
        <w:numPr>
          <w:ilvl w:val="0"/>
          <w:numId w:val="18"/>
        </w:numPr>
        <w:spacing w:after="0" w:line="312"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AD1C27">
      <w:pPr>
        <w:numPr>
          <w:ilvl w:val="0"/>
          <w:numId w:val="18"/>
        </w:numPr>
        <w:spacing w:after="0" w:line="312"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AD1C27">
      <w:pPr>
        <w:numPr>
          <w:ilvl w:val="0"/>
          <w:numId w:val="18"/>
        </w:numPr>
        <w:spacing w:after="0" w:line="312" w:lineRule="auto"/>
        <w:ind w:left="426" w:hanging="426"/>
        <w:jc w:val="both"/>
        <w:rPr>
          <w:color w:val="000000"/>
        </w:rPr>
      </w:pPr>
      <w:r>
        <w:t>Zgodnie z art. 223 ust. 2 p.z.p.</w:t>
      </w:r>
      <w:r w:rsidR="001000DD">
        <w:t>,</w:t>
      </w:r>
      <w:r>
        <w:t xml:space="preserve"> Zamawiający poprawia w ofercie Wykonawcy:</w:t>
      </w:r>
    </w:p>
    <w:p w14:paraId="0F0C6993"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 xml:space="preserve">oczywiste omyłki pisarskie, </w:t>
      </w:r>
    </w:p>
    <w:p w14:paraId="6A3AD3E3"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oczywiste omyłki rachunkowe, z uwzględnieniem konsekwencji rachunkowych dokonanych poprawek,</w:t>
      </w:r>
    </w:p>
    <w:p w14:paraId="6DDFA11A"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1000DD">
      <w:pPr>
        <w:pStyle w:val="pkt"/>
        <w:spacing w:before="0" w:after="0" w:line="312" w:lineRule="auto"/>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AD1C27">
      <w:pPr>
        <w:pStyle w:val="Akapitzlist"/>
        <w:numPr>
          <w:ilvl w:val="0"/>
          <w:numId w:val="25"/>
        </w:numPr>
        <w:spacing w:line="312" w:lineRule="auto"/>
        <w:ind w:left="284" w:hanging="284"/>
        <w:jc w:val="both"/>
        <w:rPr>
          <w:b/>
        </w:rPr>
      </w:pPr>
      <w:r w:rsidRPr="00AE0A2E">
        <w:rPr>
          <w:b/>
        </w:rPr>
        <w:lastRenderedPageBreak/>
        <w:t>OPIS KRYTERIÓW OCENY OFERT, WRAZ Z PODANIEM WAG TYCH KRYTERIÓW I SPOSOBU OCENY OFERT</w:t>
      </w:r>
    </w:p>
    <w:p w14:paraId="13B2ECB6" w14:textId="2CD4B524" w:rsidR="00997A60" w:rsidRDefault="00FC1EE8" w:rsidP="00AD1C27">
      <w:pPr>
        <w:pStyle w:val="pkt"/>
        <w:numPr>
          <w:ilvl w:val="0"/>
          <w:numId w:val="34"/>
        </w:numPr>
        <w:spacing w:before="0" w:after="0" w:line="312" w:lineRule="auto"/>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AD1C27">
      <w:pPr>
        <w:numPr>
          <w:ilvl w:val="0"/>
          <w:numId w:val="20"/>
        </w:numPr>
        <w:tabs>
          <w:tab w:val="clear" w:pos="425"/>
          <w:tab w:val="left" w:pos="709"/>
        </w:tabs>
        <w:spacing w:after="0" w:line="312"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AD1C27">
      <w:pPr>
        <w:numPr>
          <w:ilvl w:val="0"/>
          <w:numId w:val="20"/>
        </w:numPr>
        <w:tabs>
          <w:tab w:val="clear" w:pos="425"/>
          <w:tab w:val="left" w:pos="709"/>
        </w:tabs>
        <w:spacing w:after="0" w:line="312"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e</w:t>
      </w:r>
      <w:r w:rsidR="00FC1EE8" w:rsidRPr="00E27B2A">
        <w:rPr>
          <w:bCs/>
        </w:rPr>
        <w:t>misja dwutlenku węgla w cyklu mieszanym w g/km (Edw)</w:t>
      </w:r>
      <w:r>
        <w:rPr>
          <w:bCs/>
        </w:rPr>
        <w:t xml:space="preserve"> – </w:t>
      </w:r>
      <w:r w:rsidR="00FC1EE8" w:rsidRPr="00E27B2A">
        <w:rPr>
          <w:bCs/>
        </w:rPr>
        <w:t>waga kryterium 3%,</w:t>
      </w:r>
    </w:p>
    <w:p w14:paraId="0D56EC9F" w14:textId="39A41B56" w:rsidR="00997A60" w:rsidRPr="00E27B2A" w:rsidRDefault="00E27B2A" w:rsidP="00AD1C27">
      <w:pPr>
        <w:numPr>
          <w:ilvl w:val="0"/>
          <w:numId w:val="20"/>
        </w:numPr>
        <w:tabs>
          <w:tab w:val="clear" w:pos="425"/>
          <w:tab w:val="left" w:pos="709"/>
        </w:tabs>
        <w:spacing w:after="0" w:line="312"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AD1C27">
      <w:pPr>
        <w:pStyle w:val="Akapitzlist"/>
        <w:numPr>
          <w:ilvl w:val="0"/>
          <w:numId w:val="34"/>
        </w:numPr>
        <w:tabs>
          <w:tab w:val="left" w:pos="426"/>
        </w:tabs>
        <w:spacing w:line="312" w:lineRule="auto"/>
        <w:ind w:left="426" w:hanging="426"/>
        <w:jc w:val="both"/>
      </w:pPr>
      <w:r>
        <w:t>Zasady oceny ofert w poszczególnych kryteriach:</w:t>
      </w:r>
    </w:p>
    <w:p w14:paraId="1F86AE50" w14:textId="66FA5354" w:rsidR="00997A60" w:rsidRPr="000F0BE4" w:rsidRDefault="000F0BE4" w:rsidP="00AD1C27">
      <w:pPr>
        <w:pStyle w:val="Akapitzlist"/>
        <w:numPr>
          <w:ilvl w:val="1"/>
          <w:numId w:val="13"/>
        </w:numPr>
        <w:tabs>
          <w:tab w:val="left" w:pos="425"/>
        </w:tabs>
        <w:spacing w:line="312" w:lineRule="auto"/>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947" w:type="dxa"/>
        <w:tblInd w:w="489" w:type="dxa"/>
        <w:tblLayout w:type="fixed"/>
        <w:tblCellMar>
          <w:left w:w="70" w:type="dxa"/>
          <w:right w:w="70" w:type="dxa"/>
        </w:tblCellMar>
        <w:tblLook w:val="04A0" w:firstRow="1" w:lastRow="0" w:firstColumn="1" w:lastColumn="0" w:noHBand="0" w:noVBand="1"/>
      </w:tblPr>
      <w:tblGrid>
        <w:gridCol w:w="2947"/>
        <w:gridCol w:w="736"/>
        <w:gridCol w:w="6264"/>
      </w:tblGrid>
      <w:tr w:rsidR="00997A60" w14:paraId="57756734" w14:textId="77777777" w:rsidTr="000F0BE4">
        <w:trPr>
          <w:cantSplit/>
          <w:trHeight w:val="552"/>
        </w:trPr>
        <w:tc>
          <w:tcPr>
            <w:tcW w:w="2947" w:type="dxa"/>
            <w:vAlign w:val="center"/>
          </w:tcPr>
          <w:p w14:paraId="0CD9FEF8" w14:textId="77777777" w:rsidR="00997A60" w:rsidRDefault="00FC1EE8" w:rsidP="0089522F">
            <w:pPr>
              <w:spacing w:after="0" w:line="312" w:lineRule="auto"/>
              <w:jc w:val="both"/>
            </w:pPr>
            <w:r>
              <w:tab/>
              <w:t xml:space="preserve">  C</w:t>
            </w:r>
            <w:r>
              <w:rPr>
                <w:vertAlign w:val="subscript"/>
              </w:rPr>
              <w:t>min</w:t>
            </w:r>
          </w:p>
          <w:p w14:paraId="221723A6" w14:textId="481C5240" w:rsidR="00997A60" w:rsidRDefault="00FC1EE8" w:rsidP="0089522F">
            <w:pPr>
              <w:spacing w:after="0" w:line="312" w:lineRule="auto"/>
              <w:jc w:val="both"/>
            </w:pPr>
            <w:r>
              <w:t>C     =</w:t>
            </w:r>
            <w:r>
              <w:tab/>
              <w:t>————  x 60  pkt,</w:t>
            </w:r>
          </w:p>
          <w:p w14:paraId="6CBF4994" w14:textId="77777777" w:rsidR="00997A60" w:rsidRDefault="00FC1EE8" w:rsidP="0089522F">
            <w:pPr>
              <w:spacing w:after="0" w:line="312" w:lineRule="auto"/>
              <w:jc w:val="both"/>
            </w:pPr>
            <w:r>
              <w:tab/>
              <w:t xml:space="preserve">    C</w:t>
            </w:r>
            <w:r>
              <w:rPr>
                <w:vertAlign w:val="subscript"/>
              </w:rPr>
              <w:t>bad</w:t>
            </w:r>
          </w:p>
        </w:tc>
        <w:tc>
          <w:tcPr>
            <w:tcW w:w="736" w:type="dxa"/>
            <w:vAlign w:val="center"/>
          </w:tcPr>
          <w:p w14:paraId="0176AE67" w14:textId="77777777" w:rsidR="00997A60" w:rsidRDefault="00FC1EE8" w:rsidP="0089522F">
            <w:pPr>
              <w:spacing w:after="0" w:line="312" w:lineRule="auto"/>
              <w:jc w:val="both"/>
            </w:pPr>
            <w:r>
              <w:t>gdzie:</w:t>
            </w:r>
          </w:p>
        </w:tc>
        <w:tc>
          <w:tcPr>
            <w:tcW w:w="6264" w:type="dxa"/>
            <w:vAlign w:val="center"/>
          </w:tcPr>
          <w:p w14:paraId="410D4DCE" w14:textId="77777777" w:rsidR="00997A60" w:rsidRDefault="00FC1EE8" w:rsidP="0089522F">
            <w:pPr>
              <w:spacing w:after="0" w:line="312" w:lineRule="auto"/>
              <w:jc w:val="both"/>
            </w:pPr>
            <w:r>
              <w:tab/>
            </w:r>
          </w:p>
          <w:p w14:paraId="366EAE01" w14:textId="798CBD20" w:rsidR="00997A60" w:rsidRDefault="00FC1EE8" w:rsidP="0089522F">
            <w:pPr>
              <w:spacing w:after="0" w:line="312" w:lineRule="auto"/>
              <w:jc w:val="both"/>
            </w:pPr>
            <w:r>
              <w:t xml:space="preserve">            C</w:t>
            </w:r>
            <w:r>
              <w:tab/>
              <w:t>=</w:t>
            </w:r>
            <w:r>
              <w:tab/>
              <w:t xml:space="preserve">liczba punktów za kryterium </w:t>
            </w:r>
          </w:p>
          <w:p w14:paraId="4F163D52" w14:textId="04E00793" w:rsidR="00997A60" w:rsidRDefault="00FC1EE8" w:rsidP="0089522F">
            <w:pPr>
              <w:spacing w:after="0" w:line="312" w:lineRule="auto"/>
              <w:jc w:val="both"/>
            </w:pPr>
            <w:r>
              <w:tab/>
              <w:t>C</w:t>
            </w:r>
            <w:r>
              <w:rPr>
                <w:vertAlign w:val="subscript"/>
              </w:rPr>
              <w:t>min</w:t>
            </w:r>
            <w:r>
              <w:tab/>
              <w:t>=</w:t>
            </w:r>
            <w:r>
              <w:tab/>
              <w:t xml:space="preserve">najniższa cena wynikająca z ofert </w:t>
            </w:r>
            <w:r>
              <w:br/>
            </w:r>
            <w:r>
              <w:tab/>
            </w:r>
            <w:r>
              <w:tab/>
            </w:r>
            <w:r>
              <w:tab/>
              <w:t>niepodlegających odrzuceniu</w:t>
            </w:r>
          </w:p>
          <w:p w14:paraId="233B4E47" w14:textId="218F38C5" w:rsidR="00997A60" w:rsidRDefault="00FC1EE8" w:rsidP="0089522F">
            <w:pPr>
              <w:spacing w:after="0" w:line="312" w:lineRule="auto"/>
              <w:jc w:val="both"/>
            </w:pPr>
            <w:r>
              <w:tab/>
              <w:t>C</w:t>
            </w:r>
            <w:r>
              <w:rPr>
                <w:vertAlign w:val="subscript"/>
              </w:rPr>
              <w:t>bad</w:t>
            </w:r>
            <w:r>
              <w:tab/>
              <w:t>=</w:t>
            </w:r>
            <w:r>
              <w:tab/>
              <w:t>cena oferty badanej</w:t>
            </w:r>
          </w:p>
          <w:p w14:paraId="3536CB51" w14:textId="77777777" w:rsidR="00997A60" w:rsidRDefault="00997A60" w:rsidP="0089522F">
            <w:pPr>
              <w:spacing w:after="0" w:line="312" w:lineRule="auto"/>
              <w:jc w:val="both"/>
            </w:pPr>
          </w:p>
          <w:p w14:paraId="1222ADE2" w14:textId="77777777" w:rsidR="00997A60" w:rsidRDefault="00997A60" w:rsidP="0089522F">
            <w:pPr>
              <w:spacing w:after="0" w:line="312" w:lineRule="auto"/>
              <w:jc w:val="both"/>
            </w:pPr>
          </w:p>
        </w:tc>
      </w:tr>
    </w:tbl>
    <w:p w14:paraId="4E052742" w14:textId="609F0724" w:rsidR="00997A60" w:rsidRDefault="00FC1EE8" w:rsidP="000F0BE4">
      <w:pPr>
        <w:spacing w:after="0" w:line="312"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0F0BE4">
      <w:pPr>
        <w:spacing w:after="0" w:line="312"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AD1C27">
      <w:pPr>
        <w:pStyle w:val="Akapitzlist"/>
        <w:numPr>
          <w:ilvl w:val="1"/>
          <w:numId w:val="13"/>
        </w:numPr>
        <w:tabs>
          <w:tab w:val="left" w:pos="425"/>
          <w:tab w:val="left" w:pos="709"/>
        </w:tabs>
        <w:spacing w:line="312" w:lineRule="auto"/>
        <w:ind w:left="709" w:hanging="283"/>
        <w:jc w:val="both"/>
      </w:pPr>
      <w:r>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2932E4B5" w14:textId="77777777" w:rsidTr="00A1112F">
        <w:trPr>
          <w:cantSplit/>
          <w:trHeight w:val="679"/>
        </w:trPr>
        <w:tc>
          <w:tcPr>
            <w:tcW w:w="3049" w:type="dxa"/>
            <w:tcBorders>
              <w:tl2br w:val="nil"/>
              <w:tr2bl w:val="nil"/>
            </w:tcBorders>
            <w:shd w:val="clear" w:color="auto" w:fill="FFFFFF"/>
            <w:vAlign w:val="center"/>
          </w:tcPr>
          <w:p w14:paraId="59F28D61" w14:textId="77777777" w:rsidR="00997A60" w:rsidRDefault="00FC1EE8" w:rsidP="0089522F">
            <w:pPr>
              <w:spacing w:after="0" w:line="312" w:lineRule="auto"/>
              <w:jc w:val="both"/>
              <w:rPr>
                <w:color w:val="000000"/>
              </w:rPr>
            </w:pPr>
            <w:r>
              <w:rPr>
                <w:color w:val="000000"/>
              </w:rPr>
              <w:lastRenderedPageBreak/>
              <w:tab/>
              <w:t xml:space="preserve">  M</w:t>
            </w:r>
            <w:r>
              <w:rPr>
                <w:color w:val="000000"/>
                <w:vertAlign w:val="subscript"/>
              </w:rPr>
              <w:t>min</w:t>
            </w:r>
          </w:p>
          <w:p w14:paraId="4926A97D" w14:textId="45901630" w:rsidR="00997A60" w:rsidRDefault="00FC1EE8" w:rsidP="0089522F">
            <w:pPr>
              <w:spacing w:after="0" w:line="312" w:lineRule="auto"/>
              <w:jc w:val="both"/>
              <w:rPr>
                <w:color w:val="000000"/>
              </w:rPr>
            </w:pPr>
            <w:r>
              <w:rPr>
                <w:color w:val="000000"/>
              </w:rPr>
              <w:t>M     =</w:t>
            </w:r>
            <w:r>
              <w:rPr>
                <w:color w:val="000000"/>
              </w:rPr>
              <w:tab/>
              <w:t>————  x 20  pkt,</w:t>
            </w:r>
          </w:p>
          <w:p w14:paraId="6B4105C9" w14:textId="77777777" w:rsidR="00997A60" w:rsidRDefault="00FC1EE8" w:rsidP="0089522F">
            <w:pPr>
              <w:spacing w:after="0" w:line="312" w:lineRule="auto"/>
              <w:jc w:val="both"/>
              <w:rPr>
                <w:color w:val="000000"/>
              </w:rPr>
            </w:pPr>
            <w:r>
              <w:rPr>
                <w:color w:val="000000"/>
              </w:rPr>
              <w:tab/>
              <w:t xml:space="preserve">    M</w:t>
            </w:r>
            <w:r>
              <w:rPr>
                <w:color w:val="000000"/>
                <w:vertAlign w:val="subscript"/>
              </w:rPr>
              <w:t>bad</w:t>
            </w:r>
          </w:p>
        </w:tc>
        <w:tc>
          <w:tcPr>
            <w:tcW w:w="762" w:type="dxa"/>
            <w:tcBorders>
              <w:tl2br w:val="nil"/>
              <w:tr2bl w:val="nil"/>
            </w:tcBorders>
            <w:shd w:val="clear" w:color="auto" w:fill="FFFFFF"/>
            <w:vAlign w:val="center"/>
          </w:tcPr>
          <w:p w14:paraId="3887E702"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50B5FC49" w14:textId="77777777" w:rsidR="00997A60" w:rsidRDefault="00FC1EE8" w:rsidP="0089522F">
            <w:pPr>
              <w:spacing w:after="0" w:line="312" w:lineRule="auto"/>
              <w:jc w:val="both"/>
              <w:rPr>
                <w:color w:val="000000"/>
              </w:rPr>
            </w:pPr>
            <w:r>
              <w:rPr>
                <w:color w:val="000000"/>
              </w:rPr>
              <w:tab/>
            </w:r>
          </w:p>
          <w:p w14:paraId="709C5E13" w14:textId="27406AF0" w:rsidR="00997A60" w:rsidRDefault="00FC1EE8" w:rsidP="0089522F">
            <w:pPr>
              <w:spacing w:after="0" w:line="312" w:lineRule="auto"/>
              <w:jc w:val="both"/>
              <w:rPr>
                <w:color w:val="000000"/>
              </w:rPr>
            </w:pPr>
            <w:r>
              <w:rPr>
                <w:color w:val="000000"/>
              </w:rPr>
              <w:t xml:space="preserve">      M = liczba punktów za kryterium </w:t>
            </w:r>
          </w:p>
          <w:p w14:paraId="39D1EBC6" w14:textId="28F23EF6" w:rsidR="00997A60" w:rsidRDefault="00FC1EE8" w:rsidP="0089522F">
            <w:pPr>
              <w:spacing w:after="0" w:line="312" w:lineRule="auto"/>
              <w:ind w:left="360" w:hangingChars="150" w:hanging="360"/>
              <w:jc w:val="both"/>
              <w:rPr>
                <w:color w:val="000000"/>
              </w:rPr>
            </w:pPr>
            <w:r>
              <w:rPr>
                <w:color w:val="000000"/>
              </w:rPr>
              <w:tab/>
              <w:t>M</w:t>
            </w:r>
            <w:r>
              <w:rPr>
                <w:color w:val="000000"/>
                <w:vertAlign w:val="subscript"/>
              </w:rPr>
              <w:t xml:space="preserve">min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89522F">
            <w:pPr>
              <w:tabs>
                <w:tab w:val="left" w:pos="240"/>
              </w:tabs>
              <w:spacing w:after="0" w:line="312" w:lineRule="auto"/>
              <w:ind w:leftChars="100" w:left="240" w:firstLineChars="50" w:firstLine="120"/>
              <w:jc w:val="both"/>
              <w:rPr>
                <w:color w:val="000000"/>
              </w:rPr>
            </w:pPr>
            <w:r>
              <w:rPr>
                <w:color w:val="000000"/>
              </w:rPr>
              <w:t>M</w:t>
            </w:r>
            <w:r>
              <w:rPr>
                <w:color w:val="000000"/>
                <w:vertAlign w:val="subscript"/>
              </w:rPr>
              <w:t xml:space="preserve">bad </w:t>
            </w:r>
            <w:r>
              <w:rPr>
                <w:color w:val="000000"/>
              </w:rPr>
              <w:t>= wartość współczynnika masy oferty badanej</w:t>
            </w:r>
          </w:p>
          <w:p w14:paraId="7E3DF026" w14:textId="77777777" w:rsidR="00997A60" w:rsidRDefault="00997A60" w:rsidP="0089522F">
            <w:pPr>
              <w:spacing w:after="0" w:line="312" w:lineRule="auto"/>
              <w:jc w:val="both"/>
              <w:rPr>
                <w:color w:val="000000"/>
              </w:rPr>
            </w:pPr>
          </w:p>
        </w:tc>
      </w:tr>
    </w:tbl>
    <w:p w14:paraId="207CB3D2" w14:textId="6F654A2D" w:rsidR="00997A60" w:rsidRDefault="00FC1EE8" w:rsidP="00077856">
      <w:pPr>
        <w:pStyle w:val="Akapitzlist"/>
        <w:autoSpaceDE w:val="0"/>
        <w:autoSpaceDN w:val="0"/>
        <w:adjustRightInd w:val="0"/>
        <w:spacing w:line="312" w:lineRule="auto"/>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2900923C" w:rsidR="00997A60" w:rsidRDefault="00077856" w:rsidP="00AD1C27">
      <w:pPr>
        <w:pStyle w:val="Akapitzlist"/>
        <w:numPr>
          <w:ilvl w:val="1"/>
          <w:numId w:val="13"/>
        </w:numPr>
        <w:tabs>
          <w:tab w:val="left" w:pos="425"/>
          <w:tab w:val="left" w:pos="709"/>
        </w:tabs>
        <w:spacing w:line="312" w:lineRule="auto"/>
        <w:ind w:left="709" w:hanging="283"/>
        <w:jc w:val="both"/>
      </w:pPr>
      <w:r>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5BFC3E68" w14:textId="77777777" w:rsidTr="00A1112F">
        <w:trPr>
          <w:cantSplit/>
          <w:trHeight w:val="679"/>
        </w:trPr>
        <w:tc>
          <w:tcPr>
            <w:tcW w:w="3049" w:type="dxa"/>
            <w:tcBorders>
              <w:tl2br w:val="nil"/>
              <w:tr2bl w:val="nil"/>
            </w:tcBorders>
            <w:shd w:val="clear" w:color="auto" w:fill="FFFFFF"/>
            <w:vAlign w:val="center"/>
          </w:tcPr>
          <w:p w14:paraId="1EF839E5" w14:textId="77777777" w:rsidR="00997A60" w:rsidRDefault="00FC1EE8" w:rsidP="0089522F">
            <w:pPr>
              <w:spacing w:after="0" w:line="312" w:lineRule="auto"/>
              <w:jc w:val="both"/>
              <w:rPr>
                <w:color w:val="000000"/>
              </w:rPr>
            </w:pPr>
            <w:r>
              <w:rPr>
                <w:color w:val="000000"/>
              </w:rPr>
              <w:tab/>
              <w:t xml:space="preserve">  P</w:t>
            </w:r>
            <w:r>
              <w:rPr>
                <w:color w:val="000000"/>
                <w:vertAlign w:val="subscript"/>
              </w:rPr>
              <w:t>bad</w:t>
            </w:r>
          </w:p>
          <w:p w14:paraId="33D1C8BB" w14:textId="54FB3E41" w:rsidR="00997A60" w:rsidRDefault="00FC1EE8" w:rsidP="00077856">
            <w:pPr>
              <w:spacing w:after="0" w:line="312" w:lineRule="auto"/>
              <w:ind w:left="151"/>
              <w:jc w:val="both"/>
              <w:rPr>
                <w:color w:val="000000"/>
              </w:rPr>
            </w:pPr>
            <w:r>
              <w:rPr>
                <w:color w:val="000000"/>
              </w:rPr>
              <w:t>P    =</w:t>
            </w:r>
            <w:r>
              <w:rPr>
                <w:color w:val="000000"/>
              </w:rPr>
              <w:tab/>
              <w:t>————  x 10  pkt,</w:t>
            </w:r>
          </w:p>
          <w:p w14:paraId="120E6CCD" w14:textId="77777777" w:rsidR="00997A60" w:rsidRDefault="00FC1EE8" w:rsidP="0089522F">
            <w:pPr>
              <w:spacing w:after="0" w:line="312" w:lineRule="auto"/>
              <w:jc w:val="both"/>
              <w:rPr>
                <w:color w:val="000000"/>
              </w:rPr>
            </w:pPr>
            <w:r>
              <w:rPr>
                <w:color w:val="000000"/>
              </w:rPr>
              <w:tab/>
              <w:t xml:space="preserve">  P</w:t>
            </w:r>
            <w:r>
              <w:rPr>
                <w:color w:val="000000"/>
                <w:vertAlign w:val="subscript"/>
              </w:rPr>
              <w:t>max</w:t>
            </w:r>
          </w:p>
        </w:tc>
        <w:tc>
          <w:tcPr>
            <w:tcW w:w="762" w:type="dxa"/>
            <w:tcBorders>
              <w:tl2br w:val="nil"/>
              <w:tr2bl w:val="nil"/>
            </w:tcBorders>
            <w:shd w:val="clear" w:color="auto" w:fill="FFFFFF"/>
            <w:vAlign w:val="center"/>
          </w:tcPr>
          <w:p w14:paraId="4E70B729"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552F6CB2" w14:textId="77777777" w:rsidR="00997A60" w:rsidRDefault="00FC1EE8" w:rsidP="0089522F">
            <w:pPr>
              <w:spacing w:after="0" w:line="312" w:lineRule="auto"/>
              <w:jc w:val="both"/>
              <w:rPr>
                <w:color w:val="000000"/>
              </w:rPr>
            </w:pPr>
            <w:r>
              <w:rPr>
                <w:color w:val="000000"/>
              </w:rPr>
              <w:tab/>
            </w:r>
          </w:p>
          <w:p w14:paraId="1769C979" w14:textId="132AABC4" w:rsidR="00997A60" w:rsidRDefault="00FC1EE8" w:rsidP="0089522F">
            <w:pPr>
              <w:spacing w:after="0" w:line="312" w:lineRule="auto"/>
              <w:jc w:val="both"/>
              <w:rPr>
                <w:color w:val="000000"/>
              </w:rPr>
            </w:pPr>
            <w:r>
              <w:rPr>
                <w:color w:val="000000"/>
              </w:rPr>
              <w:t xml:space="preserve">      P = liczba punktów </w:t>
            </w:r>
            <w:r w:rsidR="00900882">
              <w:rPr>
                <w:color w:val="000000"/>
              </w:rPr>
              <w:t>w</w:t>
            </w:r>
            <w:r>
              <w:rPr>
                <w:color w:val="000000"/>
              </w:rPr>
              <w:t xml:space="preserve"> kryterium pojemność silnika</w:t>
            </w:r>
          </w:p>
          <w:p w14:paraId="5062F482" w14:textId="1602A015" w:rsidR="00997A60" w:rsidRDefault="00FC1EE8" w:rsidP="0089522F">
            <w:pPr>
              <w:spacing w:after="0" w:line="312" w:lineRule="auto"/>
              <w:ind w:left="360" w:hangingChars="150" w:hanging="360"/>
              <w:jc w:val="both"/>
              <w:rPr>
                <w:color w:val="000000"/>
              </w:rPr>
            </w:pPr>
            <w:r>
              <w:rPr>
                <w:color w:val="000000"/>
              </w:rPr>
              <w:tab/>
              <w:t>P</w:t>
            </w:r>
            <w:r>
              <w:rPr>
                <w:color w:val="000000"/>
                <w:vertAlign w:val="subscript"/>
              </w:rPr>
              <w:t xml:space="preserve">max </w:t>
            </w:r>
            <w:r>
              <w:rPr>
                <w:color w:val="000000"/>
              </w:rPr>
              <w:t>= największa pojemność silnika spośród złożonych ofert niepodlegających odrzuceniu</w:t>
            </w:r>
          </w:p>
          <w:p w14:paraId="7F4AF8FD" w14:textId="375B8B3A" w:rsidR="00997A60" w:rsidRDefault="00FC1EE8" w:rsidP="0089522F">
            <w:pPr>
              <w:tabs>
                <w:tab w:val="left" w:pos="240"/>
              </w:tabs>
              <w:spacing w:after="0" w:line="312" w:lineRule="auto"/>
              <w:ind w:leftChars="100" w:left="240" w:firstLineChars="50" w:firstLine="120"/>
              <w:jc w:val="both"/>
              <w:rPr>
                <w:color w:val="000000"/>
              </w:rPr>
            </w:pPr>
            <w:r>
              <w:rPr>
                <w:color w:val="000000"/>
              </w:rPr>
              <w:t>P</w:t>
            </w:r>
            <w:r>
              <w:rPr>
                <w:color w:val="000000"/>
                <w:vertAlign w:val="subscript"/>
              </w:rPr>
              <w:t xml:space="preserve">bad </w:t>
            </w:r>
            <w:r>
              <w:rPr>
                <w:color w:val="000000"/>
              </w:rPr>
              <w:t>= pojemność silnika oferty badanej</w:t>
            </w:r>
          </w:p>
          <w:p w14:paraId="7A3EF2F9" w14:textId="77777777" w:rsidR="00997A60" w:rsidRDefault="00997A60" w:rsidP="0089522F">
            <w:pPr>
              <w:spacing w:after="0" w:line="312" w:lineRule="auto"/>
              <w:jc w:val="both"/>
              <w:rPr>
                <w:color w:val="000000"/>
              </w:rPr>
            </w:pPr>
          </w:p>
        </w:tc>
      </w:tr>
    </w:tbl>
    <w:p w14:paraId="76F2F0AC" w14:textId="5DC67B61" w:rsidR="00997A60" w:rsidRDefault="00FC1EE8" w:rsidP="00077856">
      <w:pPr>
        <w:tabs>
          <w:tab w:val="left" w:pos="709"/>
        </w:tabs>
        <w:spacing w:after="0" w:line="312"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w:t>
      </w:r>
      <w:r w:rsidR="00077856" w:rsidRPr="00077856">
        <w:lastRenderedPageBreak/>
        <w:t xml:space="preserve">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AD1C27">
      <w:pPr>
        <w:pStyle w:val="Akapitzlist"/>
        <w:numPr>
          <w:ilvl w:val="1"/>
          <w:numId w:val="13"/>
        </w:numPr>
        <w:tabs>
          <w:tab w:val="left" w:pos="709"/>
        </w:tabs>
        <w:spacing w:line="312" w:lineRule="auto"/>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2536CF49" w14:textId="77777777" w:rsidTr="00A1112F">
        <w:trPr>
          <w:cantSplit/>
          <w:trHeight w:val="679"/>
        </w:trPr>
        <w:tc>
          <w:tcPr>
            <w:tcW w:w="3049" w:type="dxa"/>
            <w:tcBorders>
              <w:tl2br w:val="nil"/>
              <w:tr2bl w:val="nil"/>
            </w:tcBorders>
            <w:shd w:val="clear" w:color="auto" w:fill="FFFFFF"/>
            <w:vAlign w:val="center"/>
          </w:tcPr>
          <w:p w14:paraId="05309254" w14:textId="77777777" w:rsidR="00997A60" w:rsidRDefault="00FC1EE8" w:rsidP="0089522F">
            <w:pPr>
              <w:spacing w:after="0" w:line="312" w:lineRule="auto"/>
              <w:jc w:val="both"/>
              <w:rPr>
                <w:color w:val="000000"/>
              </w:rPr>
            </w:pPr>
            <w:r>
              <w:rPr>
                <w:color w:val="000000"/>
              </w:rPr>
              <w:tab/>
              <w:t xml:space="preserve">  E</w:t>
            </w:r>
            <w:r>
              <w:rPr>
                <w:color w:val="000000"/>
                <w:vertAlign w:val="subscript"/>
              </w:rPr>
              <w:t>min</w:t>
            </w:r>
          </w:p>
          <w:p w14:paraId="336A4827" w14:textId="5DBE3585" w:rsidR="00997A60" w:rsidRDefault="00FC1EE8" w:rsidP="0089522F">
            <w:pPr>
              <w:spacing w:after="0" w:line="312" w:lineRule="auto"/>
              <w:jc w:val="both"/>
              <w:rPr>
                <w:color w:val="000000"/>
              </w:rPr>
            </w:pPr>
            <w:r>
              <w:rPr>
                <w:color w:val="000000"/>
              </w:rPr>
              <w:t>E     =</w:t>
            </w:r>
            <w:r>
              <w:rPr>
                <w:color w:val="000000"/>
              </w:rPr>
              <w:tab/>
              <w:t>————  x 5 pkt,</w:t>
            </w:r>
          </w:p>
          <w:p w14:paraId="0F5EDD62" w14:textId="77777777" w:rsidR="00997A60" w:rsidRDefault="00FC1EE8" w:rsidP="0089522F">
            <w:pPr>
              <w:spacing w:after="0" w:line="312" w:lineRule="auto"/>
              <w:jc w:val="both"/>
              <w:rPr>
                <w:color w:val="000000"/>
              </w:rPr>
            </w:pPr>
            <w:r>
              <w:rPr>
                <w:color w:val="000000"/>
              </w:rPr>
              <w:tab/>
              <w:t xml:space="preserve">  E</w:t>
            </w:r>
            <w:r>
              <w:rPr>
                <w:color w:val="000000"/>
                <w:vertAlign w:val="subscript"/>
              </w:rPr>
              <w:t>bad</w:t>
            </w:r>
          </w:p>
        </w:tc>
        <w:tc>
          <w:tcPr>
            <w:tcW w:w="762" w:type="dxa"/>
            <w:tcBorders>
              <w:tl2br w:val="nil"/>
              <w:tr2bl w:val="nil"/>
            </w:tcBorders>
            <w:shd w:val="clear" w:color="auto" w:fill="FFFFFF"/>
            <w:vAlign w:val="center"/>
          </w:tcPr>
          <w:p w14:paraId="455FAA94"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021FCF87" w14:textId="77777777" w:rsidR="00997A60" w:rsidRDefault="00FC1EE8" w:rsidP="0089522F">
            <w:pPr>
              <w:spacing w:after="0" w:line="312" w:lineRule="auto"/>
              <w:jc w:val="both"/>
              <w:rPr>
                <w:color w:val="000000"/>
              </w:rPr>
            </w:pPr>
            <w:r>
              <w:rPr>
                <w:color w:val="000000"/>
              </w:rPr>
              <w:tab/>
            </w:r>
          </w:p>
          <w:p w14:paraId="196926C4" w14:textId="193EAD89" w:rsidR="00997A60" w:rsidRDefault="00FC1EE8" w:rsidP="0089522F">
            <w:pPr>
              <w:spacing w:after="0" w:line="312"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89522F">
            <w:pPr>
              <w:spacing w:after="0" w:line="312"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89522F">
            <w:pPr>
              <w:tabs>
                <w:tab w:val="left" w:pos="240"/>
              </w:tabs>
              <w:spacing w:after="0" w:line="312" w:lineRule="auto"/>
              <w:ind w:leftChars="100" w:left="240" w:firstLineChars="50" w:firstLine="120"/>
              <w:jc w:val="both"/>
              <w:rPr>
                <w:color w:val="000000"/>
              </w:rPr>
            </w:pPr>
            <w:r>
              <w:rPr>
                <w:color w:val="000000"/>
              </w:rPr>
              <w:t>E</w:t>
            </w:r>
            <w:r>
              <w:rPr>
                <w:color w:val="000000"/>
                <w:vertAlign w:val="subscript"/>
              </w:rPr>
              <w:t>bad</w:t>
            </w:r>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89522F">
            <w:pPr>
              <w:spacing w:after="0" w:line="312" w:lineRule="auto"/>
              <w:jc w:val="both"/>
              <w:rPr>
                <w:color w:val="000000"/>
              </w:rPr>
            </w:pPr>
          </w:p>
        </w:tc>
      </w:tr>
    </w:tbl>
    <w:p w14:paraId="1993CFBC" w14:textId="5CC9F119" w:rsidR="00997A60" w:rsidRDefault="00FC1EE8" w:rsidP="00077856">
      <w:pPr>
        <w:tabs>
          <w:tab w:val="left" w:pos="709"/>
        </w:tabs>
        <w:spacing w:after="0" w:line="312"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nie złoży wraz z ofertą dokumentu, o którym mowa w zdaniu poprzednim, otrzyma 0 pkt w zakresie tego kryterium oceny ofert.</w:t>
      </w:r>
    </w:p>
    <w:p w14:paraId="56952BF3" w14:textId="72DD6487" w:rsidR="00997A60" w:rsidRDefault="00077856" w:rsidP="00AD1C27">
      <w:pPr>
        <w:pStyle w:val="Akapitzlist"/>
        <w:numPr>
          <w:ilvl w:val="1"/>
          <w:numId w:val="13"/>
        </w:numPr>
        <w:tabs>
          <w:tab w:val="left" w:pos="425"/>
          <w:tab w:val="left" w:pos="709"/>
        </w:tabs>
        <w:spacing w:line="312" w:lineRule="auto"/>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(Edw)</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038EC21D" w14:textId="77777777" w:rsidTr="00A1112F">
        <w:trPr>
          <w:cantSplit/>
          <w:trHeight w:val="679"/>
        </w:trPr>
        <w:tc>
          <w:tcPr>
            <w:tcW w:w="3049" w:type="dxa"/>
            <w:tcBorders>
              <w:tl2br w:val="nil"/>
              <w:tr2bl w:val="nil"/>
            </w:tcBorders>
            <w:shd w:val="clear" w:color="auto" w:fill="FFFFFF"/>
            <w:vAlign w:val="center"/>
          </w:tcPr>
          <w:p w14:paraId="33C3DC26" w14:textId="77777777" w:rsidR="00997A60" w:rsidRDefault="00FC1EE8" w:rsidP="0089522F">
            <w:pPr>
              <w:spacing w:after="0" w:line="312" w:lineRule="auto"/>
              <w:jc w:val="both"/>
              <w:rPr>
                <w:color w:val="000000"/>
              </w:rPr>
            </w:pPr>
            <w:r>
              <w:rPr>
                <w:color w:val="000000"/>
              </w:rPr>
              <w:tab/>
              <w:t xml:space="preserve">  Edw</w:t>
            </w:r>
            <w:r>
              <w:rPr>
                <w:color w:val="000000"/>
                <w:vertAlign w:val="subscript"/>
              </w:rPr>
              <w:t>min</w:t>
            </w:r>
          </w:p>
          <w:p w14:paraId="7BE17398" w14:textId="32667DA3" w:rsidR="00997A60" w:rsidRDefault="00FC1EE8" w:rsidP="0089522F">
            <w:pPr>
              <w:spacing w:after="0" w:line="312" w:lineRule="auto"/>
              <w:jc w:val="both"/>
              <w:rPr>
                <w:color w:val="000000"/>
              </w:rPr>
            </w:pPr>
            <w:r>
              <w:rPr>
                <w:color w:val="000000"/>
              </w:rPr>
              <w:t>Edw  =</w:t>
            </w:r>
            <w:r>
              <w:rPr>
                <w:color w:val="000000"/>
              </w:rPr>
              <w:tab/>
              <w:t>————  x 3 pkt,</w:t>
            </w:r>
          </w:p>
          <w:p w14:paraId="131C8D9A" w14:textId="77777777" w:rsidR="00997A60" w:rsidRDefault="00FC1EE8" w:rsidP="0089522F">
            <w:pPr>
              <w:spacing w:after="0" w:line="312" w:lineRule="auto"/>
              <w:jc w:val="both"/>
              <w:rPr>
                <w:color w:val="000000"/>
              </w:rPr>
            </w:pPr>
            <w:r>
              <w:rPr>
                <w:color w:val="000000"/>
              </w:rPr>
              <w:tab/>
              <w:t xml:space="preserve">  Edw</w:t>
            </w:r>
            <w:r>
              <w:rPr>
                <w:color w:val="000000"/>
                <w:vertAlign w:val="subscript"/>
              </w:rPr>
              <w:t>bad</w:t>
            </w:r>
          </w:p>
        </w:tc>
        <w:tc>
          <w:tcPr>
            <w:tcW w:w="762" w:type="dxa"/>
            <w:tcBorders>
              <w:tl2br w:val="nil"/>
              <w:tr2bl w:val="nil"/>
            </w:tcBorders>
            <w:shd w:val="clear" w:color="auto" w:fill="FFFFFF"/>
            <w:vAlign w:val="center"/>
          </w:tcPr>
          <w:p w14:paraId="4970F854"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0DF38EE0" w14:textId="77777777" w:rsidR="00997A60" w:rsidRDefault="00FC1EE8" w:rsidP="0089522F">
            <w:pPr>
              <w:spacing w:after="0" w:line="312" w:lineRule="auto"/>
              <w:jc w:val="both"/>
              <w:rPr>
                <w:color w:val="000000"/>
              </w:rPr>
            </w:pPr>
            <w:r>
              <w:rPr>
                <w:color w:val="000000"/>
              </w:rPr>
              <w:tab/>
            </w:r>
          </w:p>
          <w:p w14:paraId="53BCF17A" w14:textId="01E5082E" w:rsidR="00997A60" w:rsidRDefault="00FC1EE8" w:rsidP="0089522F">
            <w:pPr>
              <w:spacing w:after="0" w:line="312" w:lineRule="auto"/>
              <w:jc w:val="both"/>
              <w:rPr>
                <w:color w:val="000000"/>
              </w:rPr>
            </w:pPr>
            <w:r>
              <w:rPr>
                <w:color w:val="000000"/>
              </w:rPr>
              <w:t xml:space="preserve">      Edw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89522F">
            <w:pPr>
              <w:spacing w:after="0" w:line="312" w:lineRule="auto"/>
              <w:ind w:left="360" w:hangingChars="150" w:hanging="360"/>
              <w:jc w:val="both"/>
              <w:rPr>
                <w:color w:val="000000"/>
              </w:rPr>
            </w:pPr>
            <w:r>
              <w:rPr>
                <w:color w:val="000000"/>
              </w:rPr>
              <w:tab/>
              <w:t>Edw</w:t>
            </w:r>
            <w:r>
              <w:rPr>
                <w:color w:val="000000"/>
                <w:vertAlign w:val="subscript"/>
              </w:rPr>
              <w:t xml:space="preserve">min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89522F">
            <w:pPr>
              <w:tabs>
                <w:tab w:val="left" w:pos="240"/>
              </w:tabs>
              <w:spacing w:after="0" w:line="312" w:lineRule="auto"/>
              <w:ind w:leftChars="100" w:left="240" w:firstLineChars="50" w:firstLine="120"/>
              <w:jc w:val="both"/>
              <w:rPr>
                <w:color w:val="000000"/>
              </w:rPr>
            </w:pPr>
            <w:r>
              <w:rPr>
                <w:color w:val="000000"/>
              </w:rPr>
              <w:t>Edw</w:t>
            </w:r>
            <w:r>
              <w:rPr>
                <w:color w:val="000000"/>
                <w:vertAlign w:val="subscript"/>
              </w:rPr>
              <w:t>bad</w:t>
            </w:r>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89522F">
            <w:pPr>
              <w:spacing w:after="0" w:line="312" w:lineRule="auto"/>
              <w:jc w:val="both"/>
              <w:rPr>
                <w:color w:val="000000"/>
              </w:rPr>
            </w:pPr>
          </w:p>
        </w:tc>
      </w:tr>
    </w:tbl>
    <w:p w14:paraId="61874005" w14:textId="78FFD141" w:rsidR="00A1112F" w:rsidRPr="00A1112F" w:rsidRDefault="00FC1EE8" w:rsidP="00A1112F">
      <w:pPr>
        <w:tabs>
          <w:tab w:val="left" w:pos="709"/>
        </w:tabs>
        <w:spacing w:after="0" w:line="312" w:lineRule="auto"/>
        <w:ind w:left="709"/>
        <w:jc w:val="both"/>
      </w:pPr>
      <w:r>
        <w:lastRenderedPageBreak/>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AD1C27">
      <w:pPr>
        <w:pStyle w:val="Akapitzlist"/>
        <w:numPr>
          <w:ilvl w:val="1"/>
          <w:numId w:val="13"/>
        </w:numPr>
        <w:tabs>
          <w:tab w:val="left" w:pos="709"/>
        </w:tabs>
        <w:spacing w:line="312" w:lineRule="auto"/>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(Ez)</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55BE01D6" w14:textId="77777777" w:rsidTr="00A1112F">
        <w:trPr>
          <w:cantSplit/>
          <w:trHeight w:val="679"/>
        </w:trPr>
        <w:tc>
          <w:tcPr>
            <w:tcW w:w="3049" w:type="dxa"/>
            <w:tcBorders>
              <w:tl2br w:val="nil"/>
              <w:tr2bl w:val="nil"/>
            </w:tcBorders>
            <w:shd w:val="clear" w:color="auto" w:fill="FFFFFF"/>
            <w:vAlign w:val="center"/>
          </w:tcPr>
          <w:p w14:paraId="422DB414" w14:textId="77777777" w:rsidR="00997A60" w:rsidRDefault="00FC1EE8" w:rsidP="0089522F">
            <w:pPr>
              <w:spacing w:after="0" w:line="312" w:lineRule="auto"/>
              <w:jc w:val="both"/>
              <w:rPr>
                <w:color w:val="000000"/>
              </w:rPr>
            </w:pPr>
            <w:r>
              <w:rPr>
                <w:color w:val="000000"/>
              </w:rPr>
              <w:tab/>
              <w:t xml:space="preserve">  Ez</w:t>
            </w:r>
            <w:r>
              <w:rPr>
                <w:color w:val="000000"/>
                <w:vertAlign w:val="subscript"/>
              </w:rPr>
              <w:t>min</w:t>
            </w:r>
          </w:p>
          <w:p w14:paraId="6E624964" w14:textId="6FDD0D7C" w:rsidR="00997A60" w:rsidRDefault="00FC1EE8" w:rsidP="0089522F">
            <w:pPr>
              <w:spacing w:after="0" w:line="312" w:lineRule="auto"/>
              <w:jc w:val="both"/>
              <w:rPr>
                <w:color w:val="000000"/>
              </w:rPr>
            </w:pPr>
            <w:r>
              <w:rPr>
                <w:color w:val="000000"/>
              </w:rPr>
              <w:t>Ez  =</w:t>
            </w:r>
            <w:r>
              <w:rPr>
                <w:color w:val="000000"/>
              </w:rPr>
              <w:tab/>
              <w:t>————  x 2 pkt,</w:t>
            </w:r>
          </w:p>
          <w:p w14:paraId="4BA67145" w14:textId="77777777" w:rsidR="00997A60" w:rsidRDefault="00FC1EE8" w:rsidP="0089522F">
            <w:pPr>
              <w:spacing w:after="0" w:line="312" w:lineRule="auto"/>
              <w:jc w:val="both"/>
              <w:rPr>
                <w:color w:val="000000"/>
              </w:rPr>
            </w:pPr>
            <w:r>
              <w:rPr>
                <w:color w:val="000000"/>
              </w:rPr>
              <w:tab/>
              <w:t xml:space="preserve">  Ez</w:t>
            </w:r>
            <w:r>
              <w:rPr>
                <w:color w:val="000000"/>
                <w:vertAlign w:val="subscript"/>
              </w:rPr>
              <w:t>bad</w:t>
            </w:r>
          </w:p>
        </w:tc>
        <w:tc>
          <w:tcPr>
            <w:tcW w:w="762" w:type="dxa"/>
            <w:tcBorders>
              <w:tl2br w:val="nil"/>
              <w:tr2bl w:val="nil"/>
            </w:tcBorders>
            <w:shd w:val="clear" w:color="auto" w:fill="FFFFFF"/>
            <w:vAlign w:val="center"/>
          </w:tcPr>
          <w:p w14:paraId="4B544C4B"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7BFFA61F" w14:textId="77777777" w:rsidR="00997A60" w:rsidRDefault="00FC1EE8" w:rsidP="0089522F">
            <w:pPr>
              <w:spacing w:after="0" w:line="312" w:lineRule="auto"/>
              <w:jc w:val="both"/>
              <w:rPr>
                <w:color w:val="000000"/>
              </w:rPr>
            </w:pPr>
            <w:r>
              <w:rPr>
                <w:color w:val="000000"/>
              </w:rPr>
              <w:tab/>
            </w:r>
          </w:p>
          <w:p w14:paraId="1994DB0A" w14:textId="73029912" w:rsidR="00997A60" w:rsidRDefault="00FC1EE8" w:rsidP="0089522F">
            <w:pPr>
              <w:spacing w:after="0" w:line="312" w:lineRule="auto"/>
              <w:jc w:val="both"/>
              <w:rPr>
                <w:color w:val="000000"/>
              </w:rPr>
            </w:pPr>
            <w:r>
              <w:rPr>
                <w:color w:val="000000"/>
              </w:rPr>
              <w:t xml:space="preserve">      Ez = liczba punktów za kryterium </w:t>
            </w:r>
            <w:r>
              <w:t>emisja zanieczyszczeń</w:t>
            </w:r>
          </w:p>
          <w:p w14:paraId="7EA3D822" w14:textId="3CFBC017" w:rsidR="00997A60" w:rsidRDefault="00FC1EE8" w:rsidP="0089522F">
            <w:pPr>
              <w:spacing w:after="0" w:line="312" w:lineRule="auto"/>
              <w:ind w:left="360" w:hangingChars="150" w:hanging="360"/>
              <w:jc w:val="both"/>
              <w:rPr>
                <w:color w:val="000000"/>
              </w:rPr>
            </w:pPr>
            <w:r>
              <w:rPr>
                <w:color w:val="000000"/>
              </w:rPr>
              <w:tab/>
              <w:t>Ez</w:t>
            </w:r>
            <w:r>
              <w:rPr>
                <w:color w:val="000000"/>
                <w:vertAlign w:val="subscript"/>
              </w:rPr>
              <w:t xml:space="preserve">min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89522F">
            <w:pPr>
              <w:tabs>
                <w:tab w:val="left" w:pos="240"/>
              </w:tabs>
              <w:spacing w:after="0" w:line="312" w:lineRule="auto"/>
              <w:ind w:leftChars="100" w:left="240" w:firstLineChars="50" w:firstLine="120"/>
              <w:jc w:val="both"/>
              <w:rPr>
                <w:color w:val="000000"/>
              </w:rPr>
            </w:pPr>
            <w:r>
              <w:rPr>
                <w:color w:val="000000"/>
              </w:rPr>
              <w:t>Ez</w:t>
            </w:r>
            <w:r>
              <w:rPr>
                <w:color w:val="000000"/>
                <w:vertAlign w:val="subscript"/>
              </w:rPr>
              <w:t>bad</w:t>
            </w:r>
            <w:r>
              <w:rPr>
                <w:color w:val="000000"/>
              </w:rPr>
              <w:t xml:space="preserve">= wartość </w:t>
            </w:r>
            <w:r>
              <w:t>emisji zanieczyszczeń</w:t>
            </w:r>
            <w:r>
              <w:rPr>
                <w:color w:val="000000"/>
              </w:rPr>
              <w:t xml:space="preserve"> oferty badanej</w:t>
            </w:r>
          </w:p>
          <w:p w14:paraId="2E783CB7" w14:textId="77777777" w:rsidR="00997A60" w:rsidRDefault="00997A60" w:rsidP="0089522F">
            <w:pPr>
              <w:spacing w:after="0" w:line="312" w:lineRule="auto"/>
              <w:jc w:val="both"/>
              <w:rPr>
                <w:color w:val="000000"/>
              </w:rPr>
            </w:pPr>
          </w:p>
        </w:tc>
      </w:tr>
    </w:tbl>
    <w:p w14:paraId="755941E9" w14:textId="3C70129C" w:rsidR="00997A60" w:rsidRDefault="00FC1EE8" w:rsidP="00A1112F">
      <w:pPr>
        <w:tabs>
          <w:tab w:val="left" w:pos="709"/>
        </w:tabs>
        <w:spacing w:after="0" w:line="312"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10" w:name="_Hlk75676883"/>
      <w:r w:rsidR="00A1112F" w:rsidRPr="00A1112F">
        <w:t xml:space="preserve">świadectwa </w:t>
      </w:r>
      <w:r w:rsidR="00D73754" w:rsidRPr="00D73754">
        <w:t xml:space="preserve">homologacji typu WE </w:t>
      </w:r>
      <w:bookmarkEnd w:id="10"/>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AD1C27">
      <w:pPr>
        <w:pStyle w:val="pkt"/>
        <w:numPr>
          <w:ilvl w:val="0"/>
          <w:numId w:val="34"/>
        </w:numPr>
        <w:spacing w:before="0" w:after="0" w:line="312" w:lineRule="auto"/>
        <w:ind w:left="426" w:hanging="426"/>
        <w:rPr>
          <w:szCs w:val="24"/>
        </w:rPr>
      </w:pPr>
      <w:r>
        <w:rPr>
          <w:szCs w:val="24"/>
        </w:rPr>
        <w:lastRenderedPageBreak/>
        <w:t>Punktacja przyznawana ofertom w poszczególnych kryteriach oceny ofert będzie liczona z dokładnością do dwóch miejsc po przecinku, zgodnie z zasadami arytmetyki.</w:t>
      </w:r>
    </w:p>
    <w:p w14:paraId="330204FE" w14:textId="485E70DF" w:rsidR="006F5DB1" w:rsidRDefault="00FC1EE8" w:rsidP="00AD1C27">
      <w:pPr>
        <w:pStyle w:val="pkt"/>
        <w:numPr>
          <w:ilvl w:val="0"/>
          <w:numId w:val="34"/>
        </w:numPr>
        <w:spacing w:before="0" w:after="0" w:line="312" w:lineRule="auto"/>
        <w:ind w:left="426" w:hanging="426"/>
        <w:rPr>
          <w:rFonts w:eastAsia="Times New Roman"/>
          <w:b/>
          <w:szCs w:val="24"/>
        </w:rPr>
      </w:pPr>
      <w:r>
        <w:rPr>
          <w:rFonts w:eastAsia="Times New Roman"/>
          <w:szCs w:val="24"/>
        </w:rPr>
        <w:t>Zamawiający udzieli zamówienia Wykonawcy, którego oferta odpowiada wszystkim wymaganiom przedstawionym w p.z.p.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S = C + M + P  + E + Edw + Ez</w:t>
      </w:r>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77777777" w:rsidR="008555F7" w:rsidRDefault="00FC1EE8" w:rsidP="00AD1C27">
      <w:pPr>
        <w:pStyle w:val="pkt"/>
        <w:numPr>
          <w:ilvl w:val="0"/>
          <w:numId w:val="21"/>
        </w:numPr>
        <w:spacing w:before="0" w:after="0" w:line="312" w:lineRule="auto"/>
        <w:ind w:left="426" w:hanging="426"/>
        <w:rPr>
          <w:szCs w:val="24"/>
        </w:rPr>
      </w:pPr>
      <w:r>
        <w:rPr>
          <w:szCs w:val="24"/>
        </w:rPr>
        <w:t xml:space="preserve">Wykonawca zobowiązany jest do zabezpieczenia swojej oferty wadium w wysokości: </w:t>
      </w:r>
      <w:r>
        <w:rPr>
          <w:b/>
          <w:bCs/>
          <w:szCs w:val="24"/>
        </w:rPr>
        <w:t xml:space="preserve">10.000,00 </w:t>
      </w:r>
      <w:r>
        <w:rPr>
          <w:b/>
          <w:szCs w:val="24"/>
        </w:rPr>
        <w:t>zł</w:t>
      </w:r>
      <w:r>
        <w:rPr>
          <w:szCs w:val="24"/>
        </w:rPr>
        <w:t xml:space="preserve"> (słownie: dziesięć tysięcy złotych 00/100)</w:t>
      </w:r>
      <w:r w:rsidR="00C63F5D">
        <w:rPr>
          <w:szCs w:val="24"/>
        </w:rPr>
        <w:t xml:space="preserve">. </w:t>
      </w:r>
    </w:p>
    <w:p w14:paraId="6D04DAE1" w14:textId="77777777" w:rsidR="008555F7" w:rsidRDefault="00FC1EE8" w:rsidP="00AD1C27">
      <w:pPr>
        <w:pStyle w:val="pkt"/>
        <w:numPr>
          <w:ilvl w:val="0"/>
          <w:numId w:val="21"/>
        </w:numPr>
        <w:spacing w:before="0" w:after="0" w:line="312" w:lineRule="auto"/>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AD1C27">
      <w:pPr>
        <w:pStyle w:val="pkt"/>
        <w:numPr>
          <w:ilvl w:val="0"/>
          <w:numId w:val="21"/>
        </w:numPr>
        <w:spacing w:before="0" w:after="0" w:line="312" w:lineRule="auto"/>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AD1C27">
      <w:pPr>
        <w:pStyle w:val="Akapitzlist"/>
        <w:numPr>
          <w:ilvl w:val="1"/>
          <w:numId w:val="35"/>
        </w:numPr>
        <w:spacing w:line="312" w:lineRule="auto"/>
        <w:ind w:left="709" w:hanging="283"/>
        <w:jc w:val="both"/>
        <w:rPr>
          <w:bCs/>
        </w:rPr>
      </w:pPr>
      <w:r w:rsidRPr="008555F7">
        <w:rPr>
          <w:bCs/>
        </w:rPr>
        <w:t>pieniądzu</w:t>
      </w:r>
      <w:r w:rsidR="008555F7" w:rsidRPr="008555F7">
        <w:rPr>
          <w:bCs/>
        </w:rPr>
        <w:t>,</w:t>
      </w:r>
    </w:p>
    <w:p w14:paraId="677F3544" w14:textId="23B85E86" w:rsidR="008555F7" w:rsidRPr="008555F7" w:rsidRDefault="00FC1EE8" w:rsidP="00AD1C27">
      <w:pPr>
        <w:pStyle w:val="Akapitzlist"/>
        <w:numPr>
          <w:ilvl w:val="1"/>
          <w:numId w:val="35"/>
        </w:numPr>
        <w:spacing w:line="312" w:lineRule="auto"/>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AD1C27">
      <w:pPr>
        <w:pStyle w:val="Akapitzlist"/>
        <w:numPr>
          <w:ilvl w:val="1"/>
          <w:numId w:val="35"/>
        </w:numPr>
        <w:spacing w:line="312" w:lineRule="auto"/>
        <w:ind w:left="709" w:hanging="283"/>
        <w:jc w:val="both"/>
        <w:rPr>
          <w:bCs/>
        </w:rPr>
      </w:pPr>
      <w:r w:rsidRPr="008555F7">
        <w:rPr>
          <w:bCs/>
        </w:rPr>
        <w:t>gwarancjach ubezpieczeniowych</w:t>
      </w:r>
      <w:r w:rsidR="008555F7">
        <w:rPr>
          <w:bCs/>
        </w:rPr>
        <w:t>,</w:t>
      </w:r>
    </w:p>
    <w:p w14:paraId="4A93B96E" w14:textId="60346D54" w:rsidR="00997A60" w:rsidRPr="00945B87" w:rsidRDefault="00FC1EE8" w:rsidP="00AD1C27">
      <w:pPr>
        <w:pStyle w:val="Akapitzlist"/>
        <w:numPr>
          <w:ilvl w:val="1"/>
          <w:numId w:val="35"/>
        </w:numPr>
        <w:spacing w:line="312" w:lineRule="auto"/>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t.j.</w:t>
      </w:r>
      <w:r w:rsidRPr="00945B87">
        <w:t>).</w:t>
      </w:r>
    </w:p>
    <w:p w14:paraId="203D937E" w14:textId="2438580A" w:rsidR="00997A60" w:rsidRPr="00945B87" w:rsidRDefault="00FC1EE8" w:rsidP="00AD1C27">
      <w:pPr>
        <w:numPr>
          <w:ilvl w:val="0"/>
          <w:numId w:val="21"/>
        </w:numPr>
        <w:tabs>
          <w:tab w:val="left" w:pos="426"/>
        </w:tabs>
        <w:spacing w:after="0" w:line="312"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044248">
      <w:pPr>
        <w:autoSpaceDE w:val="0"/>
        <w:autoSpaceDN w:val="0"/>
        <w:adjustRightInd w:val="0"/>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044248">
      <w:pPr>
        <w:autoSpaceDE w:val="0"/>
        <w:autoSpaceDN w:val="0"/>
        <w:adjustRightInd w:val="0"/>
        <w:jc w:val="center"/>
        <w:rPr>
          <w:b/>
          <w:bCs/>
          <w:sz w:val="22"/>
        </w:rPr>
      </w:pPr>
      <w:r w:rsidRPr="00945B87">
        <w:rPr>
          <w:b/>
          <w:bCs/>
          <w:sz w:val="22"/>
        </w:rPr>
        <w:t>Nr 25101010490008661391200000</w:t>
      </w:r>
    </w:p>
    <w:p w14:paraId="0D5C7134" w14:textId="292C2630" w:rsidR="00997A60" w:rsidRPr="00945B87" w:rsidRDefault="00FC1EE8" w:rsidP="00C658A6">
      <w:pPr>
        <w:pStyle w:val="pkt"/>
        <w:spacing w:before="0" w:after="0" w:line="312" w:lineRule="auto"/>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044248" w:rsidRPr="00BC1DE6">
        <w:rPr>
          <w:szCs w:val="24"/>
        </w:rPr>
        <w:t>23/S/21</w:t>
      </w:r>
      <w:r w:rsidRPr="00BC1DE6">
        <w:rPr>
          <w:szCs w:val="24"/>
        </w:rPr>
        <w:t>)</w:t>
      </w:r>
      <w:r w:rsidRPr="00945B87">
        <w:rPr>
          <w:szCs w:val="24"/>
        </w:rPr>
        <w:t>”.</w:t>
      </w:r>
    </w:p>
    <w:p w14:paraId="2E6F91BD" w14:textId="25EC518A" w:rsidR="00997A60" w:rsidRDefault="00FC1EE8" w:rsidP="0089522F">
      <w:pPr>
        <w:spacing w:after="0" w:line="312"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AD1C27">
      <w:pPr>
        <w:numPr>
          <w:ilvl w:val="0"/>
          <w:numId w:val="21"/>
        </w:numPr>
        <w:spacing w:after="0" w:line="312" w:lineRule="auto"/>
        <w:ind w:left="426" w:hanging="426"/>
        <w:jc w:val="both"/>
      </w:pPr>
      <w:r>
        <w:t>Wadium wnoszone w formie poręczeń lub gwarancji musi spełniać co najmniej poniższe wymagania:</w:t>
      </w:r>
    </w:p>
    <w:p w14:paraId="13D08863" w14:textId="5F5D6E1C" w:rsidR="00997A60" w:rsidRPr="00C658A6" w:rsidRDefault="00FC1EE8" w:rsidP="00AD1C27">
      <w:pPr>
        <w:pStyle w:val="Akapitzlist"/>
        <w:numPr>
          <w:ilvl w:val="1"/>
          <w:numId w:val="36"/>
        </w:numPr>
        <w:spacing w:line="312" w:lineRule="auto"/>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p.z.p., bez potwierdzania tych okoliczności</w:t>
      </w:r>
      <w:r w:rsidR="00E02919">
        <w:rPr>
          <w:bCs/>
        </w:rPr>
        <w:t xml:space="preserve">, </w:t>
      </w:r>
    </w:p>
    <w:p w14:paraId="420D05AC" w14:textId="66108DD1" w:rsidR="00997A60" w:rsidRPr="00C658A6" w:rsidRDefault="00FC1EE8" w:rsidP="00AD1C27">
      <w:pPr>
        <w:pStyle w:val="Akapitzlist"/>
        <w:numPr>
          <w:ilvl w:val="1"/>
          <w:numId w:val="36"/>
        </w:numPr>
        <w:spacing w:line="312" w:lineRule="auto"/>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AD1C27">
      <w:pPr>
        <w:pStyle w:val="Akapitzlist"/>
        <w:numPr>
          <w:ilvl w:val="1"/>
          <w:numId w:val="36"/>
        </w:numPr>
        <w:spacing w:line="312" w:lineRule="auto"/>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AD1C27">
      <w:pPr>
        <w:pStyle w:val="Akapitzlist"/>
        <w:numPr>
          <w:ilvl w:val="1"/>
          <w:numId w:val="36"/>
        </w:numPr>
        <w:spacing w:line="312" w:lineRule="auto"/>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AD1C27">
      <w:pPr>
        <w:pStyle w:val="Akapitzlist"/>
        <w:numPr>
          <w:ilvl w:val="1"/>
          <w:numId w:val="36"/>
        </w:numPr>
        <w:spacing w:line="312" w:lineRule="auto"/>
        <w:ind w:left="709" w:hanging="283"/>
        <w:jc w:val="both"/>
        <w:rPr>
          <w:bCs/>
        </w:rPr>
      </w:pPr>
      <w:r w:rsidRPr="004461B1">
        <w:rPr>
          <w:bCs/>
        </w:rPr>
        <w:lastRenderedPageBreak/>
        <w:t>w treści poręczenia lub gwarancji powinna znaleźć się nazwa oraz numer przedmiotowego postępowania</w:t>
      </w:r>
      <w:r w:rsidR="00E02919" w:rsidRPr="004461B1">
        <w:rPr>
          <w:bCs/>
        </w:rPr>
        <w:t xml:space="preserve">, </w:t>
      </w:r>
    </w:p>
    <w:p w14:paraId="5AF35E07" w14:textId="77777777" w:rsidR="007B2CFC" w:rsidRDefault="00FC1EE8" w:rsidP="00AD1C27">
      <w:pPr>
        <w:pStyle w:val="Akapitzlist"/>
        <w:numPr>
          <w:ilvl w:val="1"/>
          <w:numId w:val="36"/>
        </w:numPr>
        <w:spacing w:line="312" w:lineRule="auto"/>
        <w:ind w:left="709" w:hanging="283"/>
        <w:jc w:val="both"/>
      </w:pPr>
      <w:r w:rsidRPr="004461B1">
        <w:rPr>
          <w:bCs/>
        </w:rPr>
        <w:t xml:space="preserve">w </w:t>
      </w:r>
      <w:r w:rsidRPr="004461B1">
        <w:t>przypadku Wykonawców wspólnie ubiegających</w:t>
      </w:r>
      <w:r>
        <w:t xml:space="preserve"> się o udzielenie zamówienia (art. 58 p.z.p.),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AD1C27">
      <w:pPr>
        <w:pStyle w:val="Akapitzlist"/>
        <w:numPr>
          <w:ilvl w:val="1"/>
          <w:numId w:val="36"/>
        </w:numPr>
        <w:spacing w:line="312" w:lineRule="auto"/>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AD1C27">
      <w:pPr>
        <w:pStyle w:val="pkt"/>
        <w:numPr>
          <w:ilvl w:val="0"/>
          <w:numId w:val="21"/>
        </w:numPr>
        <w:tabs>
          <w:tab w:val="left" w:pos="720"/>
        </w:tabs>
        <w:spacing w:before="0" w:after="0" w:line="312" w:lineRule="auto"/>
        <w:ind w:left="426" w:hanging="426"/>
        <w:rPr>
          <w:bCs/>
          <w:szCs w:val="24"/>
        </w:rPr>
      </w:pPr>
      <w:r>
        <w:rPr>
          <w:bCs/>
          <w:szCs w:val="24"/>
        </w:rPr>
        <w:t>W przypadku wniesienia wadium w formie:</w:t>
      </w:r>
    </w:p>
    <w:p w14:paraId="0D3DB8F5" w14:textId="514137D0" w:rsidR="00997A60" w:rsidRPr="00431160" w:rsidRDefault="00431160" w:rsidP="00AD1C27">
      <w:pPr>
        <w:pStyle w:val="Akapitzlist"/>
        <w:numPr>
          <w:ilvl w:val="0"/>
          <w:numId w:val="37"/>
        </w:numPr>
        <w:spacing w:line="312" w:lineRule="auto"/>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AD1C27">
      <w:pPr>
        <w:pStyle w:val="Akapitzlist"/>
        <w:numPr>
          <w:ilvl w:val="0"/>
          <w:numId w:val="37"/>
        </w:numPr>
        <w:tabs>
          <w:tab w:val="left" w:pos="10163"/>
        </w:tabs>
        <w:spacing w:line="312" w:lineRule="auto"/>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AD1C27">
      <w:pPr>
        <w:pStyle w:val="pkt"/>
        <w:numPr>
          <w:ilvl w:val="0"/>
          <w:numId w:val="21"/>
        </w:numPr>
        <w:spacing w:before="0" w:after="0" w:line="312" w:lineRule="auto"/>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p.z.p., zostanie odrzucona.</w:t>
      </w:r>
    </w:p>
    <w:p w14:paraId="74ED1A22" w14:textId="761643B6" w:rsidR="00997A60" w:rsidRPr="00CB4ABC" w:rsidRDefault="00FC1EE8" w:rsidP="00AD1C27">
      <w:pPr>
        <w:pStyle w:val="pkt"/>
        <w:numPr>
          <w:ilvl w:val="0"/>
          <w:numId w:val="21"/>
        </w:numPr>
        <w:spacing w:before="0" w:after="0" w:line="312" w:lineRule="auto"/>
        <w:ind w:left="426" w:hanging="426"/>
        <w:rPr>
          <w:szCs w:val="24"/>
        </w:rPr>
      </w:pPr>
      <w:r>
        <w:rPr>
          <w:szCs w:val="24"/>
        </w:rPr>
        <w:t>Zasady zwrotu oraz okoliczności zatrzymania wadium określa p.z.p.</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F44AE7">
      <w:pPr>
        <w:pStyle w:val="pkt"/>
        <w:numPr>
          <w:ilvl w:val="3"/>
          <w:numId w:val="44"/>
        </w:numPr>
        <w:spacing w:before="0" w:after="0" w:line="312" w:lineRule="auto"/>
        <w:ind w:left="426" w:hanging="426"/>
        <w:rPr>
          <w:szCs w:val="24"/>
        </w:rPr>
      </w:pPr>
      <w:r>
        <w:rPr>
          <w:szCs w:val="24"/>
        </w:rPr>
        <w:t xml:space="preserve">Wykonawca może powierzyć wykonanie części zamówienia podwykonawcy (podwykonawcom). </w:t>
      </w:r>
    </w:p>
    <w:p w14:paraId="3DC77CED" w14:textId="083BD4E3" w:rsidR="00697320" w:rsidRDefault="00697320" w:rsidP="00F44AE7">
      <w:pPr>
        <w:pStyle w:val="pkt"/>
        <w:numPr>
          <w:ilvl w:val="3"/>
          <w:numId w:val="44"/>
        </w:numPr>
        <w:spacing w:before="0" w:after="0" w:line="312" w:lineRule="auto"/>
        <w:ind w:left="426" w:hanging="426"/>
        <w:rPr>
          <w:szCs w:val="24"/>
        </w:rPr>
      </w:pPr>
      <w:r>
        <w:rPr>
          <w:szCs w:val="24"/>
        </w:rPr>
        <w:t>Zamawiający nie zastrzega obowiązku osobistego wykonania przez Wykonawcę jakiejkolwiek części zamówienia.</w:t>
      </w:r>
    </w:p>
    <w:p w14:paraId="2910672B" w14:textId="7A62ADC7" w:rsidR="00697320" w:rsidRDefault="00697320" w:rsidP="00F44AE7">
      <w:pPr>
        <w:pStyle w:val="pkt"/>
        <w:numPr>
          <w:ilvl w:val="3"/>
          <w:numId w:val="44"/>
        </w:numPr>
        <w:spacing w:before="0" w:after="0" w:line="312" w:lineRule="auto"/>
        <w:ind w:left="426" w:hanging="426"/>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AD1C27">
      <w:pPr>
        <w:pStyle w:val="Akapitzlist"/>
        <w:numPr>
          <w:ilvl w:val="0"/>
          <w:numId w:val="25"/>
        </w:numPr>
        <w:spacing w:line="312" w:lineRule="auto"/>
        <w:ind w:left="426" w:hanging="568"/>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7607D6">
      <w:pPr>
        <w:pStyle w:val="pkt"/>
        <w:numPr>
          <w:ilvl w:val="3"/>
          <w:numId w:val="45"/>
        </w:numPr>
        <w:spacing w:before="0" w:after="0" w:line="312" w:lineRule="auto"/>
        <w:ind w:left="426" w:hanging="426"/>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7607D6">
      <w:pPr>
        <w:pStyle w:val="pkt"/>
        <w:numPr>
          <w:ilvl w:val="3"/>
          <w:numId w:val="45"/>
        </w:numPr>
        <w:spacing w:before="0" w:after="0" w:line="312" w:lineRule="auto"/>
        <w:ind w:left="426" w:hanging="426"/>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7607D6">
      <w:pPr>
        <w:pStyle w:val="pkt"/>
        <w:numPr>
          <w:ilvl w:val="3"/>
          <w:numId w:val="45"/>
        </w:numPr>
        <w:spacing w:before="0" w:after="0" w:line="312" w:lineRule="auto"/>
        <w:ind w:left="426" w:hanging="426"/>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7607D6">
      <w:pPr>
        <w:pStyle w:val="pkt"/>
        <w:numPr>
          <w:ilvl w:val="3"/>
          <w:numId w:val="45"/>
        </w:numPr>
        <w:spacing w:before="0" w:after="0" w:line="312" w:lineRule="auto"/>
        <w:ind w:left="426" w:hanging="426"/>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24CF6DC6" w:rsidR="0030427E" w:rsidRPr="007607D6" w:rsidRDefault="0030427E" w:rsidP="007607D6">
      <w:pPr>
        <w:pStyle w:val="pkt"/>
        <w:numPr>
          <w:ilvl w:val="3"/>
          <w:numId w:val="45"/>
        </w:numPr>
        <w:spacing w:before="0" w:after="0" w:line="312" w:lineRule="auto"/>
        <w:ind w:left="426" w:hanging="426"/>
        <w:rPr>
          <w:szCs w:val="24"/>
        </w:rPr>
      </w:pPr>
      <w:r w:rsidRPr="007607D6">
        <w:rPr>
          <w:szCs w:val="24"/>
        </w:rPr>
        <w:t>Jeżeli Wykonawca, którego oferta została wybrana jako najkorzystniejsza, uchyla się od zawarcia umowy w sprawie zamówienia publicznego, Zamawiający może dokonać ponownego badania i oceny ofert spośród ofert pozostałych w postępowaniu Wykonawców oraz wybrać najkorzystniejszą ofertę albo unieważnić postępowanie.</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AD1C27">
      <w:pPr>
        <w:pStyle w:val="Akapitzlist"/>
        <w:numPr>
          <w:ilvl w:val="0"/>
          <w:numId w:val="25"/>
        </w:numPr>
        <w:spacing w:line="312" w:lineRule="auto"/>
        <w:ind w:left="284" w:hanging="284"/>
        <w:jc w:val="both"/>
        <w:rPr>
          <w:b/>
        </w:rPr>
      </w:pPr>
      <w:r w:rsidRPr="00697320">
        <w:rPr>
          <w:b/>
        </w:rPr>
        <w:t>INFORMACJE O TREŚCI ZAWIERANEJ UMOWY ORAZ MOŻLIWOŚCI JEJ ZMIANY</w:t>
      </w:r>
    </w:p>
    <w:p w14:paraId="5FB1A5FD" w14:textId="76DCDB18" w:rsidR="00997A60" w:rsidRDefault="00FC1EE8" w:rsidP="00AD1C27">
      <w:pPr>
        <w:pStyle w:val="pkt"/>
        <w:numPr>
          <w:ilvl w:val="3"/>
          <w:numId w:val="38"/>
        </w:numPr>
        <w:spacing w:before="0" w:after="0" w:line="312" w:lineRule="auto"/>
        <w:ind w:left="426" w:hanging="426"/>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AD1C27">
      <w:pPr>
        <w:pStyle w:val="pkt"/>
        <w:numPr>
          <w:ilvl w:val="3"/>
          <w:numId w:val="38"/>
        </w:numPr>
        <w:spacing w:before="0" w:after="0" w:line="312" w:lineRule="auto"/>
        <w:ind w:left="426" w:hanging="426"/>
        <w:rPr>
          <w:szCs w:val="24"/>
        </w:rPr>
      </w:pPr>
      <w:r>
        <w:rPr>
          <w:szCs w:val="24"/>
        </w:rPr>
        <w:t>Zakres świadczenia Wykonawcy wynikający z umowy jest tożsamy z jego zobowiązaniem zawartym w ofercie.</w:t>
      </w:r>
    </w:p>
    <w:p w14:paraId="6F0ADF8B" w14:textId="2E4B46BD" w:rsidR="00997A60" w:rsidRDefault="00FC1EE8" w:rsidP="00AD1C27">
      <w:pPr>
        <w:pStyle w:val="pkt"/>
        <w:numPr>
          <w:ilvl w:val="3"/>
          <w:numId w:val="38"/>
        </w:numPr>
        <w:spacing w:before="0" w:after="0" w:line="312" w:lineRule="auto"/>
        <w:ind w:left="426" w:hanging="426"/>
        <w:rPr>
          <w:szCs w:val="24"/>
        </w:rPr>
      </w:pPr>
      <w:r>
        <w:rPr>
          <w:szCs w:val="24"/>
        </w:rPr>
        <w:t>Zamawiający przewiduje możliwość zmiany zawartej umowy w stosunku do treści wybranej oferty w zakresie uregulowanym w art. 454-455 p.z.p. oraz wskazanym we Wzorze Umowy</w:t>
      </w:r>
      <w:r w:rsidR="00333738">
        <w:rPr>
          <w:szCs w:val="24"/>
        </w:rPr>
        <w:t xml:space="preserve"> – </w:t>
      </w:r>
      <w:r>
        <w:rPr>
          <w:szCs w:val="24"/>
        </w:rPr>
        <w:t xml:space="preserve">Załącznik nr </w:t>
      </w:r>
      <w:r w:rsidR="00333738">
        <w:rPr>
          <w:szCs w:val="24"/>
        </w:rPr>
        <w:t xml:space="preserve">6 </w:t>
      </w:r>
      <w:r>
        <w:rPr>
          <w:szCs w:val="24"/>
        </w:rPr>
        <w:t>do SWZ (zgodnie z art. 455 ust. 1 pkt 1 p.z.p.).</w:t>
      </w:r>
    </w:p>
    <w:p w14:paraId="0F2EBB01" w14:textId="68F54FD1" w:rsidR="00997A60" w:rsidRDefault="00FC1EE8" w:rsidP="00AD1C27">
      <w:pPr>
        <w:pStyle w:val="pkt"/>
        <w:numPr>
          <w:ilvl w:val="3"/>
          <w:numId w:val="38"/>
        </w:numPr>
        <w:spacing w:before="0" w:after="0" w:line="312" w:lineRule="auto"/>
        <w:ind w:left="426" w:hanging="426"/>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AD1C27">
      <w:pPr>
        <w:pStyle w:val="Akapitzlist"/>
        <w:numPr>
          <w:ilvl w:val="0"/>
          <w:numId w:val="25"/>
        </w:numPr>
        <w:spacing w:line="312" w:lineRule="auto"/>
        <w:ind w:left="284" w:hanging="426"/>
        <w:jc w:val="both"/>
        <w:rPr>
          <w:b/>
        </w:rPr>
      </w:pPr>
      <w:r w:rsidRPr="00697320">
        <w:rPr>
          <w:b/>
        </w:rPr>
        <w:t>POUCZENIE O ŚRODKACH OCHRONY PRAWNEJ PRZYSŁUGUJĄCYCH WYKONAWCY</w:t>
      </w:r>
    </w:p>
    <w:p w14:paraId="77F84C6F" w14:textId="17EE7F58" w:rsidR="00997A60" w:rsidRDefault="00FC1EE8" w:rsidP="00AD1C27">
      <w:pPr>
        <w:pStyle w:val="Akapitzlist"/>
        <w:numPr>
          <w:ilvl w:val="3"/>
          <w:numId w:val="39"/>
        </w:numPr>
        <w:spacing w:line="312" w:lineRule="auto"/>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p.z.p.</w:t>
      </w:r>
    </w:p>
    <w:p w14:paraId="0B993683" w14:textId="345553F5" w:rsidR="00997A60" w:rsidRDefault="00FC1EE8" w:rsidP="00AD1C27">
      <w:pPr>
        <w:pStyle w:val="Akapitzlist"/>
        <w:numPr>
          <w:ilvl w:val="3"/>
          <w:numId w:val="39"/>
        </w:numPr>
        <w:spacing w:line="312" w:lineRule="auto"/>
        <w:ind w:left="426" w:hanging="426"/>
        <w:jc w:val="both"/>
      </w:pPr>
      <w: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FCD008E" w14:textId="5D179128" w:rsidR="00997A60" w:rsidRDefault="00FC1EE8" w:rsidP="00AD1C27">
      <w:pPr>
        <w:pStyle w:val="Akapitzlist"/>
        <w:numPr>
          <w:ilvl w:val="3"/>
          <w:numId w:val="39"/>
        </w:numPr>
        <w:spacing w:line="312" w:lineRule="auto"/>
        <w:ind w:left="426" w:hanging="426"/>
        <w:jc w:val="both"/>
      </w:pPr>
      <w:r>
        <w:t>Odwołanie przysługuje na:</w:t>
      </w:r>
    </w:p>
    <w:p w14:paraId="469B0D92" w14:textId="01EB0E58" w:rsidR="00997A60" w:rsidRDefault="00FC1EE8" w:rsidP="00AD1C27">
      <w:pPr>
        <w:pStyle w:val="Akapitzlist"/>
        <w:numPr>
          <w:ilvl w:val="1"/>
          <w:numId w:val="25"/>
        </w:numPr>
        <w:suppressAutoHyphens/>
        <w:spacing w:line="312" w:lineRule="auto"/>
        <w:ind w:left="709" w:hanging="283"/>
        <w:jc w:val="both"/>
      </w:pPr>
      <w:r>
        <w:t>niezgodną z przepisami p.z.p. czynność Zamawiającego, podjętą w postępowaniu o udzielenie zamówienia, w tym na projektowane postanowienie umowy;</w:t>
      </w:r>
    </w:p>
    <w:p w14:paraId="4564668A" w14:textId="022C6951" w:rsidR="00997A60" w:rsidRDefault="00FC1EE8" w:rsidP="00AD1C27">
      <w:pPr>
        <w:pStyle w:val="Akapitzlist"/>
        <w:numPr>
          <w:ilvl w:val="1"/>
          <w:numId w:val="25"/>
        </w:numPr>
        <w:suppressAutoHyphens/>
        <w:spacing w:line="312" w:lineRule="auto"/>
        <w:ind w:left="709" w:hanging="283"/>
        <w:jc w:val="both"/>
      </w:pPr>
      <w:r>
        <w:t>zaniechanie czynności w postępowaniu o udzielenie zamówienia do której zamawiający był obowiązany na podstawie p.z.p</w:t>
      </w:r>
      <w:r w:rsidR="00C30DDA">
        <w:t>.</w:t>
      </w:r>
    </w:p>
    <w:p w14:paraId="37BEA76E" w14:textId="7B162F0D" w:rsidR="00997A60" w:rsidRDefault="00FC1EE8" w:rsidP="00AD1C27">
      <w:pPr>
        <w:pStyle w:val="Akapitzlist"/>
        <w:numPr>
          <w:ilvl w:val="3"/>
          <w:numId w:val="39"/>
        </w:numPr>
        <w:spacing w:line="312" w:lineRule="auto"/>
        <w:ind w:left="426" w:hanging="426"/>
        <w:jc w:val="both"/>
      </w:pPr>
      <w:r>
        <w:lastRenderedPageBreak/>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AD1C27">
      <w:pPr>
        <w:pStyle w:val="Akapitzlist"/>
        <w:numPr>
          <w:ilvl w:val="3"/>
          <w:numId w:val="39"/>
        </w:numPr>
        <w:spacing w:line="312" w:lineRule="auto"/>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AD1C27">
      <w:pPr>
        <w:pStyle w:val="Akapitzlist"/>
        <w:numPr>
          <w:ilvl w:val="3"/>
          <w:numId w:val="39"/>
        </w:numPr>
        <w:spacing w:line="312" w:lineRule="auto"/>
        <w:ind w:left="426" w:hanging="426"/>
        <w:jc w:val="both"/>
      </w:pPr>
      <w:r>
        <w:t>Odwołanie wnosi się w terminie:</w:t>
      </w:r>
    </w:p>
    <w:p w14:paraId="1AC0B0B6" w14:textId="2A3D489B" w:rsidR="00997A60" w:rsidRDefault="00FC1EE8" w:rsidP="00AD1C27">
      <w:pPr>
        <w:pStyle w:val="Akapitzlist"/>
        <w:numPr>
          <w:ilvl w:val="3"/>
          <w:numId w:val="40"/>
        </w:numPr>
        <w:suppressAutoHyphens/>
        <w:spacing w:line="312" w:lineRule="auto"/>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AD1C27">
      <w:pPr>
        <w:pStyle w:val="Akapitzlist"/>
        <w:numPr>
          <w:ilvl w:val="3"/>
          <w:numId w:val="40"/>
        </w:numPr>
        <w:suppressAutoHyphens/>
        <w:spacing w:line="312" w:lineRule="auto"/>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AD1C27">
      <w:pPr>
        <w:pStyle w:val="Akapitzlist"/>
        <w:numPr>
          <w:ilvl w:val="3"/>
          <w:numId w:val="39"/>
        </w:numPr>
        <w:spacing w:line="312" w:lineRule="auto"/>
        <w:ind w:left="426" w:hanging="426"/>
        <w:jc w:val="both"/>
      </w:pPr>
      <w:r>
        <w:t>Termin</w:t>
      </w:r>
      <w:r w:rsidR="00EC4FF5">
        <w:t xml:space="preserve"> </w:t>
      </w:r>
      <w:r>
        <w:t>winienia odwołania w pozostałych przypadkach określa art. 515 p.z.p.</w:t>
      </w:r>
    </w:p>
    <w:p w14:paraId="41D04B71" w14:textId="18815F18" w:rsidR="00997A60" w:rsidRDefault="00FC1EE8" w:rsidP="00AD1C27">
      <w:pPr>
        <w:pStyle w:val="Akapitzlist"/>
        <w:numPr>
          <w:ilvl w:val="3"/>
          <w:numId w:val="39"/>
        </w:numPr>
        <w:spacing w:line="312" w:lineRule="auto"/>
        <w:ind w:left="426" w:hanging="426"/>
        <w:jc w:val="both"/>
      </w:pPr>
      <w:r>
        <w:t>Na orzeczenie Krajowej Izby Odwoławczej oraz postanowienie Prezesa Krajowej Izby Odwoławczej, o którym mowa w art. 519 ust. 1 p.z.p., stronom oraz uczestnikom postępowania odwoławczego przysługuje skarga do sądu.</w:t>
      </w:r>
    </w:p>
    <w:p w14:paraId="6EEB0531" w14:textId="34E68E42" w:rsidR="00997A60" w:rsidRDefault="00FC1EE8" w:rsidP="00AD1C27">
      <w:pPr>
        <w:pStyle w:val="Akapitzlist"/>
        <w:numPr>
          <w:ilvl w:val="3"/>
          <w:numId w:val="39"/>
        </w:numPr>
        <w:spacing w:line="312" w:lineRule="auto"/>
        <w:ind w:left="426" w:hanging="426"/>
        <w:jc w:val="both"/>
      </w:pPr>
      <w:r>
        <w:t>W postępowaniu toczącym się wskutek wniesienia skargi stosuje się odpowiednio przepisy ustawy z dnia 17.11.1964 r.</w:t>
      </w:r>
      <w:r w:rsidR="00F20C18">
        <w:t xml:space="preserve"> – </w:t>
      </w:r>
      <w:r>
        <w:t>Kodeks postępowania cywilnego o apelacji, jeżeli przepisy p.z.p. nie stanowią inaczej.</w:t>
      </w:r>
    </w:p>
    <w:p w14:paraId="49330C28" w14:textId="7E597F13" w:rsidR="00997A60" w:rsidRDefault="00FC1EE8" w:rsidP="00AD1C27">
      <w:pPr>
        <w:pStyle w:val="Akapitzlist"/>
        <w:numPr>
          <w:ilvl w:val="3"/>
          <w:numId w:val="39"/>
        </w:numPr>
        <w:spacing w:line="312" w:lineRule="auto"/>
        <w:ind w:left="426" w:hanging="426"/>
        <w:jc w:val="both"/>
      </w:pPr>
      <w:r>
        <w:t>Skargę wnosi się do Sądu Okręgowego w Warszawie</w:t>
      </w:r>
      <w:r w:rsidR="00F20C18">
        <w:t xml:space="preserve"> – </w:t>
      </w:r>
      <w:r>
        <w:t>sądu zamówień publicznych.</w:t>
      </w:r>
    </w:p>
    <w:p w14:paraId="5AD6FBBA" w14:textId="77777777" w:rsidR="00F20C18" w:rsidRDefault="00FC1EE8" w:rsidP="00AD1C27">
      <w:pPr>
        <w:pStyle w:val="Akapitzlist"/>
        <w:numPr>
          <w:ilvl w:val="3"/>
          <w:numId w:val="39"/>
        </w:numPr>
        <w:spacing w:line="312" w:lineRule="auto"/>
        <w:ind w:left="426" w:hanging="426"/>
        <w:jc w:val="both"/>
      </w:pPr>
      <w:r>
        <w:t>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AD1C27">
      <w:pPr>
        <w:pStyle w:val="Akapitzlist"/>
        <w:numPr>
          <w:ilvl w:val="3"/>
          <w:numId w:val="39"/>
        </w:numPr>
        <w:spacing w:line="312" w:lineRule="auto"/>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AD1C27">
      <w:pPr>
        <w:pStyle w:val="Akapitzlist"/>
        <w:numPr>
          <w:ilvl w:val="3"/>
          <w:numId w:val="39"/>
        </w:numPr>
        <w:spacing w:line="312" w:lineRule="auto"/>
        <w:ind w:left="426" w:hanging="426"/>
        <w:jc w:val="both"/>
      </w:pPr>
      <w:r>
        <w:t>Szczegółowe regulacje dotyczące środków ochrony prawnej określone są w Dziale IX „Środki ochrony prawnej</w:t>
      </w:r>
      <w:r w:rsidR="00F20C18">
        <w:t>”</w:t>
      </w:r>
      <w:r>
        <w:t xml:space="preserve"> p.z.p.</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89522F">
      <w:pPr>
        <w:spacing w:after="0" w:line="312"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lastRenderedPageBreak/>
        <w:t>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AD1C27">
      <w:pPr>
        <w:pStyle w:val="Akapitzlist"/>
        <w:numPr>
          <w:ilvl w:val="0"/>
          <w:numId w:val="22"/>
        </w:numPr>
        <w:spacing w:line="312" w:lineRule="auto"/>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AD1C27">
      <w:pPr>
        <w:pStyle w:val="Akapitzlist"/>
        <w:numPr>
          <w:ilvl w:val="0"/>
          <w:numId w:val="22"/>
        </w:numPr>
        <w:spacing w:line="312" w:lineRule="auto"/>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AD1C27">
      <w:pPr>
        <w:pStyle w:val="Akapitzlist"/>
        <w:numPr>
          <w:ilvl w:val="0"/>
          <w:numId w:val="22"/>
        </w:numPr>
        <w:spacing w:line="312" w:lineRule="auto"/>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AD1C27">
      <w:pPr>
        <w:pStyle w:val="Akapitzlist"/>
        <w:numPr>
          <w:ilvl w:val="0"/>
          <w:numId w:val="22"/>
        </w:numPr>
        <w:spacing w:line="312" w:lineRule="auto"/>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AD1C27">
      <w:pPr>
        <w:numPr>
          <w:ilvl w:val="0"/>
          <w:numId w:val="23"/>
        </w:numPr>
        <w:tabs>
          <w:tab w:val="clear" w:pos="425"/>
        </w:tabs>
        <w:spacing w:after="0" w:line="312" w:lineRule="auto"/>
        <w:ind w:left="709" w:hanging="283"/>
        <w:jc w:val="both"/>
        <w:rPr>
          <w:rFonts w:eastAsia="Times New Roman"/>
          <w:lang w:eastAsia="pl-PL"/>
        </w:rPr>
      </w:pPr>
      <w:r>
        <w:rPr>
          <w:rFonts w:eastAsia="Times New Roman"/>
          <w:lang w:eastAsia="pl-PL"/>
        </w:rPr>
        <w:t>p.z.p.</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AD1C27">
      <w:pPr>
        <w:numPr>
          <w:ilvl w:val="0"/>
          <w:numId w:val="23"/>
        </w:numPr>
        <w:spacing w:after="0" w:line="312"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AD1C27">
      <w:pPr>
        <w:numPr>
          <w:ilvl w:val="0"/>
          <w:numId w:val="23"/>
        </w:numPr>
        <w:spacing w:after="0" w:line="312"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AD1C27">
      <w:pPr>
        <w:pStyle w:val="Akapitzlist"/>
        <w:numPr>
          <w:ilvl w:val="0"/>
          <w:numId w:val="22"/>
        </w:numPr>
        <w:spacing w:line="312" w:lineRule="auto"/>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AD1C27">
      <w:pPr>
        <w:numPr>
          <w:ilvl w:val="0"/>
          <w:numId w:val="41"/>
        </w:numPr>
        <w:tabs>
          <w:tab w:val="left" w:pos="425"/>
          <w:tab w:val="left" w:pos="880"/>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 xml:space="preserve">dane podane w ofercie i innych dokumentach składanych w postępowaniu o udzielenie </w:t>
      </w:r>
      <w:r>
        <w:rPr>
          <w:rFonts w:eastAsia="Times New Roman"/>
          <w:color w:val="000000" w:themeColor="text1"/>
          <w:lang w:eastAsia="pl-PL"/>
        </w:rPr>
        <w:lastRenderedPageBreak/>
        <w:t>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AD1C27">
      <w:pPr>
        <w:pStyle w:val="Akapitzlist"/>
        <w:numPr>
          <w:ilvl w:val="0"/>
          <w:numId w:val="22"/>
        </w:numPr>
        <w:spacing w:line="312" w:lineRule="auto"/>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AD1C27">
      <w:pPr>
        <w:pStyle w:val="Akapitzlist"/>
        <w:numPr>
          <w:ilvl w:val="0"/>
          <w:numId w:val="22"/>
        </w:numPr>
        <w:tabs>
          <w:tab w:val="left" w:pos="426"/>
        </w:tabs>
        <w:spacing w:line="312" w:lineRule="auto"/>
        <w:ind w:left="426" w:hanging="426"/>
        <w:jc w:val="both"/>
        <w:rPr>
          <w:rFonts w:eastAsia="Times New Roman"/>
          <w:color w:val="00B0F0"/>
        </w:rPr>
      </w:pPr>
      <w:r w:rsidRPr="00547E87">
        <w:rPr>
          <w:rFonts w:eastAsia="Times New Roman"/>
          <w:lang w:val="en-US"/>
        </w:rPr>
        <w:t>d</w:t>
      </w:r>
      <w:r w:rsidRPr="00547E87">
        <w:rPr>
          <w:rFonts w:eastAsia="Times New Roman"/>
        </w:rPr>
        <w:t>ane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AD1C27">
      <w:pPr>
        <w:pStyle w:val="Akapitzlist"/>
        <w:numPr>
          <w:ilvl w:val="0"/>
          <w:numId w:val="22"/>
        </w:numPr>
        <w:tabs>
          <w:tab w:val="left" w:pos="426"/>
        </w:tabs>
        <w:spacing w:line="312" w:lineRule="auto"/>
        <w:ind w:left="426" w:hanging="426"/>
        <w:jc w:val="both"/>
        <w:rPr>
          <w:rFonts w:eastAsia="Times New Roman"/>
          <w:color w:val="00B0F0"/>
        </w:rPr>
      </w:pPr>
      <w:r w:rsidRPr="00547E87">
        <w:rPr>
          <w:rFonts w:eastAsia="Times New Roman"/>
        </w:rPr>
        <w:t>posiada Pani/Pan:</w:t>
      </w:r>
    </w:p>
    <w:p w14:paraId="2F95FCA3" w14:textId="77777777" w:rsidR="00997A60" w:rsidRDefault="00FC1EE8" w:rsidP="00AD1C27">
      <w:pPr>
        <w:numPr>
          <w:ilvl w:val="0"/>
          <w:numId w:val="42"/>
        </w:numPr>
        <w:tabs>
          <w:tab w:val="left" w:pos="709"/>
        </w:tabs>
        <w:spacing w:after="0" w:line="312"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AD1C27">
      <w:pPr>
        <w:numPr>
          <w:ilvl w:val="0"/>
          <w:numId w:val="42"/>
        </w:numPr>
        <w:tabs>
          <w:tab w:val="left" w:pos="709"/>
        </w:tabs>
        <w:spacing w:after="0" w:line="312"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które nie może</w:t>
      </w:r>
      <w:r>
        <w:rPr>
          <w:rFonts w:eastAsia="Times New Roman"/>
          <w:lang w:eastAsia="pl-PL"/>
        </w:rPr>
        <w:t xml:space="preserve"> skutkować zmianą </w:t>
      </w:r>
      <w:r>
        <w:t>wyniku postępowania</w:t>
      </w:r>
      <w:r w:rsidR="00547E87">
        <w:t xml:space="preserve"> </w:t>
      </w:r>
      <w:r>
        <w:t>o udzielenie zamówienia publicznego ani zmianą postanowień umowy w zakresie niezgodnym z ustawą p.z.p.</w:t>
      </w:r>
      <w:r>
        <w:rPr>
          <w:rFonts w:eastAsia="Times New Roman"/>
          <w:lang w:eastAsia="pl-PL"/>
        </w:rPr>
        <w:t>;</w:t>
      </w:r>
    </w:p>
    <w:p w14:paraId="1C966A64" w14:textId="293032C7" w:rsidR="00997A60" w:rsidRDefault="00FC1EE8" w:rsidP="00AD1C27">
      <w:pPr>
        <w:numPr>
          <w:ilvl w:val="0"/>
          <w:numId w:val="42"/>
        </w:numPr>
        <w:tabs>
          <w:tab w:val="left" w:pos="709"/>
        </w:tabs>
        <w:spacing w:after="0" w:line="312" w:lineRule="auto"/>
        <w:ind w:left="709" w:hanging="283"/>
        <w:jc w:val="both"/>
        <w:rPr>
          <w:rFonts w:eastAsia="Times New Roman"/>
          <w:lang w:eastAsia="pl-PL"/>
        </w:rPr>
      </w:pPr>
      <w:r>
        <w:rPr>
          <w:rFonts w:eastAsia="Times New Roman"/>
          <w:lang w:eastAsia="pl-PL"/>
        </w:rPr>
        <w:lastRenderedPageBreak/>
        <w:t>na podstawie art. 18 RODO prawo żądania od administratora ograniczenia przetwarzania danych osobowych z zastrzeżeniem przypadków, o których mowa w art. 18 ust. 2 RODO</w:t>
      </w:r>
      <w:r>
        <w:rPr>
          <w:rFonts w:eastAsia="Times New Roman"/>
          <w:lang w:val="en-US" w:eastAsia="pl-PL"/>
        </w:rPr>
        <w:t>. P</w:t>
      </w:r>
      <w:r>
        <w:t xml:space="preserve">rawo do ograniczenia przetwarzania nie ma zastosowania w odniesieniu do </w:t>
      </w:r>
      <w:r>
        <w:rPr>
          <w:rFonts w:eastAsia="Times New Roman"/>
          <w:lang w:eastAsia="pl-PL"/>
        </w:rPr>
        <w:t>przechowywania, w celu zapewnienia korzystania ze środków ochrony prawnej lub w celu ochrony praw innej osoby fizycznej lub prawnej, lub z uwagi na ważne względy interesu publicznego Unii Europejskiej lub państwa członkowskieg</w:t>
      </w:r>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r w:rsidR="00547E87">
        <w:t>p.z.p.</w:t>
      </w:r>
      <w:r>
        <w:t>);</w:t>
      </w:r>
    </w:p>
    <w:p w14:paraId="517C2CA2" w14:textId="77777777" w:rsidR="00997A60" w:rsidRDefault="00FC1EE8" w:rsidP="00AD1C27">
      <w:pPr>
        <w:numPr>
          <w:ilvl w:val="0"/>
          <w:numId w:val="42"/>
        </w:numPr>
        <w:tabs>
          <w:tab w:val="left" w:pos="709"/>
        </w:tabs>
        <w:spacing w:after="0" w:line="312"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AD1C27">
      <w:pPr>
        <w:pStyle w:val="Akapitzlist"/>
        <w:numPr>
          <w:ilvl w:val="0"/>
          <w:numId w:val="22"/>
        </w:numPr>
        <w:tabs>
          <w:tab w:val="left" w:pos="425"/>
        </w:tabs>
        <w:spacing w:line="312" w:lineRule="auto"/>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AD1C27">
      <w:pPr>
        <w:numPr>
          <w:ilvl w:val="0"/>
          <w:numId w:val="43"/>
        </w:numPr>
        <w:spacing w:after="0" w:line="312"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AD1C27">
      <w:pPr>
        <w:numPr>
          <w:ilvl w:val="0"/>
          <w:numId w:val="43"/>
        </w:numPr>
        <w:spacing w:after="0" w:line="312"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AD1C27">
      <w:pPr>
        <w:numPr>
          <w:ilvl w:val="0"/>
          <w:numId w:val="43"/>
        </w:numPr>
        <w:spacing w:after="0" w:line="312"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AD1C27">
      <w:pPr>
        <w:numPr>
          <w:ilvl w:val="0"/>
          <w:numId w:val="22"/>
        </w:numPr>
        <w:tabs>
          <w:tab w:val="left" w:pos="425"/>
        </w:tabs>
        <w:spacing w:after="0" w:line="312"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default" r:id="rId19"/>
      <w:footerReference w:type="default" r:id="rId20"/>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C185" w14:textId="77777777" w:rsidR="00B3730F" w:rsidRDefault="00B3730F">
      <w:pPr>
        <w:spacing w:line="240" w:lineRule="auto"/>
      </w:pPr>
      <w:r>
        <w:separator/>
      </w:r>
    </w:p>
  </w:endnote>
  <w:endnote w:type="continuationSeparator" w:id="0">
    <w:p w14:paraId="1BDF8D1B" w14:textId="77777777" w:rsidR="00B3730F" w:rsidRDefault="00B37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14938"/>
      <w:docPartObj>
        <w:docPartGallery w:val="Page Numbers (Bottom of Page)"/>
        <w:docPartUnique/>
      </w:docPartObj>
    </w:sdtPr>
    <w:sdtEndPr/>
    <w:sdtContent>
      <w:p w14:paraId="3DFE0DFC" w14:textId="36D7DE49" w:rsidR="00A459AA" w:rsidRDefault="00A459AA">
        <w:pPr>
          <w:pStyle w:val="Stopka"/>
          <w:jc w:val="right"/>
        </w:pPr>
        <w:r>
          <w:fldChar w:fldCharType="begin"/>
        </w:r>
        <w:r>
          <w:instrText>PAGE   \* MERGEFORMAT</w:instrText>
        </w:r>
        <w:r>
          <w:fldChar w:fldCharType="separate"/>
        </w:r>
        <w:r w:rsidR="00DA1B18">
          <w:rPr>
            <w:noProof/>
          </w:rPr>
          <w:t>28</w:t>
        </w:r>
        <w:r>
          <w:fldChar w:fldCharType="end"/>
        </w:r>
      </w:p>
    </w:sdtContent>
  </w:sdt>
  <w:p w14:paraId="725431B4" w14:textId="77777777" w:rsidR="00A459AA" w:rsidRDefault="00A459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8671" w14:textId="77777777" w:rsidR="00B3730F" w:rsidRDefault="00B3730F">
      <w:pPr>
        <w:spacing w:after="0" w:line="240" w:lineRule="auto"/>
      </w:pPr>
      <w:r>
        <w:separator/>
      </w:r>
    </w:p>
  </w:footnote>
  <w:footnote w:type="continuationSeparator" w:id="0">
    <w:p w14:paraId="4656CE16" w14:textId="77777777" w:rsidR="00B3730F" w:rsidRDefault="00B3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4061" w14:textId="64D08400" w:rsidR="00A459AA" w:rsidRDefault="00A459AA" w:rsidP="00FC1EE8">
    <w:pPr>
      <w:pStyle w:val="Nagwek"/>
      <w:ind w:leftChars="1000" w:left="2400"/>
      <w:jc w:val="both"/>
      <w:rPr>
        <w:i/>
        <w:iCs/>
        <w:sz w:val="20"/>
        <w:szCs w:val="20"/>
      </w:rPr>
    </w:pPr>
    <w:bookmarkStart w:id="11" w:name="_Hlk57709238"/>
    <w:bookmarkStart w:id="12" w:name="_Hlk75594092"/>
    <w:bookmarkEnd w:id="11"/>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 xml:space="preserve">Projekt pn. „Wsparcie techniczne i operacyjne organów ścigania w zwalczaniu przestępczości transgranicznej naruszającej interesy finansowe Unii Europejskiej” </w:t>
    </w:r>
  </w:p>
  <w:p w14:paraId="2E64DCC0" w14:textId="0CBE30FB" w:rsidR="00A459AA" w:rsidRDefault="00A459AA" w:rsidP="0098152C">
    <w:pPr>
      <w:pStyle w:val="Nagwek"/>
      <w:ind w:leftChars="1000" w:left="2400"/>
      <w:jc w:val="both"/>
      <w:rPr>
        <w:i/>
        <w:iCs/>
        <w:sz w:val="20"/>
        <w:szCs w:val="20"/>
      </w:rPr>
    </w:pPr>
    <w:r w:rsidRPr="0098152C">
      <w:rPr>
        <w:i/>
        <w:iCs/>
        <w:sz w:val="20"/>
        <w:szCs w:val="20"/>
      </w:rPr>
      <w:t xml:space="preserve">finansowany z Programu </w:t>
    </w:r>
    <w:r w:rsidRPr="0098152C">
      <w:rPr>
        <w:i/>
        <w:iCs/>
        <w:sz w:val="20"/>
        <w:szCs w:val="20"/>
        <w:lang w:val="en-GB"/>
      </w:rPr>
      <w:t xml:space="preserve">Unii Europejskiej </w:t>
    </w:r>
    <w:r w:rsidRPr="0098152C">
      <w:rPr>
        <w:i/>
        <w:iCs/>
        <w:sz w:val="20"/>
        <w:szCs w:val="20"/>
      </w:rPr>
      <w:t xml:space="preserve">Hercule III </w:t>
    </w:r>
  </w:p>
  <w:p w14:paraId="6F71B150" w14:textId="77777777" w:rsidR="00A459AA" w:rsidRDefault="00A459AA" w:rsidP="00FC1EE8">
    <w:pPr>
      <w:pStyle w:val="Nagwek"/>
      <w:ind w:leftChars="1000" w:left="2400"/>
      <w:jc w:val="both"/>
      <w:rPr>
        <w:i/>
        <w:iCs/>
        <w:sz w:val="20"/>
        <w:szCs w:val="20"/>
      </w:rPr>
    </w:pPr>
    <w:r>
      <w:rPr>
        <w:i/>
        <w:iCs/>
        <w:sz w:val="20"/>
        <w:szCs w:val="20"/>
      </w:rPr>
      <w:t>Nr identyfikacyjny projektu: 101013510</w:t>
    </w:r>
  </w:p>
  <w:bookmarkEnd w:id="12"/>
  <w:p w14:paraId="77AC2F70" w14:textId="77777777" w:rsidR="00A459AA" w:rsidRDefault="00A459AA">
    <w:pPr>
      <w:pStyle w:val="Nagwek"/>
      <w:rPr>
        <w:sz w:val="20"/>
        <w:szCs w:val="20"/>
      </w:rPr>
    </w:pPr>
  </w:p>
  <w:p w14:paraId="23A4D2C0" w14:textId="77777777" w:rsidR="00A459AA" w:rsidRDefault="00A459AA">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2D78"/>
    <w:rsid w:val="0007356F"/>
    <w:rsid w:val="00076317"/>
    <w:rsid w:val="00076FB8"/>
    <w:rsid w:val="00077856"/>
    <w:rsid w:val="000808DC"/>
    <w:rsid w:val="0008140D"/>
    <w:rsid w:val="00095D6E"/>
    <w:rsid w:val="000A1A56"/>
    <w:rsid w:val="000A2C5A"/>
    <w:rsid w:val="000A60C4"/>
    <w:rsid w:val="000A7EF9"/>
    <w:rsid w:val="000B08A9"/>
    <w:rsid w:val="000B2E22"/>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6373"/>
    <w:rsid w:val="001279EB"/>
    <w:rsid w:val="00130B68"/>
    <w:rsid w:val="00132500"/>
    <w:rsid w:val="001341B2"/>
    <w:rsid w:val="00136478"/>
    <w:rsid w:val="00150B5D"/>
    <w:rsid w:val="00151745"/>
    <w:rsid w:val="00151DF6"/>
    <w:rsid w:val="001544A2"/>
    <w:rsid w:val="001574FA"/>
    <w:rsid w:val="001778DF"/>
    <w:rsid w:val="00177A84"/>
    <w:rsid w:val="00180313"/>
    <w:rsid w:val="00181C7D"/>
    <w:rsid w:val="001846A2"/>
    <w:rsid w:val="0019255C"/>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208"/>
    <w:rsid w:val="001F2F66"/>
    <w:rsid w:val="001F3387"/>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10C21"/>
    <w:rsid w:val="003118E0"/>
    <w:rsid w:val="00313D00"/>
    <w:rsid w:val="00315488"/>
    <w:rsid w:val="003321E0"/>
    <w:rsid w:val="00333738"/>
    <w:rsid w:val="00342893"/>
    <w:rsid w:val="00343F16"/>
    <w:rsid w:val="00350B33"/>
    <w:rsid w:val="00353B7D"/>
    <w:rsid w:val="0035761E"/>
    <w:rsid w:val="00357979"/>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33F6"/>
    <w:rsid w:val="004A7F53"/>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9031E"/>
    <w:rsid w:val="00691042"/>
    <w:rsid w:val="0069257C"/>
    <w:rsid w:val="0069408C"/>
    <w:rsid w:val="00697320"/>
    <w:rsid w:val="006A0AD6"/>
    <w:rsid w:val="006A2A9B"/>
    <w:rsid w:val="006A32C3"/>
    <w:rsid w:val="006A7C7E"/>
    <w:rsid w:val="006A7DDF"/>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6721"/>
    <w:rsid w:val="007212E5"/>
    <w:rsid w:val="00723EFC"/>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C48"/>
    <w:rsid w:val="00833105"/>
    <w:rsid w:val="00840115"/>
    <w:rsid w:val="00843E61"/>
    <w:rsid w:val="008459ED"/>
    <w:rsid w:val="00846679"/>
    <w:rsid w:val="008524E5"/>
    <w:rsid w:val="00854CC9"/>
    <w:rsid w:val="008555F7"/>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A0012E"/>
    <w:rsid w:val="00A0040E"/>
    <w:rsid w:val="00A02601"/>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6D33"/>
    <w:rsid w:val="00D56E2D"/>
    <w:rsid w:val="00D60B2D"/>
    <w:rsid w:val="00D6383B"/>
    <w:rsid w:val="00D72ACF"/>
    <w:rsid w:val="00D72C46"/>
    <w:rsid w:val="00D73754"/>
    <w:rsid w:val="00D7585F"/>
    <w:rsid w:val="00D7640C"/>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C4362"/>
    <w:rsid w:val="00EC4FF5"/>
    <w:rsid w:val="00EE1307"/>
    <w:rsid w:val="00EE370F"/>
    <w:rsid w:val="00EE3990"/>
    <w:rsid w:val="00EE3A17"/>
    <w:rsid w:val="00EF2FC3"/>
    <w:rsid w:val="00EF328A"/>
    <w:rsid w:val="00F02AB1"/>
    <w:rsid w:val="00F04BEE"/>
    <w:rsid w:val="00F075DF"/>
    <w:rsid w:val="00F10E6A"/>
    <w:rsid w:val="00F15EE9"/>
    <w:rsid w:val="00F17A8B"/>
    <w:rsid w:val="00F20C18"/>
    <w:rsid w:val="00F23C0F"/>
    <w:rsid w:val="00F315A3"/>
    <w:rsid w:val="00F32516"/>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658DC-F0CA-4854-A121-5AFAA70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9393</Words>
  <Characters>56359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sławomirwilczewski</cp:lastModifiedBy>
  <cp:revision>2</cp:revision>
  <dcterms:created xsi:type="dcterms:W3CDTF">2021-07-05T07:57:00Z</dcterms:created>
  <dcterms:modified xsi:type="dcterms:W3CDTF">2021-07-05T07:57:00Z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