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536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B536E3">
        <w:rPr>
          <w:rFonts w:ascii="Arial" w:hAnsi="Arial" w:cs="Arial"/>
          <w:b/>
          <w:color w:val="000000"/>
          <w:sz w:val="18"/>
          <w:szCs w:val="18"/>
        </w:rPr>
        <w:t xml:space="preserve"> s</w:t>
      </w:r>
      <w:bookmarkStart w:id="0" w:name="_GoBack"/>
      <w:bookmarkEnd w:id="0"/>
      <w:r w:rsidR="00B536E3" w:rsidRPr="00B536E3">
        <w:rPr>
          <w:rFonts w:ascii="Arial" w:hAnsi="Arial" w:cs="Arial"/>
          <w:b/>
          <w:color w:val="000000"/>
          <w:sz w:val="18"/>
          <w:szCs w:val="18"/>
        </w:rPr>
        <w:t>erwis/przegląd techniczny defibrylatora LIFEPACK CR2WIFI nr:49768628 (ewentualnie wymiana baterii i elektrod).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0EF2-21AA-427E-8227-D8E0036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11</cp:revision>
  <cp:lastPrinted>2018-06-08T08:39:00Z</cp:lastPrinted>
  <dcterms:created xsi:type="dcterms:W3CDTF">2023-10-17T13:49:00Z</dcterms:created>
  <dcterms:modified xsi:type="dcterms:W3CDTF">2024-02-06T10:08:00Z</dcterms:modified>
</cp:coreProperties>
</file>