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7774A39E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KRS/CEiDG)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C8D99EC" w14:textId="77777777" w:rsidR="00D53BFF" w:rsidRPr="00F06C10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r w:rsidRPr="00F06C10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1F56B952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Przedsiębiorstwo Gospodarki Komunalnej w Śremie Spółka z o.o. </w:t>
      </w:r>
    </w:p>
    <w:p w14:paraId="5D104D5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ul. Parkowa 6 </w:t>
      </w:r>
    </w:p>
    <w:p w14:paraId="5572DDB0" w14:textId="77777777" w:rsidR="00D53BFF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 xml:space="preserve">63-100 Śrem </w:t>
      </w:r>
    </w:p>
    <w:p w14:paraId="32AF8ACC" w14:textId="77777777" w:rsidR="00D53BFF" w:rsidRPr="004B3FF1" w:rsidRDefault="00D53BFF" w:rsidP="00D53BFF">
      <w:pPr>
        <w:suppressAutoHyphens/>
        <w:spacing w:after="0" w:line="276" w:lineRule="auto"/>
        <w:ind w:left="7655"/>
        <w:rPr>
          <w:rFonts w:asciiTheme="majorHAnsi" w:eastAsia="Calibri" w:hAnsiTheme="majorHAnsi" w:cstheme="majorHAnsi"/>
          <w:bCs/>
          <w:sz w:val="20"/>
          <w:szCs w:val="20"/>
        </w:rPr>
      </w:pPr>
      <w:r w:rsidRPr="004B3FF1">
        <w:rPr>
          <w:rFonts w:asciiTheme="majorHAnsi" w:eastAsia="Calibri" w:hAnsiTheme="majorHAnsi" w:cstheme="majorHAnsi"/>
          <w:bCs/>
          <w:sz w:val="20"/>
          <w:szCs w:val="20"/>
        </w:rPr>
        <w:t>NIP : 785-00-02-615</w:t>
      </w:r>
    </w:p>
    <w:p w14:paraId="136C7021" w14:textId="77777777" w:rsidR="00D53BFF" w:rsidRDefault="00D53BFF" w:rsidP="00D53BFF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1BE361B" w14:textId="77777777" w:rsidR="00A74328" w:rsidRP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77777777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0E03F123" w14:textId="77777777" w:rsidR="000D30D2" w:rsidRPr="000D30D2" w:rsidRDefault="00A74328" w:rsidP="000D30D2">
      <w:pPr>
        <w:spacing w:before="240" w:after="120" w:line="264" w:lineRule="auto"/>
        <w:jc w:val="center"/>
        <w:rPr>
          <w:rFonts w:ascii="Calibri Light" w:eastAsia="Calibri" w:hAnsi="Calibri Light" w:cs="Calibri Light"/>
          <w:sz w:val="20"/>
          <w:szCs w:val="20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inwestycji pn.: </w:t>
      </w:r>
      <w:r w:rsidR="000D30D2" w:rsidRPr="000D30D2">
        <w:rPr>
          <w:rFonts w:ascii="Calibri Light" w:eastAsia="Calibri" w:hAnsi="Calibri Light" w:cs="Calibri Light"/>
          <w:b/>
          <w:bCs/>
        </w:rPr>
        <w:t>„Dostawa specjalistycznych pojazdów do odbioru odpadów”</w:t>
      </w:r>
    </w:p>
    <w:p w14:paraId="092D86D8" w14:textId="48467A8B" w:rsidR="00A74328" w:rsidRPr="00A74328" w:rsidRDefault="00D53BFF" w:rsidP="00A74328">
      <w:pPr>
        <w:suppressAutoHyphens/>
        <w:spacing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>
        <w:rPr>
          <w:rFonts w:asciiTheme="majorHAnsi" w:hAnsiTheme="majorHAnsi" w:cstheme="majorHAnsi"/>
          <w:b/>
          <w:lang w:eastAsia="zh-CN"/>
        </w:rPr>
        <w:t>– dotyczy I części zamówienia</w:t>
      </w:r>
    </w:p>
    <w:p w14:paraId="3D8DDC3F" w14:textId="37A27CD3" w:rsidR="00A74328" w:rsidRP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Niniejsza tabela służy zamawiającemu do weryfikacji równoważności oferowanego przez wykonawcę przedmiotu zamówienia, w tym urządzeń, materiałów  z 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materiału itp..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lastRenderedPageBreak/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A74328">
        <w:trPr>
          <w:trHeight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1443BA9F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4.5 do 4.8.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78DF6C34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W przypadku stosowania rozwiązań równoważnych należy uzupełnić tabele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433930F0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24FDF7A0" w14:textId="5340F225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ab/>
        <w:t xml:space="preserve">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…………………..……….….........................................................................................    </w:t>
      </w:r>
    </w:p>
    <w:p w14:paraId="3E118B38" w14:textId="121F28F2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 xml:space="preserve">   </w:t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</w: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ab/>
        <w:t xml:space="preserve">   podpis elektroniczny uprawnionego(-ych) przedstawiciela(-i) Wykonawcy **</w:t>
      </w:r>
    </w:p>
    <w:p w14:paraId="4216B1DE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7BB27945" w14:textId="7D964802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  <w:t>** tabela równoważności powinna mieć postać  dokumentu elektronicznego, podpisanego kwalifikowanym podpisem elektronicznym upełnomocnionego(ych) przedstawiciela(i) Wykonawcy(-ów)</w:t>
      </w:r>
    </w:p>
    <w:p w14:paraId="09557B60" w14:textId="2F6AD516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sz w:val="18"/>
          <w:szCs w:val="18"/>
          <w:lang w:eastAsia="pl-PL"/>
        </w:rPr>
      </w:pPr>
    </w:p>
    <w:p w14:paraId="307D8436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1F027D01" w14:textId="571B27E5" w:rsidR="00A74328" w:rsidRPr="00A74328" w:rsidRDefault="00A74328" w:rsidP="00E36D8C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Oświadczenie i dokumenty (dowody) potwierdzające równoważność oferowanych materiałów, urządzeń należy złożyć wraz z ofertą.</w:t>
      </w:r>
    </w:p>
    <w:sectPr w:rsidR="00A74328" w:rsidRPr="00A74328" w:rsidSect="00A743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A69B" w14:textId="77777777" w:rsidR="00982683" w:rsidRDefault="00982683" w:rsidP="00A74328">
      <w:pPr>
        <w:spacing w:after="0" w:line="240" w:lineRule="auto"/>
      </w:pPr>
      <w:r>
        <w:separator/>
      </w:r>
    </w:p>
  </w:endnote>
  <w:endnote w:type="continuationSeparator" w:id="0">
    <w:p w14:paraId="159FC89B" w14:textId="77777777" w:rsidR="00982683" w:rsidRDefault="00982683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E002" w14:textId="77777777" w:rsidR="00982683" w:rsidRDefault="00982683" w:rsidP="00A74328">
      <w:pPr>
        <w:spacing w:after="0" w:line="240" w:lineRule="auto"/>
      </w:pPr>
      <w:r>
        <w:separator/>
      </w:r>
    </w:p>
  </w:footnote>
  <w:footnote w:type="continuationSeparator" w:id="0">
    <w:p w14:paraId="24ECB8CC" w14:textId="77777777" w:rsidR="00982683" w:rsidRDefault="00982683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8C6B" w14:textId="77777777" w:rsidR="000D30D2" w:rsidRDefault="000D30D2" w:rsidP="000D30D2">
    <w:pPr>
      <w:spacing w:before="240" w:after="120" w:line="264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„Dostawa specjalistycznych pojazdów do odbioru odpadów”</w:t>
    </w: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0D30D2"/>
    <w:rsid w:val="00194DE0"/>
    <w:rsid w:val="00284C65"/>
    <w:rsid w:val="003C2C77"/>
    <w:rsid w:val="004549C6"/>
    <w:rsid w:val="004A47A3"/>
    <w:rsid w:val="007F0213"/>
    <w:rsid w:val="0093667B"/>
    <w:rsid w:val="00982683"/>
    <w:rsid w:val="00A74328"/>
    <w:rsid w:val="00AF1035"/>
    <w:rsid w:val="00B43E13"/>
    <w:rsid w:val="00CA4384"/>
    <w:rsid w:val="00CB282F"/>
    <w:rsid w:val="00D02B7C"/>
    <w:rsid w:val="00D53BFF"/>
    <w:rsid w:val="00D56FED"/>
    <w:rsid w:val="00D93A79"/>
    <w:rsid w:val="00E36D8C"/>
    <w:rsid w:val="00EA33FA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13</cp:revision>
  <dcterms:created xsi:type="dcterms:W3CDTF">2021-08-16T06:16:00Z</dcterms:created>
  <dcterms:modified xsi:type="dcterms:W3CDTF">2021-09-02T06:28:00Z</dcterms:modified>
</cp:coreProperties>
</file>