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3E" w:rsidRPr="007E24CF" w:rsidRDefault="0062643E" w:rsidP="0062643E">
      <w:pPr>
        <w:spacing w:after="200" w:line="276" w:lineRule="auto"/>
        <w:rPr>
          <w:b/>
          <w:szCs w:val="20"/>
          <w:lang w:eastAsia="en-US" w:bidi="en-US"/>
        </w:rPr>
      </w:pPr>
      <w:r w:rsidRPr="007E24CF">
        <w:rPr>
          <w:b/>
          <w:szCs w:val="20"/>
          <w:lang w:eastAsia="en-US" w:bidi="en-US"/>
        </w:rPr>
        <w:t>Dostawa, instalacja i wdrożenie internetowego portalu informacji dla klienta urzędu</w:t>
      </w:r>
      <w:r>
        <w:rPr>
          <w:b/>
          <w:szCs w:val="20"/>
          <w:lang w:eastAsia="en-US" w:bidi="en-US"/>
        </w:rPr>
        <w:t>.</w:t>
      </w:r>
    </w:p>
    <w:p w:rsidR="0062643E" w:rsidRPr="000C7C2C" w:rsidRDefault="0062643E" w:rsidP="0062643E">
      <w:pPr>
        <w:spacing w:after="200" w:line="276" w:lineRule="auto"/>
        <w:rPr>
          <w:b/>
          <w:szCs w:val="20"/>
          <w:lang w:eastAsia="en-US" w:bidi="en-US"/>
        </w:rPr>
      </w:pPr>
      <w:r w:rsidRPr="000C7C2C">
        <w:rPr>
          <w:b/>
          <w:szCs w:val="20"/>
          <w:lang w:eastAsia="en-US" w:bidi="en-US"/>
        </w:rPr>
        <w:t>Portal internetowy o funkcjonalności:</w:t>
      </w:r>
    </w:p>
    <w:p w:rsidR="0062643E" w:rsidRPr="000C7C2C" w:rsidRDefault="0062643E" w:rsidP="0062643E">
      <w:pPr>
        <w:spacing w:after="200" w:line="276" w:lineRule="auto"/>
        <w:rPr>
          <w:b/>
          <w:szCs w:val="20"/>
          <w:lang w:eastAsia="en-US" w:bidi="en-US"/>
        </w:rPr>
      </w:pPr>
      <w:r w:rsidRPr="000C7C2C">
        <w:rPr>
          <w:b/>
          <w:szCs w:val="20"/>
          <w:lang w:eastAsia="en-US" w:bidi="en-US"/>
        </w:rPr>
        <w:t>W części zewnętrznej</w:t>
      </w:r>
      <w:r>
        <w:rPr>
          <w:b/>
          <w:szCs w:val="20"/>
          <w:lang w:eastAsia="en-US" w:bidi="en-US"/>
        </w:rPr>
        <w:t>:</w:t>
      </w:r>
    </w:p>
    <w:p w:rsidR="0062643E" w:rsidRPr="00806C30" w:rsidRDefault="0062643E" w:rsidP="0062643E">
      <w:pPr>
        <w:pStyle w:val="Akapitzlist"/>
        <w:numPr>
          <w:ilvl w:val="0"/>
          <w:numId w:val="1"/>
        </w:numPr>
        <w:ind w:left="319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Zapewnienie możliwości udostępniani</w:t>
      </w:r>
      <w:r>
        <w:rPr>
          <w:szCs w:val="20"/>
          <w:lang w:eastAsia="en-US" w:bidi="en-US"/>
        </w:rPr>
        <w:t>a</w:t>
      </w:r>
      <w:r w:rsidRPr="00806C30">
        <w:rPr>
          <w:szCs w:val="20"/>
          <w:lang w:eastAsia="en-US" w:bidi="en-US"/>
        </w:rPr>
        <w:t xml:space="preserve"> informacji publicznych (np. realizacja budżetu, rejestr umów) z danych strukturalnych;</w:t>
      </w:r>
    </w:p>
    <w:p w:rsidR="0062643E" w:rsidRDefault="0062643E" w:rsidP="0062643E">
      <w:pPr>
        <w:pStyle w:val="Akapitzlist"/>
        <w:numPr>
          <w:ilvl w:val="0"/>
          <w:numId w:val="1"/>
        </w:numPr>
        <w:ind w:left="319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Możliwość prezentacji danych w postaci kontrolek (tabela, wykres kołowy itd.) na konfigurowalnych pulpitach analiz;</w:t>
      </w:r>
    </w:p>
    <w:p w:rsidR="0062643E" w:rsidRPr="00806C30" w:rsidRDefault="0062643E" w:rsidP="0062643E">
      <w:pPr>
        <w:pStyle w:val="Akapitzlist"/>
        <w:numPr>
          <w:ilvl w:val="0"/>
          <w:numId w:val="1"/>
        </w:numPr>
        <w:ind w:left="319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Udostępnianie informacji po uwierzytelnieniu z danych strukturalnych w zakresie: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a)</w:t>
      </w:r>
      <w:r w:rsidRPr="00806C30">
        <w:rPr>
          <w:szCs w:val="20"/>
          <w:lang w:eastAsia="en-US" w:bidi="en-US"/>
        </w:rPr>
        <w:tab/>
        <w:t>Podatek od nieruchomości osób prawnych: dane finansowe (globalne kwoty należności i wpłat, harmonogram płatności, realizacja płatności i przeterminowanie) i dane techniczne (wykaz nieruchomości wraz ze składnikami i ich danymi wpływającymi na wymiar podatku),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b)</w:t>
      </w:r>
      <w:r w:rsidRPr="00806C30">
        <w:rPr>
          <w:szCs w:val="20"/>
          <w:lang w:eastAsia="en-US" w:bidi="en-US"/>
        </w:rPr>
        <w:tab/>
        <w:t>Podatek od nieruchomości osób fizycznych np.: dane finansowe (globalne kwoty należności i wpłat, harmonogram płatności, realizacja płatności i przeterminowanie) i dane techniczne (wykaz nieruchomości wraz ze składnikami i ich danymi wpływającymi na wymiar podatku),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c)</w:t>
      </w:r>
      <w:r w:rsidRPr="00806C30">
        <w:rPr>
          <w:szCs w:val="20"/>
          <w:lang w:eastAsia="en-US" w:bidi="en-US"/>
        </w:rPr>
        <w:tab/>
        <w:t>Podatek od środków transportu: dane finansowe (globalne kwoty należności i wpłat, harmonogram płatności, realizacja płatności i przeterminowanie) i dane techniczne (wykaz nieruchomości wraz ze składnikami i ich danymi wpływającymi na wymiar podatku),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d)</w:t>
      </w:r>
      <w:r w:rsidRPr="00806C30">
        <w:rPr>
          <w:szCs w:val="20"/>
          <w:lang w:eastAsia="en-US" w:bidi="en-US"/>
        </w:rPr>
        <w:tab/>
        <w:t>W zakresie opłat z tytułu dzierżawy: dane finansowe (globalne kwoty należności i wpłat, harmonogram płatności, realizacja płatności i przeterminowanie) i informacje o tytule płatności,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e)</w:t>
      </w:r>
      <w:r w:rsidRPr="00806C30">
        <w:rPr>
          <w:szCs w:val="20"/>
          <w:lang w:eastAsia="en-US" w:bidi="en-US"/>
        </w:rPr>
        <w:tab/>
        <w:t>W zakresie opłat z tytułu użytkowania wieczystego: dane finansowe (globalne kwoty należności i wpłat, harmonogram płatności, realizacja płatności i przeterminowanie) i informacje o tytule płatności,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f)</w:t>
      </w:r>
      <w:r w:rsidRPr="00806C30">
        <w:rPr>
          <w:szCs w:val="20"/>
          <w:lang w:eastAsia="en-US" w:bidi="en-US"/>
        </w:rPr>
        <w:tab/>
        <w:t>W zakresie opłat z tytułu przekształcenia wieczystego użytkowania: dane finansowe (globalne kwoty należności i wpłat, harmonogram płatności, realizacja płatności i przeterminowanie) i</w:t>
      </w:r>
      <w:r>
        <w:rPr>
          <w:szCs w:val="20"/>
          <w:lang w:eastAsia="en-US" w:bidi="en-US"/>
        </w:rPr>
        <w:t> </w:t>
      </w:r>
      <w:r w:rsidRPr="00806C30">
        <w:rPr>
          <w:szCs w:val="20"/>
          <w:lang w:eastAsia="en-US" w:bidi="en-US"/>
        </w:rPr>
        <w:t>informacje o tytule płatności,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g)</w:t>
      </w:r>
      <w:r w:rsidRPr="00806C30">
        <w:rPr>
          <w:szCs w:val="20"/>
          <w:lang w:eastAsia="en-US" w:bidi="en-US"/>
        </w:rPr>
        <w:tab/>
        <w:t>W zakresie opłat z tytułu przekształcenia użytkowania wieczystego: dane finansowe (globalne kwoty należności i wpłat, harmonogram płatności, realizacja płatności i przeterminowanie) i</w:t>
      </w:r>
      <w:r>
        <w:rPr>
          <w:szCs w:val="20"/>
          <w:lang w:eastAsia="en-US" w:bidi="en-US"/>
        </w:rPr>
        <w:t> </w:t>
      </w:r>
      <w:r w:rsidRPr="00806C30">
        <w:rPr>
          <w:szCs w:val="20"/>
          <w:lang w:eastAsia="en-US" w:bidi="en-US"/>
        </w:rPr>
        <w:t>informacje o tytule płatności,</w:t>
      </w:r>
    </w:p>
    <w:p w:rsidR="0062643E" w:rsidRPr="00806C30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h)</w:t>
      </w:r>
      <w:r w:rsidRPr="00806C30">
        <w:rPr>
          <w:szCs w:val="20"/>
          <w:lang w:eastAsia="en-US" w:bidi="en-US"/>
        </w:rPr>
        <w:tab/>
        <w:t>W zakresie opłat z tytułu opłaty za wydane zezwolenia na sprzedaż alkoholu: dane finansowe (globalne kwoty należności i wpłat, harmonogram płatności, realizacja płatności i</w:t>
      </w:r>
      <w:r>
        <w:rPr>
          <w:szCs w:val="20"/>
          <w:lang w:eastAsia="en-US" w:bidi="en-US"/>
        </w:rPr>
        <w:t> </w:t>
      </w:r>
      <w:r w:rsidRPr="00806C30">
        <w:rPr>
          <w:szCs w:val="20"/>
          <w:lang w:eastAsia="en-US" w:bidi="en-US"/>
        </w:rPr>
        <w:t>przeterminowanie) i informacje o tytule płatności,</w:t>
      </w:r>
    </w:p>
    <w:p w:rsidR="0062643E" w:rsidRDefault="0062643E" w:rsidP="0062643E">
      <w:pPr>
        <w:ind w:left="602" w:hanging="283"/>
        <w:rPr>
          <w:szCs w:val="20"/>
          <w:lang w:eastAsia="en-US" w:bidi="en-US"/>
        </w:rPr>
      </w:pPr>
      <w:r w:rsidRPr="00806C30">
        <w:rPr>
          <w:szCs w:val="20"/>
          <w:lang w:eastAsia="en-US" w:bidi="en-US"/>
        </w:rPr>
        <w:t>i)</w:t>
      </w:r>
      <w:r w:rsidRPr="00806C30">
        <w:rPr>
          <w:szCs w:val="20"/>
          <w:lang w:eastAsia="en-US" w:bidi="en-US"/>
        </w:rPr>
        <w:tab/>
        <w:t>W zakresie opłat z tytułu opłaty za zajęcie pasa drogowego: dane finansowe (globalne kwoty należności i wpłat, harmonogram płatności, realizacja płatności i przeterminowanie) i informacje o tytule płatności,</w:t>
      </w:r>
    </w:p>
    <w:p w:rsidR="0062643E" w:rsidRDefault="0062643E" w:rsidP="0062643E">
      <w:pPr>
        <w:pStyle w:val="Akapitzlist"/>
        <w:numPr>
          <w:ilvl w:val="0"/>
          <w:numId w:val="1"/>
        </w:numPr>
        <w:ind w:left="319"/>
        <w:rPr>
          <w:szCs w:val="20"/>
          <w:lang w:eastAsia="en-US" w:bidi="en-US"/>
        </w:rPr>
      </w:pPr>
      <w:r w:rsidRPr="000C7C2C">
        <w:rPr>
          <w:szCs w:val="20"/>
          <w:lang w:eastAsia="en-US" w:bidi="en-US"/>
        </w:rPr>
        <w:t>Możliwość realizacji płatności należności poprzez usługę operatora płatności elektronicznych</w:t>
      </w:r>
    </w:p>
    <w:p w:rsidR="0062643E" w:rsidRDefault="0062643E" w:rsidP="0062643E">
      <w:pPr>
        <w:pStyle w:val="Akapitzlist"/>
        <w:numPr>
          <w:ilvl w:val="0"/>
          <w:numId w:val="1"/>
        </w:numPr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Sterowanie portalem w części publicznej:</w:t>
      </w:r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a)</w:t>
      </w:r>
      <w:r w:rsidRPr="007E24CF">
        <w:rPr>
          <w:szCs w:val="20"/>
          <w:lang w:eastAsia="en-US" w:bidi="en-US"/>
        </w:rPr>
        <w:tab/>
        <w:t>Edycja i sterowanie widocznością poszczególnych pozycji menu</w:t>
      </w:r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b)</w:t>
      </w:r>
      <w:r w:rsidRPr="007E24CF">
        <w:rPr>
          <w:szCs w:val="20"/>
          <w:lang w:eastAsia="en-US" w:bidi="en-US"/>
        </w:rPr>
        <w:tab/>
        <w:t>Funkcja publikacji menu pozwalająca na przygotowanie zmian off-</w:t>
      </w:r>
      <w:proofErr w:type="spellStart"/>
      <w:r w:rsidRPr="007E24CF">
        <w:rPr>
          <w:szCs w:val="20"/>
          <w:lang w:eastAsia="en-US" w:bidi="en-US"/>
        </w:rPr>
        <w:t>line</w:t>
      </w:r>
      <w:proofErr w:type="spellEnd"/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c)</w:t>
      </w:r>
      <w:r w:rsidRPr="007E24CF">
        <w:rPr>
          <w:szCs w:val="20"/>
          <w:lang w:eastAsia="en-US" w:bidi="en-US"/>
        </w:rPr>
        <w:tab/>
        <w:t>Obsługa różnych szablonów stron podpinanych do pozycji menu</w:t>
      </w:r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d)</w:t>
      </w:r>
      <w:r w:rsidRPr="007E24CF">
        <w:rPr>
          <w:szCs w:val="20"/>
          <w:lang w:eastAsia="en-US" w:bidi="en-US"/>
        </w:rPr>
        <w:tab/>
        <w:t>Obsługa kontrolek w szablonach: HTML, Odsyłacz zewnętrzny, Odsyłacz do pulpitu analiz</w:t>
      </w:r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e)</w:t>
      </w:r>
      <w:r w:rsidRPr="007E24CF">
        <w:rPr>
          <w:szCs w:val="20"/>
          <w:lang w:eastAsia="en-US" w:bidi="en-US"/>
        </w:rPr>
        <w:tab/>
        <w:t>Możliwość obsługi kontrolek dedykowanych</w:t>
      </w:r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f)</w:t>
      </w:r>
      <w:r w:rsidRPr="007E24CF">
        <w:rPr>
          <w:szCs w:val="20"/>
          <w:lang w:eastAsia="en-US" w:bidi="en-US"/>
        </w:rPr>
        <w:tab/>
        <w:t>Wersjonowanie zawartości kontrolek HTML – możliwość cofania zmian</w:t>
      </w:r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g)</w:t>
      </w:r>
      <w:r w:rsidRPr="007E24CF">
        <w:rPr>
          <w:szCs w:val="20"/>
          <w:lang w:eastAsia="en-US" w:bidi="en-US"/>
        </w:rPr>
        <w:tab/>
        <w:t>Funkcja publikacji strony pozwalająca na przygotowanie zmian off-</w:t>
      </w:r>
      <w:proofErr w:type="spellStart"/>
      <w:r w:rsidRPr="007E24CF">
        <w:rPr>
          <w:szCs w:val="20"/>
          <w:lang w:eastAsia="en-US" w:bidi="en-US"/>
        </w:rPr>
        <w:t>line</w:t>
      </w:r>
      <w:proofErr w:type="spellEnd"/>
    </w:p>
    <w:p w:rsidR="0062643E" w:rsidRPr="007E24CF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h)</w:t>
      </w:r>
      <w:r w:rsidRPr="007E24CF">
        <w:rPr>
          <w:szCs w:val="20"/>
          <w:lang w:eastAsia="en-US" w:bidi="en-US"/>
        </w:rPr>
        <w:tab/>
        <w:t>Funkcje administracyjne dostępne jedynie wewnątrz urzędu</w:t>
      </w:r>
    </w:p>
    <w:p w:rsidR="0062643E" w:rsidRDefault="0062643E" w:rsidP="0062643E">
      <w:pPr>
        <w:pStyle w:val="Akapitzlist"/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i)</w:t>
      </w:r>
      <w:r w:rsidRPr="007E24CF">
        <w:rPr>
          <w:szCs w:val="20"/>
          <w:lang w:eastAsia="en-US" w:bidi="en-US"/>
        </w:rPr>
        <w:tab/>
        <w:t>Funkcje exportu i importu treści serwisu</w:t>
      </w:r>
    </w:p>
    <w:p w:rsidR="0062643E" w:rsidRDefault="0062643E" w:rsidP="0062643E">
      <w:pPr>
        <w:pStyle w:val="Akapitzlist"/>
        <w:numPr>
          <w:ilvl w:val="0"/>
          <w:numId w:val="1"/>
        </w:numPr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Zarządzanie użytkownikami:</w:t>
      </w:r>
    </w:p>
    <w:p w:rsidR="0062643E" w:rsidRPr="007E24CF" w:rsidRDefault="0062643E" w:rsidP="0062643E">
      <w:pPr>
        <w:pStyle w:val="Akapitzlist"/>
        <w:ind w:left="744" w:hanging="425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a)</w:t>
      </w:r>
      <w:r w:rsidRPr="007E24CF">
        <w:rPr>
          <w:szCs w:val="20"/>
          <w:lang w:eastAsia="en-US" w:bidi="en-US"/>
        </w:rPr>
        <w:tab/>
        <w:t>Obsługa własnych kont użytkowników systemu,</w:t>
      </w:r>
    </w:p>
    <w:p w:rsidR="0062643E" w:rsidRPr="007E24CF" w:rsidRDefault="0062643E" w:rsidP="0062643E">
      <w:pPr>
        <w:pStyle w:val="Akapitzlist"/>
        <w:ind w:left="744" w:hanging="425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b)</w:t>
      </w:r>
      <w:r w:rsidRPr="007E24CF">
        <w:rPr>
          <w:szCs w:val="20"/>
          <w:lang w:eastAsia="en-US" w:bidi="en-US"/>
        </w:rPr>
        <w:tab/>
      </w:r>
      <w:r>
        <w:rPr>
          <w:szCs w:val="20"/>
          <w:lang w:eastAsia="en-US" w:bidi="en-US"/>
        </w:rPr>
        <w:t>M</w:t>
      </w:r>
      <w:r w:rsidRPr="007E24CF">
        <w:rPr>
          <w:szCs w:val="20"/>
          <w:lang w:eastAsia="en-US" w:bidi="en-US"/>
        </w:rPr>
        <w:t>ożliwość wykorzystania Krajowego Węzła  identyfikacji elektronicznej (login.gov.pl) w</w:t>
      </w:r>
      <w:r>
        <w:rPr>
          <w:szCs w:val="20"/>
          <w:lang w:eastAsia="en-US" w:bidi="en-US"/>
        </w:rPr>
        <w:t> </w:t>
      </w:r>
      <w:r w:rsidRPr="007E24CF">
        <w:rPr>
          <w:szCs w:val="20"/>
          <w:lang w:eastAsia="en-US" w:bidi="en-US"/>
        </w:rPr>
        <w:t>celu uwierzytelniania użytkowników,</w:t>
      </w:r>
    </w:p>
    <w:p w:rsidR="0062643E" w:rsidRPr="007E24CF" w:rsidRDefault="0062643E" w:rsidP="0062643E">
      <w:pPr>
        <w:pStyle w:val="Akapitzlist"/>
        <w:ind w:left="744" w:hanging="425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c)</w:t>
      </w:r>
      <w:r w:rsidRPr="007E24CF">
        <w:rPr>
          <w:szCs w:val="20"/>
          <w:lang w:eastAsia="en-US" w:bidi="en-US"/>
        </w:rPr>
        <w:tab/>
        <w:t>Obsługa mechanizmu upoważnień,</w:t>
      </w:r>
    </w:p>
    <w:p w:rsidR="0062643E" w:rsidRDefault="0062643E" w:rsidP="0062643E">
      <w:pPr>
        <w:pStyle w:val="Akapitzlist"/>
        <w:ind w:left="744" w:hanging="425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d)</w:t>
      </w:r>
      <w:r w:rsidRPr="007E24CF">
        <w:rPr>
          <w:szCs w:val="20"/>
          <w:lang w:eastAsia="en-US" w:bidi="en-US"/>
        </w:rPr>
        <w:tab/>
        <w:t>Aplikacja wewnętrzna do zarządzania użytkownikami serwisu oraz weryfikacji dostępnych dla nich danych</w:t>
      </w:r>
    </w:p>
    <w:p w:rsidR="0062643E" w:rsidRDefault="0062643E" w:rsidP="0062643E">
      <w:pPr>
        <w:rPr>
          <w:szCs w:val="20"/>
          <w:lang w:eastAsia="en-US" w:bidi="en-US"/>
        </w:rPr>
      </w:pPr>
    </w:p>
    <w:p w:rsidR="0062643E" w:rsidRDefault="0062643E" w:rsidP="0062643E">
      <w:pPr>
        <w:rPr>
          <w:b/>
          <w:szCs w:val="20"/>
          <w:lang w:eastAsia="en-US" w:bidi="en-US"/>
        </w:rPr>
      </w:pPr>
      <w:r>
        <w:rPr>
          <w:b/>
          <w:szCs w:val="20"/>
          <w:lang w:eastAsia="en-US" w:bidi="en-US"/>
        </w:rPr>
        <w:t>W części wewnętrznej:</w:t>
      </w:r>
    </w:p>
    <w:p w:rsidR="0062643E" w:rsidRDefault="0062643E" w:rsidP="0062643E">
      <w:pPr>
        <w:rPr>
          <w:b/>
          <w:szCs w:val="20"/>
          <w:lang w:eastAsia="en-US" w:bidi="en-US"/>
        </w:rPr>
      </w:pPr>
    </w:p>
    <w:p w:rsidR="0062643E" w:rsidRPr="007E24CF" w:rsidRDefault="0062643E" w:rsidP="0062643E">
      <w:pPr>
        <w:pStyle w:val="Akapitzlist"/>
        <w:numPr>
          <w:ilvl w:val="0"/>
          <w:numId w:val="2"/>
        </w:numPr>
        <w:ind w:left="319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D</w:t>
      </w:r>
      <w:r w:rsidRPr="007E24CF">
        <w:rPr>
          <w:szCs w:val="20"/>
          <w:lang w:eastAsia="en-US" w:bidi="en-US"/>
        </w:rPr>
        <w:t>ostęp za pomocą przeglądarki internetowej</w:t>
      </w:r>
    </w:p>
    <w:p w:rsidR="0062643E" w:rsidRPr="007E24CF" w:rsidRDefault="0062643E" w:rsidP="0062643E">
      <w:pPr>
        <w:pStyle w:val="Akapitzlist"/>
        <w:numPr>
          <w:ilvl w:val="0"/>
          <w:numId w:val="2"/>
        </w:numPr>
        <w:ind w:left="319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M</w:t>
      </w:r>
      <w:r w:rsidRPr="007E24CF">
        <w:rPr>
          <w:szCs w:val="20"/>
          <w:lang w:eastAsia="en-US" w:bidi="en-US"/>
        </w:rPr>
        <w:t>ożliwość łączenia zestawień/raportów w wielopoziomowe układy hierarchiczne z</w:t>
      </w:r>
      <w:r>
        <w:rPr>
          <w:szCs w:val="20"/>
          <w:lang w:eastAsia="en-US" w:bidi="en-US"/>
        </w:rPr>
        <w:t> </w:t>
      </w:r>
      <w:r w:rsidRPr="007E24CF">
        <w:rPr>
          <w:szCs w:val="20"/>
          <w:lang w:eastAsia="en-US" w:bidi="en-US"/>
        </w:rPr>
        <w:t>wywoływaniem zestawień podrzędnych z przekazywaniem parametrów poprzez odnośniki,</w:t>
      </w:r>
    </w:p>
    <w:p w:rsidR="0062643E" w:rsidRDefault="0062643E" w:rsidP="0062643E">
      <w:pPr>
        <w:pStyle w:val="Akapitzlist"/>
        <w:numPr>
          <w:ilvl w:val="0"/>
          <w:numId w:val="2"/>
        </w:numPr>
        <w:ind w:left="319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Zakres prezentacji danych dla wybranej osoby fizycznej lub prawnej identyczny jak w portalu internetowym.</w:t>
      </w:r>
    </w:p>
    <w:p w:rsidR="0062643E" w:rsidRDefault="0062643E" w:rsidP="0062643E">
      <w:pPr>
        <w:rPr>
          <w:szCs w:val="20"/>
          <w:lang w:eastAsia="en-US" w:bidi="en-US"/>
        </w:rPr>
      </w:pPr>
    </w:p>
    <w:p w:rsidR="0062643E" w:rsidRPr="007E24CF" w:rsidRDefault="0062643E" w:rsidP="0062643E">
      <w:pPr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 xml:space="preserve">System musi bazować na następujących informacjach pochodzących z obecnie użytkowanych systemów informatycznych  (przy zapewnieniu pełnej integralności i bezpieczeństwa danych): 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podatku od nieruchomości rolny i leśny osób fizycznych i prawnych;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podatku od środków transportowych;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umów dzierżawnych i wieczystego użytkowania;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zezwoleń na sprzedaż alkoholu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opłacie za zajęcie pasa drogowego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rozliczeniach z tytułu przekształceń użytkowania wieczystego</w:t>
      </w:r>
    </w:p>
    <w:p w:rsidR="0062643E" w:rsidRPr="007E24CF" w:rsidRDefault="0062643E" w:rsidP="0062643E">
      <w:pPr>
        <w:ind w:left="460"/>
        <w:rPr>
          <w:szCs w:val="20"/>
          <w:lang w:eastAsia="en-US" w:bidi="en-US"/>
        </w:rPr>
      </w:pPr>
      <w:r w:rsidRPr="007E24CF">
        <w:rPr>
          <w:szCs w:val="20"/>
          <w:lang w:eastAsia="en-US" w:bidi="en-US"/>
        </w:rPr>
        <w:t>•</w:t>
      </w:r>
      <w:r w:rsidRPr="007E24CF">
        <w:rPr>
          <w:szCs w:val="20"/>
          <w:lang w:eastAsia="en-US" w:bidi="en-US"/>
        </w:rPr>
        <w:tab/>
        <w:t>dochody i wydatki budżetowe.</w:t>
      </w:r>
    </w:p>
    <w:p w:rsidR="0062643E" w:rsidRDefault="0062643E" w:rsidP="0062643E">
      <w:pPr>
        <w:rPr>
          <w:szCs w:val="20"/>
          <w:lang w:eastAsia="en-US" w:bidi="en-US"/>
        </w:rPr>
      </w:pPr>
      <w:r>
        <w:rPr>
          <w:szCs w:val="20"/>
          <w:lang w:eastAsia="en-US" w:bidi="en-US"/>
        </w:rPr>
        <w:t xml:space="preserve">Posiadane przez Zamawiającego systemy dziedzinowe są autorstwa firmy REKORD SI Sp. z o.o. </w:t>
      </w:r>
    </w:p>
    <w:p w:rsidR="0062643E" w:rsidRDefault="0062643E" w:rsidP="0062643E">
      <w:pPr>
        <w:rPr>
          <w:szCs w:val="20"/>
          <w:lang w:eastAsia="en-US" w:bidi="en-US"/>
        </w:rPr>
      </w:pPr>
    </w:p>
    <w:p w:rsidR="0062643E" w:rsidRDefault="0062643E" w:rsidP="0062643E">
      <w:pPr>
        <w:rPr>
          <w:b/>
          <w:szCs w:val="20"/>
          <w:lang w:eastAsia="en-US" w:bidi="en-US"/>
        </w:rPr>
      </w:pPr>
      <w:r>
        <w:rPr>
          <w:b/>
          <w:szCs w:val="20"/>
          <w:lang w:eastAsia="en-US" w:bidi="en-US"/>
        </w:rPr>
        <w:t>Inne wymagania ogólne: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umożliwiać definiowanie dowolnej ilości użytkowników,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być w całości spolonizowany, a więc posiadać polskie znaki i instrukcję obsługi po polsku dla użytkownika,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posiadać graficzny interfejs użytkownika gwarantujący wygodne wprowadzanie danych, bieżącą kontrolę poprawności wprowadzanych danych, przejrzystość prezentowania danych na ekranie,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pracować w środowisku sieciowym i posiadać wielodostępność pozwalającą na równoczesne korzystanie z bazy danych przez wielu użytkowników,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posiadać mechanizmy umożliwiające identyfikację użytkownika i ustalenie daty wprowadzenia i modyfikacji danych,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posiadać mechanizmy ochrony danych przed niepowołanym dostępem, nadawania uprawnień dla użytkowników do korzystania z modułów,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musi działać w środowisku zintegrowanych baz danych posiadającym następujące cechy: relacyjność i transakcyjność, komunikacja z aplikacjami w standardzie SQL.</w:t>
      </w:r>
    </w:p>
    <w:p w:rsidR="0062643E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system ma funkcjonować zgodnie z obowiązującymi przepisami prawa.</w:t>
      </w:r>
    </w:p>
    <w:p w:rsidR="0062643E" w:rsidRDefault="0062643E" w:rsidP="0062643E">
      <w:pPr>
        <w:ind w:left="744" w:hanging="284"/>
        <w:rPr>
          <w:szCs w:val="20"/>
          <w:lang w:eastAsia="en-US" w:bidi="en-US"/>
        </w:rPr>
      </w:pPr>
    </w:p>
    <w:p w:rsidR="0062643E" w:rsidRPr="00066622" w:rsidRDefault="0062643E" w:rsidP="0062643E">
      <w:pPr>
        <w:rPr>
          <w:b/>
          <w:szCs w:val="20"/>
          <w:lang w:eastAsia="en-US" w:bidi="en-US"/>
        </w:rPr>
      </w:pPr>
      <w:r w:rsidRPr="00066622">
        <w:rPr>
          <w:b/>
          <w:szCs w:val="20"/>
          <w:lang w:eastAsia="en-US" w:bidi="en-US"/>
        </w:rPr>
        <w:t>Prace wdrożeniowe mają obejmować:</w:t>
      </w:r>
    </w:p>
    <w:p w:rsidR="0062643E" w:rsidRPr="002E21B0" w:rsidRDefault="0062643E" w:rsidP="0062643E">
      <w:pPr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Instalację i konfigurację oprogramowania na serwerze: dostawę licencji i udzielenie licencji na czas nieokreślony, instalację i konfigurację, przygotowanie serwera obejmujące m.in.: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kompleksowe przygotowanie serwera do pracy z systemem portalu internetowego;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konfigurację protokołu IPSEC w środowisku serwerowym;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instalację certyfikatu SSL na serwerze WWW (nie zakłada się dostawy certyfikatu);</w:t>
      </w:r>
    </w:p>
    <w:p w:rsidR="0062643E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opcjonalną konfigurację/rekonfigurację routera.</w:t>
      </w:r>
    </w:p>
    <w:p w:rsidR="0062643E" w:rsidRPr="002E21B0" w:rsidRDefault="0062643E" w:rsidP="0062643E">
      <w:pPr>
        <w:rPr>
          <w:szCs w:val="20"/>
          <w:lang w:eastAsia="en-US" w:bidi="en-US"/>
        </w:rPr>
      </w:pPr>
      <w:r>
        <w:rPr>
          <w:szCs w:val="20"/>
          <w:lang w:eastAsia="en-US" w:bidi="en-US"/>
        </w:rPr>
        <w:t>Jeżeli system wymaga zastosowania oprogramowania Microsoft Windows Server, Wykonawca musi dostarczyć licencj</w:t>
      </w:r>
      <w:r w:rsidR="00785463">
        <w:rPr>
          <w:szCs w:val="20"/>
          <w:lang w:eastAsia="en-US" w:bidi="en-US"/>
        </w:rPr>
        <w:t>ę</w:t>
      </w:r>
      <w:bookmarkStart w:id="0" w:name="_GoBack"/>
      <w:bookmarkEnd w:id="0"/>
      <w:r>
        <w:rPr>
          <w:szCs w:val="20"/>
          <w:lang w:eastAsia="en-US" w:bidi="en-US"/>
        </w:rPr>
        <w:t xml:space="preserve"> Microsoft Windows Server 2019 (24 </w:t>
      </w:r>
      <w:proofErr w:type="spellStart"/>
      <w:r>
        <w:rPr>
          <w:szCs w:val="20"/>
          <w:lang w:eastAsia="en-US" w:bidi="en-US"/>
        </w:rPr>
        <w:t>core</w:t>
      </w:r>
      <w:proofErr w:type="spellEnd"/>
      <w:r>
        <w:rPr>
          <w:szCs w:val="20"/>
          <w:lang w:eastAsia="en-US" w:bidi="en-US"/>
        </w:rPr>
        <w:t>) oraz licencj</w:t>
      </w:r>
      <w:r w:rsidR="00785463">
        <w:rPr>
          <w:szCs w:val="20"/>
          <w:lang w:eastAsia="en-US" w:bidi="en-US"/>
        </w:rPr>
        <w:t>ę</w:t>
      </w:r>
      <w:r>
        <w:rPr>
          <w:szCs w:val="20"/>
          <w:lang w:eastAsia="en-US" w:bidi="en-US"/>
        </w:rPr>
        <w:t xml:space="preserve"> </w:t>
      </w:r>
      <w:r w:rsidRPr="003D3757">
        <w:rPr>
          <w:szCs w:val="20"/>
          <w:lang w:eastAsia="en-US" w:bidi="en-US"/>
        </w:rPr>
        <w:t xml:space="preserve">Windows </w:t>
      </w:r>
      <w:proofErr w:type="spellStart"/>
      <w:r w:rsidRPr="003D3757">
        <w:rPr>
          <w:szCs w:val="20"/>
          <w:lang w:eastAsia="en-US" w:bidi="en-US"/>
        </w:rPr>
        <w:t>External</w:t>
      </w:r>
      <w:proofErr w:type="spellEnd"/>
      <w:r w:rsidRPr="003D3757">
        <w:rPr>
          <w:szCs w:val="20"/>
          <w:lang w:eastAsia="en-US" w:bidi="en-US"/>
        </w:rPr>
        <w:t xml:space="preserve"> Connector 2019</w:t>
      </w:r>
    </w:p>
    <w:p w:rsidR="0062643E" w:rsidRPr="002E21B0" w:rsidRDefault="0062643E" w:rsidP="0062643E">
      <w:pPr>
        <w:rPr>
          <w:szCs w:val="20"/>
          <w:lang w:eastAsia="en-US" w:bidi="en-US"/>
        </w:rPr>
      </w:pPr>
    </w:p>
    <w:p w:rsidR="0062643E" w:rsidRPr="00066622" w:rsidRDefault="0062643E" w:rsidP="0062643E">
      <w:pPr>
        <w:rPr>
          <w:b/>
          <w:szCs w:val="20"/>
          <w:lang w:eastAsia="en-US" w:bidi="en-US"/>
        </w:rPr>
      </w:pPr>
      <w:r w:rsidRPr="00066622">
        <w:rPr>
          <w:b/>
          <w:szCs w:val="20"/>
          <w:lang w:eastAsia="en-US" w:bidi="en-US"/>
        </w:rPr>
        <w:t>Szkolenia użytkowników: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 xml:space="preserve">Zamawiający wskaże osoby, które zostaną przeszkolone. 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Szkolenia będą realizowane w pomieszczeniach i na sprzęcie udostępnionym przez urząd.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Dopuszcza się po uzgodnieniu z Zamawiającym przeprowadzania szkoleń typu e-learning.</w:t>
      </w:r>
    </w:p>
    <w:p w:rsidR="0062643E" w:rsidRPr="002E21B0" w:rsidRDefault="0062643E" w:rsidP="0062643E">
      <w:pPr>
        <w:rPr>
          <w:szCs w:val="20"/>
          <w:lang w:eastAsia="en-US" w:bidi="en-US"/>
        </w:rPr>
      </w:pPr>
    </w:p>
    <w:p w:rsidR="0062643E" w:rsidRPr="00066622" w:rsidRDefault="0062643E" w:rsidP="0062643E">
      <w:pPr>
        <w:rPr>
          <w:b/>
          <w:szCs w:val="20"/>
          <w:lang w:eastAsia="en-US" w:bidi="en-US"/>
        </w:rPr>
      </w:pPr>
      <w:r w:rsidRPr="00066622">
        <w:rPr>
          <w:b/>
          <w:szCs w:val="20"/>
          <w:lang w:eastAsia="en-US" w:bidi="en-US"/>
        </w:rPr>
        <w:t>Gwarancja na system:</w:t>
      </w:r>
    </w:p>
    <w:p w:rsidR="0062643E" w:rsidRPr="002E21B0" w:rsidRDefault="0062643E" w:rsidP="0062643E">
      <w:pPr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Dostarczony portal musi zostać objęty 12 miesięczną gwarancją obejmującą: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lastRenderedPageBreak/>
        <w:t>•</w:t>
      </w:r>
      <w:r w:rsidRPr="002E21B0">
        <w:rPr>
          <w:szCs w:val="20"/>
          <w:lang w:eastAsia="en-US" w:bidi="en-US"/>
        </w:rPr>
        <w:tab/>
        <w:t>Usuwanie błędów i awarii systemów wynikających z winy producenta systemu.</w:t>
      </w:r>
    </w:p>
    <w:p w:rsidR="0062643E" w:rsidRPr="002E21B0" w:rsidRDefault="0062643E" w:rsidP="0062643E">
      <w:pPr>
        <w:ind w:left="460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Udzielanie konsultacji telefonicznych.</w:t>
      </w:r>
    </w:p>
    <w:p w:rsidR="0062643E" w:rsidRPr="002E21B0" w:rsidRDefault="0062643E" w:rsidP="0062643E">
      <w:pPr>
        <w:ind w:left="744" w:hanging="284"/>
        <w:rPr>
          <w:szCs w:val="20"/>
          <w:lang w:eastAsia="en-US" w:bidi="en-US"/>
        </w:rPr>
      </w:pPr>
      <w:r w:rsidRPr="002E21B0">
        <w:rPr>
          <w:szCs w:val="20"/>
          <w:lang w:eastAsia="en-US" w:bidi="en-US"/>
        </w:rPr>
        <w:t>•</w:t>
      </w:r>
      <w:r w:rsidRPr="002E21B0">
        <w:rPr>
          <w:szCs w:val="20"/>
          <w:lang w:eastAsia="en-US" w:bidi="en-US"/>
        </w:rPr>
        <w:tab/>
        <w:t>Dostarczanie aktualnych wersji programów dostosowanych do aktualnie obowiązującego stanu prawnego regulacji ustawowych obowiązujących w Rzeczypospolitej Polskiej, wykorzystywanych lub mających zastosowanie w oprogramowaniu.</w:t>
      </w:r>
    </w:p>
    <w:p w:rsidR="00E6069D" w:rsidRDefault="00E6069D"/>
    <w:sectPr w:rsidR="00E6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76EA"/>
    <w:multiLevelType w:val="hybridMultilevel"/>
    <w:tmpl w:val="0B6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09E"/>
    <w:multiLevelType w:val="hybridMultilevel"/>
    <w:tmpl w:val="0B6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3E"/>
    <w:rsid w:val="0062643E"/>
    <w:rsid w:val="00785463"/>
    <w:rsid w:val="00E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0507"/>
  <w15:chartTrackingRefBased/>
  <w15:docId w15:val="{66289099-700F-483D-916D-96DCAEB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4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Mikulewicz</dc:creator>
  <cp:keywords/>
  <dc:description/>
  <cp:lastModifiedBy>Marta Mikulewicz</cp:lastModifiedBy>
  <cp:revision>2</cp:revision>
  <dcterms:created xsi:type="dcterms:W3CDTF">2021-11-05T13:43:00Z</dcterms:created>
  <dcterms:modified xsi:type="dcterms:W3CDTF">2021-11-08T09:22:00Z</dcterms:modified>
</cp:coreProperties>
</file>