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29C6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9A9587C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0B478CB" w14:textId="77777777" w:rsidR="00322EC2" w:rsidRDefault="00B51226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10</w:t>
      </w:r>
      <w:r w:rsidR="006C4AF7">
        <w:rPr>
          <w:rFonts w:eastAsia="Times New Roman" w:cs="Arial"/>
          <w:lang w:eastAsia="ar-SA"/>
        </w:rPr>
        <w:t>. 06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568AE560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298E87CA" w14:textId="77777777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6C4AF7">
        <w:rPr>
          <w:rFonts w:cs="Arial"/>
          <w:b/>
        </w:rPr>
        <w:t>nr: UKW/DZP-281-U-28</w:t>
      </w:r>
      <w:r w:rsidR="00E975BE">
        <w:rPr>
          <w:rFonts w:cs="Arial"/>
          <w:b/>
        </w:rPr>
        <w:t>/2022</w:t>
      </w:r>
    </w:p>
    <w:p w14:paraId="5BFC2A25" w14:textId="77777777" w:rsidR="00E975BE" w:rsidRPr="00D30B39" w:rsidRDefault="00322EC2" w:rsidP="00E975BE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0"/>
          <w:szCs w:val="20"/>
          <w:lang w:eastAsia="pl-PL"/>
        </w:rPr>
      </w:pPr>
      <w:r w:rsidRPr="00D30B39">
        <w:rPr>
          <w:rFonts w:asciiTheme="minorHAnsi" w:hAnsiTheme="minorHAnsi"/>
          <w:sz w:val="20"/>
          <w:szCs w:val="20"/>
        </w:rPr>
        <w:t xml:space="preserve">           </w:t>
      </w:r>
      <w:r w:rsidRPr="00D30B39">
        <w:rPr>
          <w:rFonts w:asciiTheme="minorHAnsi" w:hAnsiTheme="minorHAnsi"/>
          <w:color w:val="auto"/>
          <w:sz w:val="20"/>
          <w:szCs w:val="20"/>
        </w:rPr>
        <w:t xml:space="preserve">Działając na podstawie art. 135 ust. 2 ustawy Prawo zamówień publicznych  </w:t>
      </w:r>
      <w:r w:rsidRPr="00D30B39">
        <w:rPr>
          <w:rFonts w:asciiTheme="minorHAnsi" w:hAnsiTheme="minorHAnsi"/>
          <w:bCs/>
          <w:color w:val="auto"/>
          <w:sz w:val="20"/>
          <w:szCs w:val="20"/>
          <w:shd w:val="clear" w:color="auto" w:fill="FFFFFF"/>
        </w:rPr>
        <w:t>z dnia 11 września 2019 r. (tj.</w:t>
      </w:r>
      <w:r w:rsidRPr="00D30B39">
        <w:rPr>
          <w:rFonts w:asciiTheme="minorHAnsi" w:eastAsia="Calibri" w:hAnsiTheme="minorHAnsi" w:cs="Times New Roman"/>
          <w:bCs/>
          <w:color w:val="auto"/>
          <w:sz w:val="20"/>
          <w:szCs w:val="20"/>
          <w:shd w:val="clear" w:color="auto" w:fill="FFFFFF"/>
        </w:rPr>
        <w:t xml:space="preserve"> z dnia 18 maja 2021 r. Dz. U. z 2021 r</w:t>
      </w:r>
      <w:r w:rsidRPr="00D30B39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shd w:val="clear" w:color="auto" w:fill="FFFFFF"/>
        </w:rPr>
        <w:t>.)</w:t>
      </w:r>
      <w:r w:rsidRPr="00D30B39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u w:val="single"/>
          <w:shd w:val="clear" w:color="auto" w:fill="F0F0F0"/>
        </w:rPr>
        <w:t xml:space="preserve"> </w:t>
      </w:r>
      <w:r w:rsidRPr="00D30B39">
        <w:rPr>
          <w:rFonts w:asciiTheme="minorHAnsi" w:hAnsiTheme="minorHAnsi"/>
          <w:color w:val="auto"/>
          <w:sz w:val="20"/>
          <w:szCs w:val="20"/>
        </w:rPr>
        <w:t>Zamawia</w:t>
      </w:r>
      <w:r w:rsidR="00E975BE" w:rsidRPr="00D30B39">
        <w:rPr>
          <w:rFonts w:asciiTheme="minorHAnsi" w:hAnsiTheme="minorHAnsi"/>
          <w:color w:val="auto"/>
          <w:sz w:val="20"/>
          <w:szCs w:val="20"/>
        </w:rPr>
        <w:t>jący odpowiada na pytania</w:t>
      </w:r>
      <w:r w:rsidRPr="00D30B39">
        <w:rPr>
          <w:rFonts w:asciiTheme="minorHAnsi" w:hAnsiTheme="minorHAnsi"/>
          <w:color w:val="auto"/>
          <w:sz w:val="20"/>
          <w:szCs w:val="20"/>
        </w:rPr>
        <w:t xml:space="preserve"> zadane przez Wykonawców w postępowaniu o udzielenie zamówienia publicznego</w:t>
      </w:r>
      <w:r w:rsidR="00E975BE" w:rsidRPr="00D30B39">
        <w:rPr>
          <w:rFonts w:asciiTheme="minorHAnsi" w:hAnsiTheme="minorHAnsi"/>
          <w:color w:val="auto"/>
          <w:sz w:val="20"/>
          <w:szCs w:val="20"/>
        </w:rPr>
        <w:t xml:space="preserve"> na:</w:t>
      </w:r>
      <w:r w:rsidRPr="00D30B3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975BE" w:rsidRPr="00D30B39">
        <w:rPr>
          <w:rFonts w:asciiTheme="minorHAnsi" w:eastAsia="Times New Roman" w:hAnsiTheme="minorHAnsi" w:cs="Helvetica"/>
          <w:b/>
          <w:i/>
          <w:color w:val="auto"/>
          <w:sz w:val="20"/>
          <w:szCs w:val="20"/>
          <w:lang w:eastAsia="pl-PL"/>
        </w:rPr>
        <w:t>Usługę zaprojektowania, wykonania i utrzymania systemu informatycznego w ramach projektu współfinansowanego z UE „Stawiamy na rozwój UKW” .</w:t>
      </w:r>
    </w:p>
    <w:p w14:paraId="73E9BE81" w14:textId="77777777" w:rsidR="00B9011D" w:rsidRPr="00D30B39" w:rsidRDefault="00B9011D" w:rsidP="00E975BE">
      <w:pPr>
        <w:spacing w:before="120" w:after="120" w:line="262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693E5EBC" w14:textId="77777777" w:rsidR="00935DC1" w:rsidRPr="00D30B39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sz w:val="20"/>
          <w:szCs w:val="20"/>
          <w:lang w:val="pl-PL" w:eastAsia="pl-PL"/>
        </w:rPr>
      </w:pPr>
    </w:p>
    <w:p w14:paraId="18C54683" w14:textId="77777777" w:rsidR="006C4AF7" w:rsidRPr="00D30B39" w:rsidRDefault="006C4AF7" w:rsidP="006C4AF7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632EDEDD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Wsparcie powinno obejmować szeroki zakres, w którym można wskazać następujące obszary funkcjonalności: </w:t>
      </w:r>
    </w:p>
    <w:p w14:paraId="1828A4DF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[…]</w:t>
      </w:r>
    </w:p>
    <w:p w14:paraId="6A49B7A8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implementacja i integracja z aplikacjami i usługami firm trzecich, niezbędnymi do realizacji prac programistycznych: wspierającymi pracę grupową, repozytorium kodu, serwery popularnych protokołów sieciowych dla usług w Internecie Rzeczy,   </w:t>
      </w:r>
    </w:p>
    <w:p w14:paraId="29178E29" w14:textId="77777777" w:rsidR="006C4AF7" w:rsidRPr="00D30B39" w:rsidRDefault="006C4AF7" w:rsidP="006C4AF7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Prosimy o doprecyzowanie/uporządkowanie zagadnień odnoszących się do „Integracji” w kontekście zamawianych systemów. W związku z powyższym, prosimy o: </w:t>
      </w:r>
    </w:p>
    <w:p w14:paraId="07B5847A" w14:textId="77777777" w:rsidR="006C4AF7" w:rsidRPr="00D30B39" w:rsidRDefault="006C4AF7" w:rsidP="006C4AF7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przedstawienie enumeratywnej listy systemów, z jakimi ma się integrować zamawiane oprogramowanie,</w:t>
      </w:r>
    </w:p>
    <w:p w14:paraId="59A7FE08" w14:textId="77777777" w:rsidR="006C4AF7" w:rsidRPr="00D30B39" w:rsidRDefault="006C4AF7" w:rsidP="006C4AF7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przedstawienie zakresu integracji zamawianych systemów z systemami firm trzecich,</w:t>
      </w:r>
    </w:p>
    <w:p w14:paraId="1CC95E36" w14:textId="77777777" w:rsidR="006C4AF7" w:rsidRPr="00D30B39" w:rsidRDefault="006C4AF7" w:rsidP="006C4AF7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przedstawienie informacji na temat bazy danych (nazwa, producent) na jakiej pracują obecnie wykorzystywane systemy u Zamawiającego,</w:t>
      </w:r>
    </w:p>
    <w:p w14:paraId="74300745" w14:textId="77777777" w:rsidR="006C4AF7" w:rsidRPr="00D30B39" w:rsidRDefault="006C4AF7" w:rsidP="006C4AF7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przedstawienie technologii integracji udostępnianej przez integrowane systemy, ewentualnie prosimy o wymienienie preferowanych technologii integracji (np. webservice, pliki płaskie, procedury składowane w bazie danych),</w:t>
      </w:r>
    </w:p>
    <w:p w14:paraId="7193D11C" w14:textId="77777777" w:rsidR="006C4AF7" w:rsidRPr="00D30B39" w:rsidRDefault="006C4AF7" w:rsidP="006C4AF7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przedstawienie sposobu komunikacji integrowanych systemów: zdolność komunikacji, sposób komunikacji, opis transakcji, konstrukcja pliku komunikatu transakcji, opisane widoki baz danych, procedury składowe i inne informacje, które są konieczne do przeprowadzenia integracji,</w:t>
      </w:r>
    </w:p>
    <w:p w14:paraId="4ECA0081" w14:textId="77777777" w:rsidR="006C4AF7" w:rsidRPr="00D30B39" w:rsidRDefault="006C4AF7" w:rsidP="006C4AF7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  <w:lang w:val="pl-PL"/>
        </w:rPr>
        <w:t xml:space="preserve">określenie kierunków przepływu/wymiany danych [np.  </w:t>
      </w:r>
      <w:r w:rsidRPr="00D30B39">
        <w:rPr>
          <w:rFonts w:cs="Tahoma"/>
          <w:sz w:val="20"/>
          <w:szCs w:val="20"/>
        </w:rPr>
        <w:t>dwukierunkowa integracja],</w:t>
      </w:r>
    </w:p>
    <w:p w14:paraId="36822CE8" w14:textId="77777777" w:rsidR="006C4AF7" w:rsidRPr="00D30B39" w:rsidRDefault="006C4AF7" w:rsidP="006C4AF7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przedstawienie dokumentacji i specyfikacji technicznej interfejsów (API),</w:t>
      </w:r>
    </w:p>
    <w:p w14:paraId="3B01842B" w14:textId="77777777" w:rsidR="006C4AF7" w:rsidRPr="00D30B39" w:rsidRDefault="006C4AF7" w:rsidP="006C4AF7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określenie protokołów wymiany danych wraz ze wskazaniem wszystkich technicznych informacji umożliwiających wykonanie integracji,</w:t>
      </w:r>
    </w:p>
    <w:p w14:paraId="44382ED3" w14:textId="77777777" w:rsidR="006C4AF7" w:rsidRPr="00D30B39" w:rsidRDefault="006C4AF7" w:rsidP="006C4AF7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przedstawienie zakresu czynności jakie ma zrealizować Wykonawca, aby można było uznać, że spełnił on wymagania w zakresie integracji.</w:t>
      </w:r>
    </w:p>
    <w:p w14:paraId="3A694040" w14:textId="77777777" w:rsidR="006C4AF7" w:rsidRPr="00D30B39" w:rsidRDefault="006C4AF7" w:rsidP="006C4AF7">
      <w:pPr>
        <w:rPr>
          <w:rFonts w:cs="Tahoma"/>
          <w:sz w:val="20"/>
          <w:szCs w:val="20"/>
        </w:rPr>
      </w:pPr>
    </w:p>
    <w:p w14:paraId="72D2AACB" w14:textId="77777777" w:rsidR="00E975BE" w:rsidRPr="00D30B39" w:rsidRDefault="00E975BE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14:paraId="16EF1BE5" w14:textId="77777777" w:rsidR="00B9011D" w:rsidRPr="00D30B39" w:rsidRDefault="00BC651F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D30B39">
        <w:rPr>
          <w:rFonts w:cs="Tahoma"/>
          <w:b/>
          <w:sz w:val="20"/>
          <w:szCs w:val="20"/>
        </w:rPr>
        <w:t>Odp</w:t>
      </w:r>
      <w:r w:rsidR="003C0478" w:rsidRPr="00D30B39">
        <w:rPr>
          <w:rFonts w:cs="Tahoma"/>
          <w:b/>
          <w:sz w:val="20"/>
          <w:szCs w:val="20"/>
        </w:rPr>
        <w:t>owiedź</w:t>
      </w:r>
      <w:r w:rsidR="00935DC1" w:rsidRPr="00D30B39">
        <w:rPr>
          <w:rFonts w:cs="Tahoma"/>
          <w:b/>
          <w:sz w:val="20"/>
          <w:szCs w:val="20"/>
        </w:rPr>
        <w:t>:</w:t>
      </w:r>
    </w:p>
    <w:p w14:paraId="6E0DD444" w14:textId="77777777" w:rsidR="00F6370F" w:rsidRPr="00D30B39" w:rsidRDefault="00E975BE" w:rsidP="006C4AF7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Cs w:val="20"/>
          <w:shd w:val="clear" w:color="auto" w:fill="FFFFFF"/>
        </w:rPr>
      </w:pPr>
      <w:r w:rsidRPr="00D30B39">
        <w:rPr>
          <w:rFonts w:asciiTheme="minorHAnsi" w:hAnsiTheme="minorHAnsi" w:cs="Courier New"/>
          <w:szCs w:val="20"/>
          <w:shd w:val="clear" w:color="auto" w:fill="FFFFFF"/>
        </w:rPr>
        <w:t xml:space="preserve">Zamawiający informuje, że </w:t>
      </w:r>
      <w:r w:rsidR="00B51226" w:rsidRPr="00D30B39">
        <w:rPr>
          <w:rFonts w:asciiTheme="minorHAnsi" w:hAnsiTheme="minorHAnsi" w:cs="Courier New"/>
          <w:szCs w:val="20"/>
          <w:shd w:val="clear" w:color="auto" w:fill="FFFFFF"/>
        </w:rPr>
        <w:t>zmodyfikował opis przedmiotu zamówienia i umieścił zmodyfikowany plik w dniu dzisiejszym na stronie postępowania.</w:t>
      </w:r>
    </w:p>
    <w:p w14:paraId="239517C3" w14:textId="77777777" w:rsidR="00F6370F" w:rsidRPr="00D30B39" w:rsidRDefault="00F6370F" w:rsidP="00F6370F">
      <w:pPr>
        <w:spacing w:before="120" w:after="120"/>
        <w:contextualSpacing/>
        <w:jc w:val="both"/>
        <w:rPr>
          <w:rFonts w:cs="Helvetica"/>
          <w:sz w:val="20"/>
          <w:szCs w:val="20"/>
          <w:shd w:val="clear" w:color="auto" w:fill="FFFFFF"/>
        </w:rPr>
      </w:pPr>
    </w:p>
    <w:p w14:paraId="29BD4C6A" w14:textId="77777777" w:rsidR="006C4AF7" w:rsidRPr="00D30B39" w:rsidRDefault="006C4AF7" w:rsidP="00F6370F">
      <w:pPr>
        <w:spacing w:before="120" w:after="120"/>
        <w:contextualSpacing/>
        <w:jc w:val="both"/>
        <w:rPr>
          <w:rFonts w:cs="Helvetica"/>
          <w:b/>
          <w:sz w:val="20"/>
          <w:szCs w:val="20"/>
          <w:shd w:val="clear" w:color="auto" w:fill="FFFFFF"/>
        </w:rPr>
      </w:pPr>
      <w:r w:rsidRPr="00D30B39">
        <w:rPr>
          <w:rFonts w:cs="Helvetica"/>
          <w:b/>
          <w:sz w:val="20"/>
          <w:szCs w:val="20"/>
          <w:shd w:val="clear" w:color="auto" w:fill="FFFFFF"/>
        </w:rPr>
        <w:t>Pytanie nr 2:</w:t>
      </w:r>
    </w:p>
    <w:p w14:paraId="5E29374D" w14:textId="77777777" w:rsidR="006C4AF7" w:rsidRPr="00D30B39" w:rsidRDefault="006C4AF7" w:rsidP="006C4AF7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6E3B7909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bookmarkStart w:id="0" w:name="_Hlk94511862"/>
      <w:r w:rsidRPr="00D30B39">
        <w:rPr>
          <w:rFonts w:cs="Tahoma"/>
          <w:i/>
          <w:iCs/>
          <w:sz w:val="20"/>
          <w:szCs w:val="20"/>
        </w:rPr>
        <w:t>Wymagania ogólne</w:t>
      </w:r>
    </w:p>
    <w:p w14:paraId="7A9F35F8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[…]</w:t>
      </w:r>
    </w:p>
    <w:p w14:paraId="48E653EB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bookmarkStart w:id="1" w:name="_Hlk94511890"/>
      <w:bookmarkEnd w:id="0"/>
      <w:r w:rsidRPr="00D30B39">
        <w:rPr>
          <w:rFonts w:cs="Tahoma"/>
          <w:i/>
          <w:iCs/>
          <w:sz w:val="20"/>
          <w:szCs w:val="20"/>
        </w:rPr>
        <w:t>System będzie działać w oparciu o serwer WWW IIS oraz bazę danych Microsoft SQL Server; dostęp do systemu odbywać się będzie poprzez przeglądarkę internetową, zarówno dla studentów jak i administratorów systemu, a część funkcji prezentacyjnych dostępna będzie w aplikacji mobilnej. System zrealizowany jest w oparciu o technologię WWW ASP.NET firmy Microsoft. Student komunikować się będzie z systemem za pomocą przeglądarki internetowej.   </w:t>
      </w:r>
    </w:p>
    <w:bookmarkEnd w:id="1"/>
    <w:p w14:paraId="472E3CB5" w14:textId="77777777" w:rsidR="006C4AF7" w:rsidRPr="00D30B39" w:rsidRDefault="006C4AF7" w:rsidP="006C4AF7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Prosimy o wyjaśnienie, jaki zakres funkcji prezentacyjnych ma być dostępny w aplikacji mobilnej.</w:t>
      </w:r>
    </w:p>
    <w:p w14:paraId="53DBB987" w14:textId="77777777" w:rsidR="006C4AF7" w:rsidRPr="00D30B39" w:rsidRDefault="006C4AF7" w:rsidP="006C4AF7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D30B39">
        <w:rPr>
          <w:rFonts w:cs="Tahoma"/>
          <w:b/>
          <w:sz w:val="20"/>
          <w:szCs w:val="20"/>
        </w:rPr>
        <w:t>Odpowiedź:</w:t>
      </w:r>
    </w:p>
    <w:p w14:paraId="2F695EB7" w14:textId="77777777" w:rsidR="00B51226" w:rsidRPr="00D30B39" w:rsidRDefault="00B51226" w:rsidP="00B51226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Cs w:val="20"/>
          <w:shd w:val="clear" w:color="auto" w:fill="FFFFFF"/>
        </w:rPr>
      </w:pPr>
      <w:r w:rsidRPr="00D30B39">
        <w:rPr>
          <w:rFonts w:asciiTheme="minorHAnsi" w:hAnsiTheme="minorHAnsi" w:cs="Courier New"/>
          <w:szCs w:val="20"/>
          <w:shd w:val="clear" w:color="auto" w:fill="FFFFFF"/>
        </w:rPr>
        <w:t>Zamawiający informuje, że zmodyfikował opis przedmiotu zamówienia i umieścił zmodyfikowany plik w dniu dzisiejszym na stronie postępowania.</w:t>
      </w:r>
    </w:p>
    <w:p w14:paraId="786350D1" w14:textId="77777777" w:rsidR="00B51226" w:rsidRPr="00D30B39" w:rsidRDefault="00B51226" w:rsidP="006C4AF7">
      <w:pPr>
        <w:spacing w:before="120" w:after="120"/>
        <w:contextualSpacing/>
        <w:jc w:val="both"/>
        <w:rPr>
          <w:rFonts w:cs="Helvetica"/>
          <w:b/>
          <w:sz w:val="20"/>
          <w:szCs w:val="20"/>
          <w:shd w:val="clear" w:color="auto" w:fill="FFFFFF"/>
        </w:rPr>
      </w:pPr>
    </w:p>
    <w:p w14:paraId="152066ED" w14:textId="77777777" w:rsidR="006C4AF7" w:rsidRPr="00D30B39" w:rsidRDefault="006C4AF7" w:rsidP="006C4AF7">
      <w:pPr>
        <w:spacing w:after="160" w:line="259" w:lineRule="auto"/>
        <w:rPr>
          <w:rFonts w:cs="Tahoma"/>
          <w:b/>
          <w:sz w:val="20"/>
          <w:szCs w:val="20"/>
        </w:rPr>
      </w:pPr>
      <w:r w:rsidRPr="00D30B39">
        <w:rPr>
          <w:rFonts w:cs="Tahoma"/>
          <w:b/>
          <w:sz w:val="20"/>
          <w:szCs w:val="20"/>
        </w:rPr>
        <w:t>Pytanie nr 3:</w:t>
      </w:r>
    </w:p>
    <w:p w14:paraId="17195576" w14:textId="77777777" w:rsidR="006C4AF7" w:rsidRPr="00D30B39" w:rsidRDefault="006C4AF7" w:rsidP="006C4AF7">
      <w:pPr>
        <w:spacing w:after="160" w:line="259" w:lineRule="auto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SWZ z dnia 02.06.2022, Projekt umowy z dnia 02.06.2022</w:t>
      </w:r>
    </w:p>
    <w:p w14:paraId="41F04EA8" w14:textId="77777777" w:rsidR="006C4AF7" w:rsidRPr="00D30B39" w:rsidRDefault="006C4AF7" w:rsidP="006C4AF7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3B06651D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SWZ z dnia</w:t>
      </w:r>
      <w:r w:rsidRPr="00D30B39">
        <w:rPr>
          <w:rFonts w:cs="Tahoma"/>
          <w:sz w:val="20"/>
          <w:szCs w:val="20"/>
        </w:rPr>
        <w:t xml:space="preserve"> 01.02.2022</w:t>
      </w:r>
    </w:p>
    <w:p w14:paraId="7F61DA74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2 Zamawiający wymaga udzielenia gwarancji na rozbudowany system na okres: 36 miesięcy od daty odbioru końcowego. Szczegółowe warunki świadczenia serwisu gwarancyjnego określa Załącznik nr 5 do SWZ – Wzór umowy.</w:t>
      </w:r>
    </w:p>
    <w:p w14:paraId="68069AEF" w14:textId="77777777" w:rsidR="006C4AF7" w:rsidRPr="00D30B39" w:rsidRDefault="006C4AF7" w:rsidP="006C4AF7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Dalej określa, że przedłużenie gwarancji będzie stanowiło kryterium oceny ofert:</w:t>
      </w:r>
    </w:p>
    <w:p w14:paraId="6072BA55" w14:textId="77777777" w:rsidR="006C4AF7" w:rsidRPr="00D30B39" w:rsidRDefault="006C4AF7" w:rsidP="006C4AF7">
      <w:pPr>
        <w:rPr>
          <w:rFonts w:cs="Tahoma"/>
          <w:sz w:val="20"/>
          <w:szCs w:val="20"/>
        </w:rPr>
      </w:pPr>
    </w:p>
    <w:p w14:paraId="2C634438" w14:textId="77777777" w:rsidR="006C4AF7" w:rsidRPr="00D30B39" w:rsidRDefault="006C4AF7" w:rsidP="006C4AF7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Gwarancja stanowi kryterium oceny ofert:</w:t>
      </w:r>
    </w:p>
    <w:p w14:paraId="773CDD0D" w14:textId="77777777" w:rsidR="006C4AF7" w:rsidRPr="00D30B39" w:rsidRDefault="006C4AF7" w:rsidP="006C4A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sz w:val="20"/>
          <w:szCs w:val="20"/>
        </w:rPr>
      </w:pPr>
    </w:p>
    <w:p w14:paraId="74F92B37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4.</w:t>
      </w:r>
      <w:r w:rsidRPr="00D30B39">
        <w:rPr>
          <w:rFonts w:cs="Tahoma"/>
          <w:i/>
          <w:iCs/>
          <w:sz w:val="20"/>
          <w:szCs w:val="20"/>
        </w:rPr>
        <w:tab/>
        <w:t xml:space="preserve"> Zasady oceny ofert w kryterium  Przedłużenie gwarancji (G) –waga 20%.</w:t>
      </w:r>
    </w:p>
    <w:p w14:paraId="15FBC19D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1)</w:t>
      </w:r>
      <w:r w:rsidRPr="00D30B39">
        <w:rPr>
          <w:rFonts w:cs="Tahoma"/>
          <w:i/>
          <w:iCs/>
          <w:sz w:val="20"/>
          <w:szCs w:val="20"/>
        </w:rPr>
        <w:tab/>
        <w:t xml:space="preserve">Zamawiający  będzie przyznawał punkty w następujący sposób: </w:t>
      </w:r>
    </w:p>
    <w:p w14:paraId="763F5569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2)</w:t>
      </w:r>
      <w:r w:rsidRPr="00D30B39">
        <w:rPr>
          <w:rFonts w:cs="Tahoma"/>
          <w:i/>
          <w:iCs/>
          <w:sz w:val="20"/>
          <w:szCs w:val="20"/>
        </w:rPr>
        <w:tab/>
        <w:t>W ramach kryterium okres gwarancji i rękojmi za wady:</w:t>
      </w:r>
    </w:p>
    <w:p w14:paraId="76BC91E1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lastRenderedPageBreak/>
        <w:t xml:space="preserve">a) maksymalna ilość możliwych do uzyskania punktów:  P2 - 20 pkt.; </w:t>
      </w:r>
    </w:p>
    <w:p w14:paraId="3B3564F1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b) Wykonawca, który w ofercie zobowiąże się do udzielenia przedłużenia gwarancji jakości na okres:</w:t>
      </w:r>
    </w:p>
    <w:p w14:paraId="0A6E434D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- 3 lat otrzyma 5 pkt.;</w:t>
      </w:r>
    </w:p>
    <w:p w14:paraId="43189AF8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- 4 lat otrzyma 10 pkt.;</w:t>
      </w:r>
    </w:p>
    <w:p w14:paraId="21FDE633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- 5 lat otrzyma 20 pkt.;</w:t>
      </w:r>
    </w:p>
    <w:p w14:paraId="2474FEA8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Uwaga:</w:t>
      </w:r>
    </w:p>
    <w:p w14:paraId="375A3B7D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Dodatkowe punkty zostaną przyznane wyłącznie Wykonawcom, którzy w ofercie zobowiązali się do udzielenia gwarancji i rękojmi za wady na okres odpowiednio 3, 4 lub 5 lat. Oferta z gwarancją i rękojmią za wady udzieloną na okres dłuższy niż 5 lat, otrzyma również maksymalną ilość punktów możliwych do uzyskania w tym kryterium. W przypadku nie określenia przez Wykonawcę w ofercie okresu gwarancji, dla potrzeb oceny oferty zostanie przyjęty okres wymagany, tj.: 3 lata</w:t>
      </w:r>
    </w:p>
    <w:p w14:paraId="1BA8F6B1" w14:textId="77777777" w:rsidR="006C4AF7" w:rsidRPr="00D30B39" w:rsidRDefault="006C4AF7" w:rsidP="006C4AF7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Jednocześnie w treści umowy pojawia się zagadnienie serwisu pogwarancyjnego, który ma być świadczony w wymiarze kolejnych 24 miesięcy.</w:t>
      </w:r>
    </w:p>
    <w:p w14:paraId="3C0C9455" w14:textId="77777777" w:rsidR="006C4AF7" w:rsidRPr="00D30B39" w:rsidRDefault="006C4AF7" w:rsidP="006C4AF7">
      <w:pPr>
        <w:ind w:left="708"/>
        <w:rPr>
          <w:rFonts w:cs="Tahoma"/>
          <w:i/>
          <w:iCs/>
          <w:sz w:val="20"/>
          <w:szCs w:val="20"/>
        </w:rPr>
      </w:pPr>
      <w:bookmarkStart w:id="2" w:name="_Toc313028627"/>
      <w:bookmarkStart w:id="3" w:name="_Toc313028835"/>
      <w:bookmarkStart w:id="4" w:name="_Toc313029272"/>
      <w:r w:rsidRPr="00D30B39">
        <w:rPr>
          <w:rFonts w:cs="Tahoma"/>
          <w:i/>
          <w:iCs/>
          <w:sz w:val="20"/>
          <w:szCs w:val="20"/>
        </w:rPr>
        <w:t>§ 8.</w:t>
      </w:r>
      <w:r w:rsidRPr="00D30B39">
        <w:rPr>
          <w:rFonts w:cs="Tahoma"/>
          <w:i/>
          <w:iCs/>
          <w:sz w:val="20"/>
          <w:szCs w:val="20"/>
        </w:rPr>
        <w:br/>
      </w:r>
      <w:bookmarkEnd w:id="2"/>
      <w:bookmarkEnd w:id="3"/>
      <w:bookmarkEnd w:id="4"/>
      <w:r w:rsidRPr="00D30B39">
        <w:rPr>
          <w:rFonts w:cs="Tahoma"/>
          <w:i/>
          <w:iCs/>
          <w:sz w:val="20"/>
          <w:szCs w:val="20"/>
        </w:rPr>
        <w:t>Wynagrodzenie oraz warunki płatności</w:t>
      </w:r>
    </w:p>
    <w:p w14:paraId="49A344EA" w14:textId="77777777" w:rsidR="006C4AF7" w:rsidRPr="00D30B39" w:rsidRDefault="006C4AF7" w:rsidP="006C4AF7">
      <w:pPr>
        <w:spacing w:before="240"/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3.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Wynagrodzenie Wykonawcy, o którym mowa w ust. 1, nie obejmuje usługi Wsparcia technicznego pogwarancyjnego. Wynagrodzenie za świadczenia Wsparcia technicznego pogwarancyjnego, o którym mowa w § 2 ust. 2 pkt 7, płatne będzie w cyklach kwartalnych, łącznie w wysokości ………….. zł netto plus należny podatek VAT (....%) tj. ………… zł, razem wartość brutto: ………….. zł (słownie: ........................................) </w:t>
      </w:r>
      <w:r w:rsidRPr="00D30B39">
        <w:rPr>
          <w:rFonts w:cs="Tahoma"/>
          <w:b/>
          <w:i/>
          <w:iCs/>
          <w:sz w:val="20"/>
          <w:szCs w:val="20"/>
          <w:lang w:eastAsia="pl-PL"/>
        </w:rPr>
        <w:t>za 24 miesiące obowiązywania, począwszy od daty zakończenia Wsparcia technicznego gwarancyjnego.</w:t>
      </w:r>
    </w:p>
    <w:p w14:paraId="17979C27" w14:textId="77777777" w:rsidR="006C4AF7" w:rsidRPr="00D30B39" w:rsidRDefault="006C4AF7" w:rsidP="006C4AF7">
      <w:pPr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sz w:val="20"/>
          <w:szCs w:val="20"/>
        </w:rPr>
        <w:t xml:space="preserve">Powyższy zapis odwołuje się do 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>§ 2 ust. 2 pkt 7 niniejszej umowy – ale w przedstawionym w ramach postępowania dokumencie – zarówno punkt 2 ani ustęp 7 nie został wskazany:</w:t>
      </w:r>
    </w:p>
    <w:p w14:paraId="2E4E4129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§ 2.</w:t>
      </w:r>
    </w:p>
    <w:p w14:paraId="0B269631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Przedmiot Umowy</w:t>
      </w:r>
    </w:p>
    <w:p w14:paraId="625C9689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1.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Przedmiotem umowy jest usługa polegająca na zaprojektowaniu i utrzymaniu systemu informatycznego mającego na celu wsparcie  procesu dydaktycznego na kierunkach ścisłych, gdzie istotnym składnikiem jest realizacja projektów programistycznych indywidualnych i zespołowych wraz z wdrożeniem i utrzymaniem Systemu we wskazanym zakresie funkcjonalnym. </w:t>
      </w:r>
    </w:p>
    <w:p w14:paraId="15080394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2.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Przedmiot Umowy obejmuje w szczególności: </w:t>
      </w:r>
    </w:p>
    <w:p w14:paraId="6F7DF744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1)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>Zaprojektowanie systemu:</w:t>
      </w:r>
    </w:p>
    <w:p w14:paraId="4E83D5E0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a)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>Moduł projektów zespołowych</w:t>
      </w:r>
    </w:p>
    <w:p w14:paraId="32B0DB0D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b)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Moduł wsparcia dydaktyki: </w:t>
      </w:r>
    </w:p>
    <w:p w14:paraId="45D0520C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c)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Moduł repozytorium materiałów dydaktycznych: </w:t>
      </w:r>
    </w:p>
    <w:p w14:paraId="63E86568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lastRenderedPageBreak/>
        <w:t>d)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Moduł praktyk studenckich: </w:t>
      </w:r>
    </w:p>
    <w:p w14:paraId="658738D2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e)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Moduł kont studentów: </w:t>
      </w:r>
    </w:p>
    <w:p w14:paraId="0F9BBBAA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f)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Moduł autoprezentacji: </w:t>
      </w:r>
    </w:p>
    <w:p w14:paraId="647B2765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g)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Zewnętrzne interfejsy sprzętowe do API systemu: </w:t>
      </w:r>
    </w:p>
    <w:p w14:paraId="63A34833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h)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Oprogramowanie firm trzecich i licencje: </w:t>
      </w:r>
    </w:p>
    <w:p w14:paraId="0A15A5B2" w14:textId="77777777" w:rsidR="006C4AF7" w:rsidRPr="00D30B39" w:rsidRDefault="006C4AF7" w:rsidP="006C4AF7">
      <w:pPr>
        <w:ind w:left="708"/>
        <w:rPr>
          <w:rFonts w:cs="Tahoma"/>
          <w:bCs/>
          <w:i/>
          <w:iCs/>
          <w:sz w:val="20"/>
          <w:szCs w:val="20"/>
          <w:lang w:eastAsia="pl-PL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i)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 xml:space="preserve">Moduł realizacji konkursów  </w:t>
      </w:r>
    </w:p>
    <w:p w14:paraId="7B8256FB" w14:textId="77777777" w:rsidR="006C4AF7" w:rsidRPr="00D30B39" w:rsidRDefault="006C4AF7" w:rsidP="006C4AF7">
      <w:pPr>
        <w:ind w:left="708"/>
        <w:rPr>
          <w:rFonts w:cs="Tahoma"/>
          <w:sz w:val="20"/>
          <w:szCs w:val="20"/>
        </w:rPr>
      </w:pPr>
      <w:r w:rsidRPr="00D30B39">
        <w:rPr>
          <w:rFonts w:cs="Tahoma"/>
          <w:bCs/>
          <w:i/>
          <w:iCs/>
          <w:sz w:val="20"/>
          <w:szCs w:val="20"/>
          <w:lang w:eastAsia="pl-PL"/>
        </w:rPr>
        <w:t>3.</w:t>
      </w:r>
      <w:r w:rsidRPr="00D30B39">
        <w:rPr>
          <w:rFonts w:cs="Tahoma"/>
          <w:bCs/>
          <w:i/>
          <w:iCs/>
          <w:sz w:val="20"/>
          <w:szCs w:val="20"/>
          <w:lang w:eastAsia="pl-PL"/>
        </w:rPr>
        <w:tab/>
        <w:t>Szczegółowy opis Przedmiotu Umowy, w tym funkcjonalności jakie powinien posiadać System określają: OPZ - Załącznik nr 1  do Umowy.</w:t>
      </w:r>
    </w:p>
    <w:p w14:paraId="524FD9A9" w14:textId="77777777" w:rsidR="006C4AF7" w:rsidRPr="00D30B39" w:rsidRDefault="006C4AF7" w:rsidP="006C4AF7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Wobec powyższego wskazany serwis pogwarancyjny wydaje się nadmiarowy i dodany w drodze omyłki pisarskiej. Prosimy o </w:t>
      </w:r>
      <w:proofErr w:type="spellStart"/>
      <w:r w:rsidRPr="00D30B39">
        <w:rPr>
          <w:rFonts w:cs="Tahoma"/>
          <w:sz w:val="20"/>
          <w:szCs w:val="20"/>
        </w:rPr>
        <w:t>uspójnienie</w:t>
      </w:r>
      <w:proofErr w:type="spellEnd"/>
      <w:r w:rsidRPr="00D30B39">
        <w:rPr>
          <w:rFonts w:cs="Tahoma"/>
          <w:sz w:val="20"/>
          <w:szCs w:val="20"/>
        </w:rPr>
        <w:t xml:space="preserve"> dokumentacji i usunięcie zapisów dotyczących serwisu pogwarancyjnego z treści umowy.</w:t>
      </w:r>
    </w:p>
    <w:p w14:paraId="5C5E199C" w14:textId="77777777" w:rsidR="006C4AF7" w:rsidRPr="00D30B39" w:rsidRDefault="00E103EF" w:rsidP="006C4AF7">
      <w:pPr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Odpowiedź:</w:t>
      </w:r>
    </w:p>
    <w:p w14:paraId="2109611F" w14:textId="77777777" w:rsidR="00E103EF" w:rsidRPr="00D30B39" w:rsidRDefault="00E103EF" w:rsidP="00E103EF">
      <w:pPr>
        <w:spacing w:after="0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Zamawiający informuje, iż w SWZ </w:t>
      </w:r>
      <w:r w:rsidRPr="00D30B39">
        <w:rPr>
          <w:rFonts w:cs="Tahoma"/>
          <w:b/>
          <w:sz w:val="20"/>
          <w:szCs w:val="20"/>
          <w:u w:val="single"/>
        </w:rPr>
        <w:t xml:space="preserve">nie ma takiego kryterium pozacenowego jak </w:t>
      </w:r>
      <w:r w:rsidRPr="00D30B39">
        <w:rPr>
          <w:rFonts w:cs="Tahoma"/>
          <w:sz w:val="20"/>
          <w:szCs w:val="20"/>
        </w:rPr>
        <w:t xml:space="preserve">: </w:t>
      </w:r>
      <w:r w:rsidRPr="00D30B39">
        <w:rPr>
          <w:rFonts w:cs="Tahoma"/>
          <w:i/>
          <w:iCs/>
          <w:sz w:val="20"/>
          <w:szCs w:val="20"/>
        </w:rPr>
        <w:t xml:space="preserve">Przedłużenie gwarancji (G) –waga 20%. </w:t>
      </w:r>
    </w:p>
    <w:p w14:paraId="7FDFA7DE" w14:textId="77777777" w:rsidR="00E103EF" w:rsidRPr="00D30B39" w:rsidRDefault="00E103EF" w:rsidP="00E103EF">
      <w:pPr>
        <w:spacing w:after="0"/>
        <w:rPr>
          <w:b/>
          <w:sz w:val="20"/>
          <w:szCs w:val="20"/>
          <w:u w:val="single"/>
        </w:rPr>
      </w:pPr>
      <w:r w:rsidRPr="00D30B39">
        <w:rPr>
          <w:rFonts w:cs="Tahoma"/>
          <w:iCs/>
          <w:sz w:val="20"/>
          <w:szCs w:val="20"/>
        </w:rPr>
        <w:t xml:space="preserve">Natomiast jest kryterium pozacenowe dotyczące </w:t>
      </w:r>
      <w:r w:rsidRPr="00D30B39">
        <w:rPr>
          <w:b/>
          <w:sz w:val="20"/>
          <w:szCs w:val="20"/>
          <w:u w:val="single"/>
        </w:rPr>
        <w:t>Gwarancja jakości (G) – o wadze 20%.</w:t>
      </w:r>
    </w:p>
    <w:p w14:paraId="4237E609" w14:textId="77777777" w:rsidR="00E103EF" w:rsidRPr="00D30B39" w:rsidRDefault="00E103EF" w:rsidP="00E103EF">
      <w:pPr>
        <w:rPr>
          <w:rFonts w:cs="Tahoma"/>
          <w:iCs/>
          <w:sz w:val="20"/>
          <w:szCs w:val="20"/>
        </w:rPr>
      </w:pPr>
    </w:p>
    <w:p w14:paraId="7580C0CE" w14:textId="77777777" w:rsidR="008F0B8A" w:rsidRPr="00D30B39" w:rsidRDefault="008F0B8A" w:rsidP="008F0B8A">
      <w:pPr>
        <w:spacing w:after="160" w:line="259" w:lineRule="auto"/>
        <w:rPr>
          <w:rFonts w:cs="Tahoma"/>
          <w:b/>
          <w:sz w:val="20"/>
          <w:szCs w:val="20"/>
        </w:rPr>
      </w:pPr>
      <w:r w:rsidRPr="00D30B39">
        <w:rPr>
          <w:rFonts w:cs="Tahoma"/>
          <w:b/>
          <w:sz w:val="20"/>
          <w:szCs w:val="20"/>
        </w:rPr>
        <w:t>Pytanie nr 4:</w:t>
      </w:r>
    </w:p>
    <w:p w14:paraId="6771A15C" w14:textId="77777777" w:rsidR="008F0B8A" w:rsidRPr="00D30B39" w:rsidRDefault="008F0B8A" w:rsidP="008F0B8A">
      <w:pPr>
        <w:spacing w:after="160" w:line="259" w:lineRule="auto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SWZ z dnia 02.06.2022, Projekt umowy z dnia 02.06.2022</w:t>
      </w:r>
    </w:p>
    <w:p w14:paraId="0D483073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 ramach dokumentacji Zamawiający wielokrotnie specyfikuje zakres wymaganej gwarancji zarówno w ramach treści SWZ, umowy, czy też OPZ. Niestety w obrębie zapisów gwarancji brak spójności co nie pozwala Wykonawcy na ustalenia jaki okres gwarancji jak będzie interpretowany. Zwracają uwagę zapisy:</w:t>
      </w:r>
    </w:p>
    <w:p w14:paraId="25776014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 ramach projektu umowy z dnia 02.06.2022: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286"/>
      </w:tblGrid>
      <w:tr w:rsidR="008F0B8A" w:rsidRPr="00D30B39" w14:paraId="06C7521B" w14:textId="77777777" w:rsidTr="00F84B76">
        <w:tc>
          <w:tcPr>
            <w:tcW w:w="2070" w:type="dxa"/>
            <w:shd w:val="clear" w:color="auto" w:fill="auto"/>
            <w:vAlign w:val="center"/>
          </w:tcPr>
          <w:p w14:paraId="6FADB0DC" w14:textId="77777777" w:rsidR="008F0B8A" w:rsidRPr="00D30B39" w:rsidRDefault="008F0B8A" w:rsidP="00F84B76">
            <w:pPr>
              <w:keepLines/>
              <w:ind w:left="34"/>
              <w:rPr>
                <w:rFonts w:eastAsia="Arial Unicode MS" w:cs="Tahoma"/>
                <w:b/>
                <w:bCs/>
                <w:sz w:val="20"/>
                <w:szCs w:val="20"/>
              </w:rPr>
            </w:pPr>
            <w:r w:rsidRPr="00D30B39">
              <w:rPr>
                <w:rFonts w:eastAsia="Arial Unicode MS" w:cs="Tahoma"/>
                <w:b/>
                <w:bCs/>
                <w:sz w:val="20"/>
                <w:szCs w:val="20"/>
              </w:rPr>
              <w:t>Okres gwarancyjny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7566E0B4" w14:textId="77777777" w:rsidR="008F0B8A" w:rsidRPr="00D30B39" w:rsidRDefault="008F0B8A" w:rsidP="00F84B76">
            <w:pPr>
              <w:ind w:left="34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Minimum okres 12 miesięcy, rozpoczynający bieg od dnia Odbioru Końcowego.</w:t>
            </w:r>
          </w:p>
        </w:tc>
      </w:tr>
    </w:tbl>
    <w:p w14:paraId="27A57AE6" w14:textId="77777777" w:rsidR="008F0B8A" w:rsidRPr="00D30B39" w:rsidRDefault="008F0B8A" w:rsidP="008F0B8A">
      <w:pPr>
        <w:rPr>
          <w:rFonts w:cs="Tahoma"/>
          <w:sz w:val="20"/>
          <w:szCs w:val="20"/>
        </w:rPr>
      </w:pPr>
    </w:p>
    <w:p w14:paraId="1268A006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 ramach OPZ:</w:t>
      </w:r>
    </w:p>
    <w:p w14:paraId="52CFD12F" w14:textId="77777777" w:rsidR="008F0B8A" w:rsidRPr="00D30B39" w:rsidRDefault="008F0B8A" w:rsidP="008F0B8A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Gwarancja na oprogramowanie: min. 12 miesięcy, do 36 miesięcy  </w:t>
      </w:r>
    </w:p>
    <w:p w14:paraId="0998CB19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Natomiast w SWZ zamieszczono, że:</w:t>
      </w:r>
    </w:p>
    <w:p w14:paraId="45B43B73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2.</w:t>
      </w:r>
      <w:r w:rsidRPr="00D30B39">
        <w:rPr>
          <w:rFonts w:cs="Tahoma"/>
          <w:sz w:val="20"/>
          <w:szCs w:val="20"/>
        </w:rPr>
        <w:tab/>
        <w:t xml:space="preserve">Zamawiający wymaga udzielenia gwarancji na rozbudowany system na okres: </w:t>
      </w:r>
      <w:r w:rsidRPr="00D30B39">
        <w:rPr>
          <w:rFonts w:cs="Tahoma"/>
          <w:b/>
          <w:bCs/>
          <w:sz w:val="20"/>
          <w:szCs w:val="20"/>
        </w:rPr>
        <w:t>36 miesięcy od daty odbioru końcowego.</w:t>
      </w:r>
      <w:r w:rsidRPr="00D30B39">
        <w:rPr>
          <w:rFonts w:cs="Tahoma"/>
          <w:sz w:val="20"/>
          <w:szCs w:val="20"/>
        </w:rPr>
        <w:t xml:space="preserve"> Szczegółowe warunki świadczenia serwisu gwarancyjnego określa Załącznik nr 5 do SWZ – Wzór umowy.</w:t>
      </w:r>
    </w:p>
    <w:p w14:paraId="2E597B8D" w14:textId="77777777" w:rsidR="008F0B8A" w:rsidRPr="00D30B39" w:rsidRDefault="008F0B8A" w:rsidP="008F0B8A">
      <w:pPr>
        <w:rPr>
          <w:rFonts w:cs="Tahoma"/>
          <w:sz w:val="20"/>
          <w:szCs w:val="20"/>
        </w:rPr>
      </w:pPr>
    </w:p>
    <w:p w14:paraId="39E5A2B8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Gwarancja stanowi też kryterium oceny ofert:</w:t>
      </w:r>
    </w:p>
    <w:p w14:paraId="39A04629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lastRenderedPageBreak/>
        <w:t>4.</w:t>
      </w:r>
      <w:r w:rsidRPr="00D30B39">
        <w:rPr>
          <w:rFonts w:cs="Tahoma"/>
          <w:sz w:val="20"/>
          <w:szCs w:val="20"/>
        </w:rPr>
        <w:tab/>
        <w:t xml:space="preserve"> Zasady oceny ofert w kryterium  Gwarancja jakości (G) –waga 20%.</w:t>
      </w:r>
    </w:p>
    <w:p w14:paraId="54B05A27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1)</w:t>
      </w:r>
      <w:r w:rsidRPr="00D30B39">
        <w:rPr>
          <w:rFonts w:cs="Tahoma"/>
          <w:sz w:val="20"/>
          <w:szCs w:val="20"/>
        </w:rPr>
        <w:tab/>
        <w:t xml:space="preserve">Zamawiający  będzie przyznawał punkty w następujący sposób: </w:t>
      </w:r>
    </w:p>
    <w:p w14:paraId="0C7F5A0C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2)</w:t>
      </w:r>
      <w:r w:rsidRPr="00D30B39">
        <w:rPr>
          <w:rFonts w:cs="Tahoma"/>
          <w:sz w:val="20"/>
          <w:szCs w:val="20"/>
        </w:rPr>
        <w:tab/>
        <w:t>W ramach kryterium okres gwarancji i rękojmi za wady:</w:t>
      </w:r>
    </w:p>
    <w:p w14:paraId="0CAE239A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a) maksymalna ilość możliwych do uzyskania punktów:  P2 - 20 pkt.; </w:t>
      </w:r>
    </w:p>
    <w:p w14:paraId="0F9888FD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b) Wykonawca, który w ofercie zobowiąże się do </w:t>
      </w:r>
      <w:r w:rsidRPr="00D30B39">
        <w:rPr>
          <w:rFonts w:cs="Tahoma"/>
          <w:b/>
          <w:bCs/>
          <w:sz w:val="20"/>
          <w:szCs w:val="20"/>
        </w:rPr>
        <w:t>udzielenia przedłużenia gwarancji jakości na okres:</w:t>
      </w:r>
    </w:p>
    <w:p w14:paraId="69CC14AB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- 3 lat otrzyma 5 pkt.;</w:t>
      </w:r>
    </w:p>
    <w:p w14:paraId="5541DE41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- 4 lat otrzyma 10 pkt.;</w:t>
      </w:r>
    </w:p>
    <w:p w14:paraId="5AF8404C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- 5 lat otrzyma 20 pkt.;</w:t>
      </w:r>
    </w:p>
    <w:p w14:paraId="00C797E7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Uwaga:</w:t>
      </w:r>
    </w:p>
    <w:p w14:paraId="041B28CD" w14:textId="77777777" w:rsidR="008F0B8A" w:rsidRPr="00D30B39" w:rsidRDefault="008F0B8A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Dodatkowe punkty zostaną przyznane wyłącznie Wykonawcom, którzy w ofercie zobowiązali się do udzielenia gwarancji i rękojmi za wady na okres odpowiednio 3, 4 lub 5 lat. Oferta z gwarancją i rękojmią za wady udzieloną na okres dłuższy niż 5 lat, otrzyma również maksymalną ilość punktów możliwych do uzyskania w tym kryterium. W przypadku nie określenia przez Wykonawcę w ofercie okresu gwarancji, dla potrzeb oceny oferty zostanie przyjęty okres wymagany, tj.: 3 lata.</w:t>
      </w:r>
    </w:p>
    <w:p w14:paraId="20F8F693" w14:textId="77777777" w:rsidR="008F0B8A" w:rsidRPr="00D30B39" w:rsidRDefault="008F0B8A" w:rsidP="008F0B8A">
      <w:pPr>
        <w:rPr>
          <w:rFonts w:cs="Tahoma"/>
          <w:sz w:val="20"/>
          <w:szCs w:val="20"/>
          <w:u w:val="single"/>
        </w:rPr>
      </w:pPr>
      <w:r w:rsidRPr="00D30B39">
        <w:rPr>
          <w:rFonts w:cs="Tahoma"/>
          <w:sz w:val="20"/>
          <w:szCs w:val="20"/>
          <w:u w:val="single"/>
        </w:rPr>
        <w:t>Obecne rozbieżności w kontekście wymagań Zamawiającego w zakresie udzielonej gwarancji uniemożliwiają prawidłowe przygotowanie oferty i złożenie oferty, a także zdaniem Wykonawcy uniemożliwiają zawarcie ważnej Umowy o wykonanie zamówienia publicznego.</w:t>
      </w:r>
    </w:p>
    <w:p w14:paraId="0A1829EC" w14:textId="77777777" w:rsidR="008F0B8A" w:rsidRPr="00D30B39" w:rsidRDefault="008F0B8A" w:rsidP="008F0B8A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wyjaśnienie, jakiego okresu gwarancji wymaga Zamawiający czy jest to 12 miesięcy czy też 36 miesięcy?</w:t>
      </w:r>
    </w:p>
    <w:p w14:paraId="5C0D05FB" w14:textId="77777777" w:rsidR="008F0B8A" w:rsidRPr="00D30B39" w:rsidRDefault="008F0B8A" w:rsidP="008F0B8A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wyjaśnienie, że wobec wskazania o „udzieleniu przedłużenia gwarancji jakości” to dla jakiego okresu gwarancji Wykonawca otrzyma 5 punktów? Czy będzie to dla okresu podstawowego (albo 12 albo 36 miesięcy), czy też dla podstawowego i przedłużonego? Przykładowo przyjmując okres podstawowy 3 lata i okres przedłużony 3 lata – w sumie 6 lat, czy dla tak zaoferowanego okresu gwarancji Zamawiający przyzna Wykonawcy 5 punktów w kryterium Gwarancja jakości (G) –waga 20%?</w:t>
      </w:r>
    </w:p>
    <w:p w14:paraId="7AAB5C10" w14:textId="77777777" w:rsidR="008F0B8A" w:rsidRPr="00D30B39" w:rsidRDefault="008F0B8A" w:rsidP="008F0B8A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potwierdzenie, że ww. okres gwarancji dotyczy oferowanego oprogramowania, natomiast okres gwarancji dla dostarczanego sprzętu jest zgodny z gwarancją producenta.</w:t>
      </w:r>
    </w:p>
    <w:p w14:paraId="1AF7CD4C" w14:textId="77777777" w:rsidR="008F0B8A" w:rsidRPr="00D30B39" w:rsidRDefault="008F0B8A" w:rsidP="008F0B8A">
      <w:pPr>
        <w:pStyle w:val="Akapitzlist"/>
        <w:numPr>
          <w:ilvl w:val="1"/>
          <w:numId w:val="8"/>
        </w:numPr>
        <w:spacing w:after="160" w:line="259" w:lineRule="auto"/>
        <w:ind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 xml:space="preserve">Prosimy o potwierdzenie, że w kryterium Gwarancja jakości (G) –waga 20%, okres przedłużenia dotyczy dostarczanego w ramach niniejszego postepowania oprogramowania. </w:t>
      </w:r>
    </w:p>
    <w:p w14:paraId="2F8B9D46" w14:textId="77777777" w:rsidR="008F0B8A" w:rsidRPr="00D30B39" w:rsidRDefault="008F0B8A" w:rsidP="00E103EF">
      <w:pPr>
        <w:rPr>
          <w:rFonts w:cs="Tahoma"/>
          <w:iCs/>
          <w:sz w:val="20"/>
          <w:szCs w:val="20"/>
        </w:rPr>
      </w:pPr>
    </w:p>
    <w:p w14:paraId="1A1D56E8" w14:textId="77777777" w:rsidR="008F0B8A" w:rsidRPr="00D30B39" w:rsidRDefault="008F0B8A" w:rsidP="008F0B8A">
      <w:pPr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Odpowiedź:</w:t>
      </w:r>
    </w:p>
    <w:p w14:paraId="729BB8E7" w14:textId="77777777" w:rsidR="008F0B8A" w:rsidRPr="00D30B39" w:rsidRDefault="0068286C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Minimalny i maksymalny okres gwarancji jakości został określony w dokumentach postępowania min. 12 miesięcy maksimum 36 miesięcy.</w:t>
      </w:r>
    </w:p>
    <w:p w14:paraId="5B115FB7" w14:textId="77777777" w:rsidR="0068286C" w:rsidRPr="00D30B39" w:rsidRDefault="0068286C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Punktacja zostanie przyznana, zgodnie z założeniem Zamawiającego za okres „przedłużenia gwarancji jakości.</w:t>
      </w:r>
    </w:p>
    <w:p w14:paraId="4491DB9A" w14:textId="77777777" w:rsidR="0068286C" w:rsidRPr="00D30B39" w:rsidRDefault="0068286C" w:rsidP="008F0B8A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Gwarancja i jej przedłużenie dotyczy całego przedmiotu zamówienia.</w:t>
      </w:r>
    </w:p>
    <w:p w14:paraId="2AA280E8" w14:textId="77777777" w:rsidR="0068286C" w:rsidRPr="00D30B39" w:rsidRDefault="0068286C" w:rsidP="008F0B8A">
      <w:pPr>
        <w:rPr>
          <w:rFonts w:cs="Tahoma"/>
          <w:sz w:val="20"/>
          <w:szCs w:val="20"/>
        </w:rPr>
      </w:pPr>
    </w:p>
    <w:p w14:paraId="37381594" w14:textId="77777777" w:rsidR="002B50EB" w:rsidRPr="00D30B39" w:rsidRDefault="002B50EB" w:rsidP="002B50EB">
      <w:pPr>
        <w:spacing w:after="160" w:line="259" w:lineRule="auto"/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lastRenderedPageBreak/>
        <w:t xml:space="preserve">Pytanie nr 5: </w:t>
      </w:r>
    </w:p>
    <w:p w14:paraId="7DA0ABAC" w14:textId="77777777" w:rsidR="0068286C" w:rsidRPr="00D30B39" w:rsidRDefault="0068286C" w:rsidP="002B50EB">
      <w:pPr>
        <w:spacing w:after="160" w:line="259" w:lineRule="auto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SWZ z dnia 02.06.2022</w:t>
      </w:r>
    </w:p>
    <w:p w14:paraId="17E6EEAE" w14:textId="77777777" w:rsidR="0068286C" w:rsidRPr="00D30B39" w:rsidRDefault="0068286C" w:rsidP="0068286C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115F532B" w14:textId="77777777" w:rsidR="0068286C" w:rsidRPr="00D30B39" w:rsidRDefault="0068286C" w:rsidP="0068286C">
      <w:pPr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3.</w:t>
      </w:r>
      <w:r w:rsidRPr="00D30B39">
        <w:rPr>
          <w:rFonts w:cs="Tahoma"/>
          <w:i/>
          <w:iCs/>
          <w:sz w:val="20"/>
          <w:szCs w:val="20"/>
        </w:rPr>
        <w:tab/>
        <w:t>Zamawiający wymaga udzielenia wsparcia technicznego pogwarancyjnego przez okres: 24 miesięcy, na zasadach określonych w Załączniku nr 9 do SWZ – Wzór umowy.</w:t>
      </w:r>
    </w:p>
    <w:p w14:paraId="110656D1" w14:textId="77777777" w:rsidR="0068286C" w:rsidRPr="00D30B39" w:rsidRDefault="0068286C" w:rsidP="0068286C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Natomiast na końcu dokumentu załącza wykaz:</w:t>
      </w:r>
    </w:p>
    <w:p w14:paraId="3B3D3A43" w14:textId="77777777" w:rsidR="0068286C" w:rsidRPr="00D30B39" w:rsidRDefault="0068286C" w:rsidP="0068286C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360" w:lineRule="auto"/>
        <w:ind w:left="852" w:hanging="852"/>
        <w:rPr>
          <w:rFonts w:asciiTheme="minorHAnsi" w:hAnsiTheme="minorHAnsi" w:cs="Tahoma"/>
          <w:b/>
          <w:szCs w:val="20"/>
        </w:rPr>
      </w:pPr>
      <w:r w:rsidRPr="00D30B39">
        <w:rPr>
          <w:rFonts w:asciiTheme="minorHAnsi" w:hAnsiTheme="minorHAnsi" w:cs="Tahoma"/>
          <w:b/>
          <w:szCs w:val="20"/>
        </w:rPr>
        <w:t>XXIII.</w:t>
      </w:r>
      <w:r w:rsidRPr="00D30B39">
        <w:rPr>
          <w:rFonts w:asciiTheme="minorHAnsi" w:hAnsiTheme="minorHAnsi" w:cs="Tahoma"/>
          <w:b/>
          <w:szCs w:val="20"/>
        </w:rPr>
        <w:tab/>
        <w:t>WYKAZ ZAŁĄCZNIKÓW DO SWZ</w:t>
      </w:r>
    </w:p>
    <w:p w14:paraId="36F0E7DE" w14:textId="77777777" w:rsidR="0068286C" w:rsidRPr="00D30B39" w:rsidRDefault="0068286C" w:rsidP="0068286C">
      <w:pPr>
        <w:suppressAutoHyphens/>
        <w:spacing w:before="240"/>
        <w:ind w:left="1694" w:hanging="1694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Załącznik nr 1 - Formularz ofertowy</w:t>
      </w:r>
    </w:p>
    <w:p w14:paraId="52FC0D15" w14:textId="77777777" w:rsidR="0068286C" w:rsidRPr="00D30B39" w:rsidRDefault="0068286C" w:rsidP="0068286C">
      <w:pPr>
        <w:suppressAutoHyphens/>
        <w:ind w:left="1843" w:hanging="1843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Załącznik nr 2a i 2 b - Oświadczenie o braku podstaw do wykluczenia i o spełnianiu warunków udziału    w postępowaniu</w:t>
      </w:r>
    </w:p>
    <w:p w14:paraId="2A8ECBE0" w14:textId="77777777" w:rsidR="0068286C" w:rsidRPr="00D30B39" w:rsidRDefault="0068286C" w:rsidP="0068286C">
      <w:pPr>
        <w:suppressAutoHyphens/>
        <w:ind w:left="1694" w:hanging="1694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Załącznik nr 2c - Oświadczenia dotyczące art. 5K Rozporządzenia 833/2014 oraz art. 7 ust. 1 ustawy (…) przeciwdziałaniu agresji na Ukrainie.</w:t>
      </w:r>
    </w:p>
    <w:p w14:paraId="433023C5" w14:textId="77777777" w:rsidR="0068286C" w:rsidRPr="00D30B39" w:rsidRDefault="0068286C" w:rsidP="0068286C">
      <w:pPr>
        <w:suppressAutoHyphens/>
        <w:ind w:left="1694" w:hanging="1694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Załącznik nr 3 - Zobowiązanie innego podmiotu do udostępnienia niezbędnych zasobów Wykonawcy</w:t>
      </w:r>
    </w:p>
    <w:p w14:paraId="28D91CC7" w14:textId="77777777" w:rsidR="0068286C" w:rsidRPr="00D30B39" w:rsidRDefault="0068286C" w:rsidP="0068286C">
      <w:pPr>
        <w:suppressAutoHyphens/>
        <w:ind w:left="1694" w:hanging="1694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Załącznik nr 4 - Oświadczenie dotyczące przynależności lub braku przynależności do tej samej grupy kapitałowej</w:t>
      </w:r>
    </w:p>
    <w:p w14:paraId="2C31BA76" w14:textId="77777777" w:rsidR="0068286C" w:rsidRPr="00D30B39" w:rsidRDefault="0068286C" w:rsidP="0068286C">
      <w:pPr>
        <w:suppressAutoHyphens/>
        <w:ind w:left="1694" w:hanging="1694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Załącznik nr 5- Wykaz osób </w:t>
      </w:r>
    </w:p>
    <w:p w14:paraId="0ACB153D" w14:textId="77777777" w:rsidR="0068286C" w:rsidRPr="00D30B39" w:rsidRDefault="0068286C" w:rsidP="0068286C">
      <w:pPr>
        <w:suppressAutoHyphens/>
        <w:ind w:left="1694" w:hanging="1694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Załącznik nr 6 - </w:t>
      </w:r>
      <w:r w:rsidRPr="00D30B39">
        <w:rPr>
          <w:rFonts w:cs="Tahoma"/>
          <w:bCs/>
          <w:sz w:val="20"/>
          <w:szCs w:val="20"/>
        </w:rPr>
        <w:t>Oświadczenie wykonawcy</w:t>
      </w:r>
      <w:r w:rsidRPr="00D30B39">
        <w:rPr>
          <w:rFonts w:cs="Tahoma"/>
          <w:b/>
          <w:sz w:val="20"/>
          <w:szCs w:val="20"/>
        </w:rPr>
        <w:t xml:space="preserve"> </w:t>
      </w:r>
      <w:r w:rsidRPr="00D30B39">
        <w:rPr>
          <w:rFonts w:cs="Tahoma"/>
          <w:sz w:val="20"/>
          <w:szCs w:val="20"/>
        </w:rPr>
        <w:t xml:space="preserve">o aktualności informacji zawartych w oświadczeniu, o którym mowa w art. 125 ust. 1 </w:t>
      </w:r>
      <w:proofErr w:type="spellStart"/>
      <w:r w:rsidRPr="00D30B39">
        <w:rPr>
          <w:rFonts w:cs="Tahoma"/>
          <w:sz w:val="20"/>
          <w:szCs w:val="20"/>
        </w:rPr>
        <w:t>Pzp</w:t>
      </w:r>
      <w:proofErr w:type="spellEnd"/>
      <w:r w:rsidRPr="00D30B39">
        <w:rPr>
          <w:rFonts w:cs="Tahoma"/>
          <w:sz w:val="20"/>
          <w:szCs w:val="20"/>
        </w:rPr>
        <w:t>.</w:t>
      </w:r>
    </w:p>
    <w:p w14:paraId="2BFA8CDE" w14:textId="77777777" w:rsidR="0068286C" w:rsidRPr="00D30B39" w:rsidRDefault="0068286C" w:rsidP="0068286C">
      <w:pPr>
        <w:suppressAutoHyphens/>
        <w:ind w:left="1694" w:hanging="1694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Załącznik nr 7 - Opis Przedmiotu Zamówienia (OPZ)</w:t>
      </w:r>
    </w:p>
    <w:p w14:paraId="45FAF3F8" w14:textId="77777777" w:rsidR="0068286C" w:rsidRPr="00D30B39" w:rsidRDefault="0068286C" w:rsidP="0068286C">
      <w:pPr>
        <w:suppressAutoHyphens/>
        <w:ind w:left="1694" w:hanging="1694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Załącznik nr 8 - Wzór Umowy</w:t>
      </w:r>
    </w:p>
    <w:p w14:paraId="476E4A55" w14:textId="77777777" w:rsidR="0068286C" w:rsidRPr="00D30B39" w:rsidRDefault="0068286C" w:rsidP="0068286C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Z kolei w dokumencie „Projekt umowy ( Załącznik nr 9.docx” specyfikuje: </w:t>
      </w:r>
    </w:p>
    <w:p w14:paraId="6D268587" w14:textId="77777777" w:rsidR="0068286C" w:rsidRPr="00D30B39" w:rsidRDefault="0068286C" w:rsidP="0068286C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Załącznik nr 8 do SWZ PROJEKT UMOWY NR UKW/DZP-281-U-28/2022</w:t>
      </w:r>
    </w:p>
    <w:p w14:paraId="79DD8666" w14:textId="77777777" w:rsidR="0068286C" w:rsidRPr="00D30B39" w:rsidRDefault="0068286C" w:rsidP="0068286C">
      <w:pPr>
        <w:rPr>
          <w:rFonts w:cs="Tahoma"/>
          <w:sz w:val="20"/>
          <w:szCs w:val="20"/>
        </w:rPr>
      </w:pPr>
    </w:p>
    <w:p w14:paraId="4279E8B9" w14:textId="77777777" w:rsidR="0068286C" w:rsidRPr="00D30B39" w:rsidRDefault="0068286C" w:rsidP="0068286C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Wobec powyższego nie jasne jest czy załączony projekt umowy, stanowi faktycznie obowiązujący dokument. Prosimy o </w:t>
      </w:r>
      <w:proofErr w:type="spellStart"/>
      <w:r w:rsidRPr="00D30B39">
        <w:rPr>
          <w:rFonts w:cs="Tahoma"/>
          <w:sz w:val="20"/>
          <w:szCs w:val="20"/>
        </w:rPr>
        <w:t>uspójnienie</w:t>
      </w:r>
      <w:proofErr w:type="spellEnd"/>
      <w:r w:rsidRPr="00D30B39">
        <w:rPr>
          <w:rFonts w:cs="Tahoma"/>
          <w:sz w:val="20"/>
          <w:szCs w:val="20"/>
        </w:rPr>
        <w:t xml:space="preserve"> dokumentacji przetargowej. </w:t>
      </w:r>
    </w:p>
    <w:p w14:paraId="59E1C9D0" w14:textId="77777777" w:rsidR="006C4AF7" w:rsidRPr="00D30B39" w:rsidRDefault="006C4AF7" w:rsidP="00F6370F">
      <w:pPr>
        <w:spacing w:before="120" w:after="120"/>
        <w:contextualSpacing/>
        <w:jc w:val="both"/>
        <w:rPr>
          <w:rFonts w:cs="Helvetica"/>
          <w:b/>
          <w:sz w:val="20"/>
          <w:szCs w:val="20"/>
          <w:shd w:val="clear" w:color="auto" w:fill="FFFFFF"/>
        </w:rPr>
      </w:pPr>
    </w:p>
    <w:p w14:paraId="46080AC7" w14:textId="77777777" w:rsidR="002B50EB" w:rsidRPr="00D30B39" w:rsidRDefault="002B50EB" w:rsidP="002B50EB">
      <w:pPr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Odpowiedź:</w:t>
      </w:r>
    </w:p>
    <w:p w14:paraId="3D924272" w14:textId="77777777" w:rsidR="00855421" w:rsidRPr="00D30B39" w:rsidRDefault="002B50EB" w:rsidP="008F0B8A">
      <w:pPr>
        <w:spacing w:after="0"/>
        <w:rPr>
          <w:rFonts w:eastAsia="Times New Roman" w:cs="Tahoma"/>
          <w:sz w:val="20"/>
          <w:szCs w:val="20"/>
          <w:lang w:eastAsia="pl-PL"/>
        </w:rPr>
      </w:pPr>
      <w:r w:rsidRPr="00D30B39">
        <w:rPr>
          <w:rFonts w:eastAsia="Times New Roman" w:cs="Tahoma"/>
          <w:sz w:val="20"/>
          <w:szCs w:val="20"/>
          <w:lang w:eastAsia="pl-PL"/>
        </w:rPr>
        <w:t>Zamawiający wyjaśnia, iż projekt umowy stanowi Załącznik nr 8. Zamawiający poprawił omyłkę pisarska na pliku Załącznika, stanowiącego projekt umowy.</w:t>
      </w:r>
    </w:p>
    <w:p w14:paraId="2F0BD433" w14:textId="77777777" w:rsidR="002B50EB" w:rsidRPr="00D30B39" w:rsidRDefault="002B50EB" w:rsidP="008F0B8A">
      <w:pPr>
        <w:spacing w:after="0"/>
        <w:rPr>
          <w:rFonts w:eastAsia="Times New Roman" w:cs="Tahoma"/>
          <w:sz w:val="20"/>
          <w:szCs w:val="20"/>
          <w:lang w:eastAsia="pl-PL"/>
        </w:rPr>
      </w:pPr>
    </w:p>
    <w:p w14:paraId="73D8789F" w14:textId="77777777" w:rsidR="002B50EB" w:rsidRPr="00D30B39" w:rsidRDefault="002B50EB" w:rsidP="002B50EB">
      <w:pPr>
        <w:spacing w:after="160" w:line="259" w:lineRule="auto"/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Pytanie nr 6:</w:t>
      </w:r>
    </w:p>
    <w:p w14:paraId="529872A2" w14:textId="77777777" w:rsidR="002B50EB" w:rsidRPr="00D30B39" w:rsidRDefault="002B50EB" w:rsidP="002B50EB">
      <w:pPr>
        <w:spacing w:after="160" w:line="259" w:lineRule="auto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Załącznik nr 7 do SWZ OPIS PRZEDMIOTU ZAMÓWIENIA, Projekt umowy z dnia 02.06.2022</w:t>
      </w:r>
    </w:p>
    <w:p w14:paraId="3D7288E5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lastRenderedPageBreak/>
        <w:t>Zamawiający specyfikuje zapis:</w:t>
      </w:r>
    </w:p>
    <w:p w14:paraId="6DFA7D13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7.</w:t>
      </w:r>
      <w:r w:rsidRPr="00D30B39">
        <w:rPr>
          <w:rFonts w:cs="Tahoma"/>
          <w:i/>
          <w:iCs/>
          <w:sz w:val="20"/>
          <w:szCs w:val="20"/>
        </w:rPr>
        <w:tab/>
        <w:t xml:space="preserve">Zewnętrzne interfejsy sprzętowe do API systemu: </w:t>
      </w:r>
    </w:p>
    <w:p w14:paraId="3D9D3179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a.</w:t>
      </w:r>
      <w:r w:rsidRPr="00D30B39">
        <w:rPr>
          <w:rFonts w:cs="Tahoma"/>
          <w:i/>
          <w:iCs/>
          <w:sz w:val="20"/>
          <w:szCs w:val="20"/>
        </w:rPr>
        <w:tab/>
        <w:t xml:space="preserve">dostarczenie i wstępna konfiguracja 150 sztuk zestawów zewnętrznych interfejsów sprzętowych w skład których wchodzi: </w:t>
      </w:r>
    </w:p>
    <w:p w14:paraId="527FB444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płytka z mikrokontrolerem 8-bitowym wyposażonym przynajmniej w 256kB pamięci Flash, </w:t>
      </w:r>
      <w:proofErr w:type="spellStart"/>
      <w:r w:rsidRPr="00D30B39">
        <w:rPr>
          <w:rFonts w:cs="Tahoma"/>
          <w:i/>
          <w:iCs/>
          <w:sz w:val="20"/>
          <w:szCs w:val="20"/>
        </w:rPr>
        <w:t>bootloader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, 54 piny we/wy, interfejs USB/USART do programowania, przynajmniej 4 porty USART, magistralę SPI i I2C (np. </w:t>
      </w:r>
      <w:proofErr w:type="spellStart"/>
      <w:r w:rsidRPr="00D30B39">
        <w:rPr>
          <w:rFonts w:cs="Tahoma"/>
          <w:i/>
          <w:iCs/>
          <w:sz w:val="20"/>
          <w:szCs w:val="20"/>
        </w:rPr>
        <w:t>Arduino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Mega 2560), </w:t>
      </w:r>
    </w:p>
    <w:p w14:paraId="08336F38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moduł STM32 NUCLEO-F103RB z 32-bitowym mikrokontrolerem wyposażonym w rdzeń ARM </w:t>
      </w:r>
      <w:proofErr w:type="spellStart"/>
      <w:r w:rsidRPr="00D30B39">
        <w:rPr>
          <w:rFonts w:cs="Tahoma"/>
          <w:i/>
          <w:iCs/>
          <w:sz w:val="20"/>
          <w:szCs w:val="20"/>
        </w:rPr>
        <w:t>Cortex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M3, 72 MHz, 128 </w:t>
      </w:r>
      <w:proofErr w:type="spellStart"/>
      <w:r w:rsidRPr="00D30B39">
        <w:rPr>
          <w:rFonts w:cs="Tahoma"/>
          <w:i/>
          <w:iCs/>
          <w:sz w:val="20"/>
          <w:szCs w:val="20"/>
        </w:rPr>
        <w:t>kB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Flash, 20 </w:t>
      </w:r>
      <w:proofErr w:type="spellStart"/>
      <w:r w:rsidRPr="00D30B39">
        <w:rPr>
          <w:rFonts w:cs="Tahoma"/>
          <w:i/>
          <w:iCs/>
          <w:sz w:val="20"/>
          <w:szCs w:val="20"/>
        </w:rPr>
        <w:t>kB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SRAM, kompatybilny z platformą </w:t>
      </w:r>
      <w:proofErr w:type="spellStart"/>
      <w:r w:rsidRPr="00D30B39">
        <w:rPr>
          <w:rFonts w:cs="Tahoma"/>
          <w:i/>
          <w:iCs/>
          <w:sz w:val="20"/>
          <w:szCs w:val="20"/>
        </w:rPr>
        <w:t>mbed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,  </w:t>
      </w:r>
    </w:p>
    <w:p w14:paraId="383E7B01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>uniwersalna płytka prototypowa (</w:t>
      </w:r>
      <w:proofErr w:type="spellStart"/>
      <w:r w:rsidRPr="00D30B39">
        <w:rPr>
          <w:rFonts w:cs="Tahoma"/>
          <w:i/>
          <w:iCs/>
          <w:sz w:val="20"/>
          <w:szCs w:val="20"/>
        </w:rPr>
        <w:t>breadboard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),   </w:t>
      </w:r>
    </w:p>
    <w:p w14:paraId="5001B007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zestaw przewodów łączeniowych żeńskich (30szt.),   </w:t>
      </w:r>
    </w:p>
    <w:p w14:paraId="6BCACE23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zestaw rezystorów o rezystancji 330omów, 1k, 10k, 100k (po 10 </w:t>
      </w:r>
      <w:proofErr w:type="spellStart"/>
      <w:r w:rsidRPr="00D30B39">
        <w:rPr>
          <w:rFonts w:cs="Tahoma"/>
          <w:i/>
          <w:iCs/>
          <w:sz w:val="20"/>
          <w:szCs w:val="20"/>
        </w:rPr>
        <w:t>szt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),   </w:t>
      </w:r>
    </w:p>
    <w:p w14:paraId="5E530D7F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potencjometr montażowy do druku (3 x 15k),   </w:t>
      </w:r>
    </w:p>
    <w:p w14:paraId="3339B9D9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diody LED (8 x 3 kolory),   </w:t>
      </w:r>
    </w:p>
    <w:p w14:paraId="489B8536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fotorezystor,   </w:t>
      </w:r>
    </w:p>
    <w:p w14:paraId="1152381F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</w:r>
      <w:proofErr w:type="spellStart"/>
      <w:r w:rsidRPr="00D30B39">
        <w:rPr>
          <w:rFonts w:cs="Tahoma"/>
          <w:i/>
          <w:iCs/>
          <w:sz w:val="20"/>
          <w:szCs w:val="20"/>
        </w:rPr>
        <w:t>mikrostyk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(5szt),   </w:t>
      </w:r>
    </w:p>
    <w:p w14:paraId="1A3FA606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wyświetlacz LCD zgodny z 44780, 2 x 16 znaków ze złączem </w:t>
      </w:r>
      <w:proofErr w:type="spellStart"/>
      <w:r w:rsidRPr="00D30B39">
        <w:rPr>
          <w:rFonts w:cs="Tahoma"/>
          <w:i/>
          <w:iCs/>
          <w:sz w:val="20"/>
          <w:szCs w:val="20"/>
        </w:rPr>
        <w:t>goldpin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+ przejściówka I2C,   </w:t>
      </w:r>
    </w:p>
    <w:p w14:paraId="16D106D4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miniaturowy wyświetlacz OLED z interfejsem I2C,   </w:t>
      </w:r>
    </w:p>
    <w:p w14:paraId="6BFFB3E7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czujnik odległości,   </w:t>
      </w:r>
    </w:p>
    <w:p w14:paraId="4BA58A4C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czujnik temperatury, wilgotności i ciśnienia (BMP280),   </w:t>
      </w:r>
    </w:p>
    <w:p w14:paraId="28B7564F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moduł Bluetooth HC-06,   </w:t>
      </w:r>
    </w:p>
    <w:p w14:paraId="1C76E03B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moduł z układem MAX232 i złączem DB9,   </w:t>
      </w:r>
    </w:p>
    <w:p w14:paraId="1784EE82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moduł Ethernet (W5500),   </w:t>
      </w:r>
    </w:p>
    <w:p w14:paraId="61BEB81B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moduł </w:t>
      </w:r>
      <w:proofErr w:type="spellStart"/>
      <w:r w:rsidRPr="00D30B39">
        <w:rPr>
          <w:rFonts w:cs="Tahoma"/>
          <w:i/>
          <w:iCs/>
          <w:sz w:val="20"/>
          <w:szCs w:val="20"/>
        </w:rPr>
        <w:t>LoRa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(</w:t>
      </w:r>
      <w:proofErr w:type="spellStart"/>
      <w:r w:rsidRPr="00D30B39">
        <w:rPr>
          <w:rFonts w:cs="Tahoma"/>
          <w:i/>
          <w:iCs/>
          <w:sz w:val="20"/>
          <w:szCs w:val="20"/>
        </w:rPr>
        <w:t>Semtech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1376, </w:t>
      </w:r>
      <w:proofErr w:type="spellStart"/>
      <w:r w:rsidRPr="00D30B39">
        <w:rPr>
          <w:rFonts w:cs="Tahoma"/>
          <w:i/>
          <w:iCs/>
          <w:sz w:val="20"/>
          <w:szCs w:val="20"/>
        </w:rPr>
        <w:t>Microchip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RN2483),   </w:t>
      </w:r>
    </w:p>
    <w:p w14:paraId="6CA9DD91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</w:r>
      <w:proofErr w:type="spellStart"/>
      <w:r w:rsidRPr="00D30B39">
        <w:rPr>
          <w:rFonts w:cs="Tahoma"/>
          <w:i/>
          <w:iCs/>
          <w:sz w:val="20"/>
          <w:szCs w:val="20"/>
        </w:rPr>
        <w:t>serwo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,   </w:t>
      </w:r>
    </w:p>
    <w:p w14:paraId="4BA5E3E2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  <w:t xml:space="preserve">moduł ESP32 z </w:t>
      </w:r>
      <w:proofErr w:type="spellStart"/>
      <w:r w:rsidRPr="00D30B39">
        <w:rPr>
          <w:rFonts w:cs="Tahoma"/>
          <w:i/>
          <w:iCs/>
          <w:sz w:val="20"/>
          <w:szCs w:val="20"/>
        </w:rPr>
        <w:t>WiFi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802.11, </w:t>
      </w:r>
    </w:p>
    <w:p w14:paraId="362437A2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•</w:t>
      </w:r>
      <w:r w:rsidRPr="00D30B39">
        <w:rPr>
          <w:rFonts w:cs="Tahoma"/>
          <w:i/>
          <w:iCs/>
          <w:sz w:val="20"/>
          <w:szCs w:val="20"/>
        </w:rPr>
        <w:tab/>
      </w:r>
      <w:proofErr w:type="spellStart"/>
      <w:r w:rsidRPr="00D30B39">
        <w:rPr>
          <w:rFonts w:cs="Tahoma"/>
          <w:i/>
          <w:iCs/>
          <w:sz w:val="20"/>
          <w:szCs w:val="20"/>
        </w:rPr>
        <w:t>organizer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PCV. </w:t>
      </w:r>
    </w:p>
    <w:p w14:paraId="26771639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b.</w:t>
      </w:r>
      <w:r w:rsidRPr="00D30B39">
        <w:rPr>
          <w:rFonts w:cs="Tahoma"/>
          <w:i/>
          <w:iCs/>
          <w:sz w:val="20"/>
          <w:szCs w:val="20"/>
        </w:rPr>
        <w:tab/>
        <w:t xml:space="preserve">Zewnętrzne interfejsy sprzętowe (30 sztuk) realizowane w postaci czytników kart zbliżeniowych – elektronicznych legitymacji studenckich: powinny cechować się odpornością na uszkodzenia mechaniczne i posiadać złącze zasilające i złącze transmisji danych </w:t>
      </w:r>
      <w:proofErr w:type="spellStart"/>
      <w:r w:rsidRPr="00D30B39">
        <w:rPr>
          <w:rFonts w:cs="Tahoma"/>
          <w:i/>
          <w:iCs/>
          <w:sz w:val="20"/>
          <w:szCs w:val="20"/>
        </w:rPr>
        <w:t>PoE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Ethernet, a także możliwość transmisji danych bezprzewodowo </w:t>
      </w:r>
      <w:proofErr w:type="spellStart"/>
      <w:r w:rsidRPr="00D30B39">
        <w:rPr>
          <w:rFonts w:cs="Tahoma"/>
          <w:i/>
          <w:iCs/>
          <w:sz w:val="20"/>
          <w:szCs w:val="20"/>
        </w:rPr>
        <w:t>WiFi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802.11. </w:t>
      </w:r>
    </w:p>
    <w:p w14:paraId="419C506A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lastRenderedPageBreak/>
        <w:t>c.</w:t>
      </w:r>
      <w:r w:rsidRPr="00D30B39">
        <w:rPr>
          <w:rFonts w:cs="Tahoma"/>
          <w:i/>
          <w:iCs/>
          <w:sz w:val="20"/>
          <w:szCs w:val="20"/>
        </w:rPr>
        <w:tab/>
        <w:t xml:space="preserve">Serwisowanie interfejsów w trakcie okresu wdrożenia i wsparcia systemu informatycznego. </w:t>
      </w:r>
    </w:p>
    <w:p w14:paraId="24C5C5D4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</w:p>
    <w:p w14:paraId="52432F41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Oraz zapis</w:t>
      </w:r>
    </w:p>
    <w:p w14:paraId="7678B743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§ 3.</w:t>
      </w:r>
      <w:r w:rsidRPr="00D30B39">
        <w:rPr>
          <w:rFonts w:cs="Tahoma"/>
          <w:i/>
          <w:iCs/>
          <w:sz w:val="20"/>
          <w:szCs w:val="20"/>
        </w:rPr>
        <w:br/>
        <w:t>Terminy realizacji Przedmiotu Umowy</w:t>
      </w:r>
    </w:p>
    <w:tbl>
      <w:tblPr>
        <w:tblStyle w:val="Tabela-Siatka"/>
        <w:tblW w:w="9113" w:type="dxa"/>
        <w:tblInd w:w="720" w:type="dxa"/>
        <w:tblLayout w:type="fixed"/>
        <w:tblLook w:val="06A0" w:firstRow="1" w:lastRow="0" w:firstColumn="1" w:lastColumn="0" w:noHBand="1" w:noVBand="1"/>
      </w:tblPr>
      <w:tblGrid>
        <w:gridCol w:w="4508"/>
        <w:gridCol w:w="4605"/>
      </w:tblGrid>
      <w:tr w:rsidR="002B50EB" w:rsidRPr="00D30B39" w14:paraId="29A26964" w14:textId="77777777" w:rsidTr="00F84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101B7FB3" w14:textId="77777777" w:rsidR="002B50EB" w:rsidRPr="00D30B39" w:rsidRDefault="002B50EB" w:rsidP="00F84B76">
            <w:pPr>
              <w:ind w:left="360"/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D30B39">
              <w:rPr>
                <w:rFonts w:asciiTheme="minorHAnsi" w:hAnsiTheme="minorHAnsi" w:cs="Tahoma"/>
                <w:b/>
                <w:szCs w:val="20"/>
              </w:rPr>
              <w:t>Termin wykonania/rozpoczęcia wdrożenia</w:t>
            </w:r>
          </w:p>
          <w:p w14:paraId="09FEC155" w14:textId="77777777" w:rsidR="002B50EB" w:rsidRPr="00D30B39" w:rsidRDefault="002B50EB" w:rsidP="00F84B76">
            <w:pPr>
              <w:ind w:left="360"/>
              <w:jc w:val="center"/>
              <w:rPr>
                <w:rFonts w:asciiTheme="minorHAnsi" w:hAnsiTheme="minorHAnsi" w:cs="Tahoma"/>
                <w:b/>
                <w:szCs w:val="20"/>
              </w:rPr>
            </w:pPr>
          </w:p>
        </w:tc>
        <w:tc>
          <w:tcPr>
            <w:tcW w:w="4605" w:type="dxa"/>
          </w:tcPr>
          <w:p w14:paraId="0D4BA26A" w14:textId="77777777" w:rsidR="002B50EB" w:rsidRPr="00D30B39" w:rsidRDefault="002B50EB" w:rsidP="00F84B7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Cs w:val="20"/>
              </w:rPr>
            </w:pPr>
            <w:r w:rsidRPr="00D30B39">
              <w:rPr>
                <w:rFonts w:asciiTheme="minorHAnsi" w:hAnsiTheme="minorHAnsi" w:cs="Tahoma"/>
                <w:b/>
                <w:szCs w:val="20"/>
              </w:rPr>
              <w:t>Opis wykonania poszczególnych usług</w:t>
            </w:r>
          </w:p>
        </w:tc>
      </w:tr>
      <w:tr w:rsidR="002B50EB" w:rsidRPr="00D30B39" w14:paraId="4F3616F6" w14:textId="77777777" w:rsidTr="00F84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6B1F399" w14:textId="77777777" w:rsidR="002B50EB" w:rsidRPr="00D30B39" w:rsidRDefault="002B50EB" w:rsidP="00F84B76">
            <w:pPr>
              <w:pStyle w:val="Akapitzlist"/>
              <w:ind w:left="0"/>
              <w:rPr>
                <w:rFonts w:asciiTheme="minorHAnsi" w:hAnsiTheme="minorHAnsi" w:cs="Tahoma"/>
                <w:b/>
                <w:color w:val="FF0000"/>
                <w:szCs w:val="20"/>
              </w:rPr>
            </w:pPr>
          </w:p>
          <w:p w14:paraId="03DB1F5C" w14:textId="77777777" w:rsidR="002B50EB" w:rsidRPr="00D30B39" w:rsidRDefault="002B50EB" w:rsidP="00F84B76">
            <w:pPr>
              <w:pStyle w:val="Akapitzlist"/>
              <w:ind w:left="0"/>
              <w:rPr>
                <w:rFonts w:asciiTheme="minorHAnsi" w:hAnsiTheme="minorHAnsi" w:cs="Tahoma"/>
                <w:b/>
                <w:color w:val="FF0000"/>
                <w:szCs w:val="20"/>
              </w:rPr>
            </w:pPr>
            <w:r w:rsidRPr="00D30B39">
              <w:rPr>
                <w:rFonts w:asciiTheme="minorHAnsi" w:hAnsiTheme="minorHAnsi" w:cs="Tahoma"/>
                <w:szCs w:val="20"/>
              </w:rPr>
              <w:t>od 01.11.2022 do 28.02.2023</w:t>
            </w:r>
          </w:p>
        </w:tc>
        <w:tc>
          <w:tcPr>
            <w:tcW w:w="4605" w:type="dxa"/>
          </w:tcPr>
          <w:p w14:paraId="084EB9AF" w14:textId="77777777" w:rsidR="002B50EB" w:rsidRPr="00D30B39" w:rsidRDefault="002B50EB" w:rsidP="00F84B7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Cs w:val="20"/>
                <w:lang w:val="pl-PL"/>
              </w:rPr>
            </w:pPr>
            <w:r w:rsidRPr="00D30B39">
              <w:rPr>
                <w:rFonts w:asciiTheme="minorHAnsi" w:hAnsiTheme="minorHAnsi" w:cs="Tahoma"/>
                <w:szCs w:val="20"/>
                <w:lang w:val="pl-PL"/>
              </w:rPr>
              <w:t>implementacja zewnętrznych interfejsów sprzętowych oraz integracja z API systemu informatycznego, instalacja pozostałego oprogramowania oraz integracja (zarządzanie projektami, repozytorium kodu, serwer WWW/FTP/MQTT), dostęp do usług z poziomu kont studenckich - zgodnie z ustaleniami z zespołem wdrażającym po stronie Zamawiającego</w:t>
            </w:r>
          </w:p>
        </w:tc>
      </w:tr>
    </w:tbl>
    <w:p w14:paraId="691BB188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</w:p>
    <w:p w14:paraId="6676AA43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 związku z pandemią i załamaniem się łańcuch dostaw komponentów elektronicznych do Europy sytuacja na rynku układów elektronicznych jest dynamiczna. Zamawiający wyspecyfikował listę na której znajdują się komponenty nie dostępne bądź z bardzo ograniczoną dostępnością sztuk. Szczególnie wynika to z faktu, że wymagane jest dostarczenie aż 150 zestawów.</w:t>
      </w:r>
    </w:p>
    <w:p w14:paraId="716EAFD8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Realizacja ewentualnych zleceń produkcyjnych na ww. komponenty jest możliwa z terminem oczekiwania na poziomie 52 tygodni i dłużej. Dlatego nawet biorąc pod uwagę termin dostawy dla „implementacja zewnętrznych interfejsów sprzętowych”, ich dostawa ze względu na niedostępność będzie nie możliwa do realizacji.</w:t>
      </w:r>
      <w:r w:rsidRPr="00D30B39">
        <w:rPr>
          <w:rFonts w:cs="Tahoma"/>
          <w:i/>
          <w:iCs/>
          <w:sz w:val="20"/>
          <w:szCs w:val="20"/>
        </w:rPr>
        <w:t xml:space="preserve"> </w:t>
      </w:r>
    </w:p>
    <w:p w14:paraId="3E5CD3B3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Dynamiczna sytuacja na rynku komponentów i brak aktualizacji zapisów na komponenty aktualnie dostępne spowodowała, że zapisy stanowią ograniczenie konkurencji, co uniemożliwia złożenie oferty zainteresowanym podmiotom.</w:t>
      </w:r>
    </w:p>
    <w:p w14:paraId="0A3258F7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potwierdzenie, że Zamawiający dopuszcza komponenty równoważne i lepsze do wskazanych w ramach ww. zestawienia aktualnie dostępne na rynku, z czasem realizacji dostawy adekwatnym przedstawionemu harmonogramowi realizacji postępowania.</w:t>
      </w:r>
    </w:p>
    <w:p w14:paraId="488BB487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potwierdzenie, że w przypadku gdy dla danego komponentu nie będzie dostępna wymagana ilość 150 sztuk, a ilość mniejsza. To Zamawiający dopuszcza by część zestawów była sporządzona została na bazie dostępnego wyspecyfikowanego w ramach postępowania komponentu, a pozostała część na podstawie komponentu równoważnego lub lepszego spełniającego wymagania wyspecyfikowanego komponentu w ramach opisu przedmiotu zamówienia.</w:t>
      </w:r>
    </w:p>
    <w:p w14:paraId="32996CBF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 xml:space="preserve">Prosimy o wyspecyfikowanie alternatywnych komponentów, które mogą być dostarczone tak by spełnić wymagania Zamawiającego. </w:t>
      </w:r>
    </w:p>
    <w:p w14:paraId="42ED9CB9" w14:textId="77777777" w:rsidR="002B50EB" w:rsidRPr="00D30B39" w:rsidRDefault="002B50EB" w:rsidP="002B50EB">
      <w:pPr>
        <w:jc w:val="both"/>
        <w:rPr>
          <w:rFonts w:cs="Tahoma"/>
          <w:sz w:val="20"/>
          <w:szCs w:val="20"/>
        </w:rPr>
      </w:pPr>
    </w:p>
    <w:p w14:paraId="30A24E08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lastRenderedPageBreak/>
        <w:t>Odpowiedź:</w:t>
      </w:r>
    </w:p>
    <w:p w14:paraId="5D98672A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lang w:eastAsia="pl-PL"/>
        </w:rPr>
      </w:pPr>
    </w:p>
    <w:p w14:paraId="3ABAA36E" w14:textId="77777777" w:rsidR="009C0F33" w:rsidRPr="00D30B39" w:rsidRDefault="009C0F33" w:rsidP="009C0F33">
      <w:pPr>
        <w:spacing w:after="0"/>
        <w:ind w:left="1410" w:hanging="1410"/>
        <w:jc w:val="both"/>
        <w:rPr>
          <w:rFonts w:eastAsia="Times New Roman" w:cs="Tahoma"/>
          <w:sz w:val="20"/>
          <w:szCs w:val="20"/>
          <w:lang w:eastAsia="pl-PL"/>
        </w:rPr>
      </w:pPr>
      <w:r w:rsidRPr="00D30B39">
        <w:rPr>
          <w:rFonts w:eastAsia="Times New Roman" w:cs="Tahoma"/>
          <w:b/>
          <w:sz w:val="20"/>
          <w:szCs w:val="20"/>
          <w:lang w:eastAsia="pl-PL"/>
        </w:rPr>
        <w:t>Pytanie 1.14</w:t>
      </w:r>
      <w:r w:rsidRPr="00D30B39">
        <w:rPr>
          <w:rFonts w:eastAsia="Times New Roman" w:cs="Tahoma"/>
          <w:b/>
          <w:sz w:val="20"/>
          <w:szCs w:val="20"/>
          <w:lang w:eastAsia="pl-PL"/>
        </w:rPr>
        <w:tab/>
      </w:r>
      <w:r w:rsidRPr="00D30B39">
        <w:rPr>
          <w:sz w:val="20"/>
          <w:szCs w:val="20"/>
        </w:rPr>
        <w:t>Zamawiający dopuszcza modyfikację listy podzespołów o rozwiązania równoważne i lepsze do wskazanych - dostępne aktualnie na rynku.</w:t>
      </w:r>
    </w:p>
    <w:p w14:paraId="251C7F64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lang w:eastAsia="pl-PL"/>
        </w:rPr>
      </w:pPr>
    </w:p>
    <w:p w14:paraId="514FDD4B" w14:textId="77777777" w:rsidR="009C0F33" w:rsidRPr="00D30B39" w:rsidRDefault="009C0F33" w:rsidP="009C0F33">
      <w:pPr>
        <w:spacing w:after="0"/>
        <w:ind w:left="1410" w:hanging="1410"/>
        <w:jc w:val="both"/>
        <w:rPr>
          <w:sz w:val="20"/>
          <w:szCs w:val="20"/>
        </w:rPr>
      </w:pPr>
      <w:r w:rsidRPr="00D30B39">
        <w:rPr>
          <w:rFonts w:eastAsia="Times New Roman" w:cs="Tahoma"/>
          <w:b/>
          <w:sz w:val="20"/>
          <w:szCs w:val="20"/>
          <w:lang w:eastAsia="pl-PL"/>
        </w:rPr>
        <w:t>Pytanie 1.15</w:t>
      </w:r>
      <w:r w:rsidRPr="00D30B39">
        <w:rPr>
          <w:rFonts w:eastAsia="Times New Roman" w:cs="Tahoma"/>
          <w:b/>
          <w:sz w:val="20"/>
          <w:szCs w:val="20"/>
          <w:lang w:eastAsia="pl-PL"/>
        </w:rPr>
        <w:tab/>
      </w:r>
      <w:r w:rsidRPr="00D30B39">
        <w:rPr>
          <w:sz w:val="20"/>
          <w:szCs w:val="20"/>
        </w:rPr>
        <w:t>Aktualna wersja opisu przedmiotu zamówienia zakłada dostarczenie 15 sztuk zestawów (nie 150) co ułatwia procedurę zakupu i skompletowania podzespołów. Zamawiający dopuszcza komponenty równoważne i lepsze.</w:t>
      </w:r>
    </w:p>
    <w:p w14:paraId="7FE96866" w14:textId="77777777" w:rsidR="009C0F33" w:rsidRPr="00D30B39" w:rsidRDefault="009C0F33" w:rsidP="009C0F33">
      <w:pPr>
        <w:spacing w:after="0"/>
        <w:ind w:left="1410" w:hanging="1410"/>
        <w:jc w:val="both"/>
        <w:rPr>
          <w:sz w:val="20"/>
          <w:szCs w:val="20"/>
        </w:rPr>
      </w:pPr>
    </w:p>
    <w:p w14:paraId="38570F4F" w14:textId="29D897C8" w:rsidR="009C0F33" w:rsidRPr="00D30B39" w:rsidRDefault="009C0F33" w:rsidP="009C0F33">
      <w:pPr>
        <w:spacing w:after="0"/>
        <w:ind w:left="1410" w:hanging="1410"/>
        <w:jc w:val="both"/>
        <w:rPr>
          <w:sz w:val="20"/>
          <w:szCs w:val="20"/>
        </w:rPr>
      </w:pPr>
      <w:r w:rsidRPr="00D30B39">
        <w:rPr>
          <w:rFonts w:eastAsia="Times New Roman" w:cs="Tahoma"/>
          <w:b/>
          <w:sz w:val="20"/>
          <w:szCs w:val="20"/>
          <w:lang w:eastAsia="pl-PL"/>
        </w:rPr>
        <w:t>Pytanie 1.16</w:t>
      </w:r>
      <w:r w:rsidRPr="00D30B39">
        <w:rPr>
          <w:rFonts w:eastAsia="Times New Roman" w:cs="Tahoma"/>
          <w:b/>
          <w:sz w:val="20"/>
          <w:szCs w:val="20"/>
          <w:lang w:eastAsia="pl-PL"/>
        </w:rPr>
        <w:tab/>
      </w:r>
      <w:r w:rsidR="00E33354" w:rsidRPr="00D30B39">
        <w:rPr>
          <w:sz w:val="20"/>
          <w:szCs w:val="20"/>
        </w:rPr>
        <w:t>Aktualna wersja opisu przedmiotu zamówienia</w:t>
      </w:r>
      <w:r w:rsidR="00B475EE" w:rsidRPr="00D30B39">
        <w:rPr>
          <w:sz w:val="20"/>
          <w:szCs w:val="20"/>
        </w:rPr>
        <w:t xml:space="preserve"> dopuszcza</w:t>
      </w:r>
      <w:r w:rsidR="00FA47A6" w:rsidRPr="00D30B39">
        <w:rPr>
          <w:sz w:val="20"/>
          <w:szCs w:val="20"/>
        </w:rPr>
        <w:t xml:space="preserve"> </w:t>
      </w:r>
      <w:r w:rsidR="00B475EE" w:rsidRPr="00D30B39">
        <w:rPr>
          <w:sz w:val="20"/>
          <w:szCs w:val="20"/>
        </w:rPr>
        <w:t>dostarczenie alternatywnych komponentów</w:t>
      </w:r>
      <w:r w:rsidR="00F10B31" w:rsidRPr="00D30B39">
        <w:rPr>
          <w:sz w:val="20"/>
          <w:szCs w:val="20"/>
        </w:rPr>
        <w:t xml:space="preserve">, jednak przy 15 zestawach powinny być one takie same (oryginalny moduł </w:t>
      </w:r>
      <w:proofErr w:type="spellStart"/>
      <w:r w:rsidR="00F10B31" w:rsidRPr="00D30B39">
        <w:rPr>
          <w:sz w:val="20"/>
          <w:szCs w:val="20"/>
        </w:rPr>
        <w:t>Arduino</w:t>
      </w:r>
      <w:proofErr w:type="spellEnd"/>
      <w:r w:rsidR="00F10B31" w:rsidRPr="00D30B39">
        <w:rPr>
          <w:sz w:val="20"/>
          <w:szCs w:val="20"/>
        </w:rPr>
        <w:t xml:space="preserve"> mega2560, </w:t>
      </w:r>
      <w:r w:rsidR="00FA47A6" w:rsidRPr="00D30B39">
        <w:rPr>
          <w:sz w:val="20"/>
          <w:szCs w:val="20"/>
        </w:rPr>
        <w:t xml:space="preserve">oryginalny moduł </w:t>
      </w:r>
      <w:r w:rsidR="00F10B31" w:rsidRPr="00D30B39">
        <w:rPr>
          <w:sz w:val="20"/>
          <w:szCs w:val="20"/>
        </w:rPr>
        <w:t xml:space="preserve">STM </w:t>
      </w:r>
      <w:proofErr w:type="spellStart"/>
      <w:r w:rsidR="00F10B31" w:rsidRPr="00D30B39">
        <w:rPr>
          <w:sz w:val="20"/>
          <w:szCs w:val="20"/>
        </w:rPr>
        <w:t>Nucleo</w:t>
      </w:r>
      <w:proofErr w:type="spellEnd"/>
      <w:r w:rsidR="00FA47A6" w:rsidRPr="00D30B39">
        <w:rPr>
          <w:sz w:val="20"/>
          <w:szCs w:val="20"/>
        </w:rPr>
        <w:t xml:space="preserve">), moduł </w:t>
      </w:r>
      <w:proofErr w:type="spellStart"/>
      <w:r w:rsidR="00FA47A6" w:rsidRPr="00D30B39">
        <w:rPr>
          <w:sz w:val="20"/>
          <w:szCs w:val="20"/>
        </w:rPr>
        <w:t>LoRa</w:t>
      </w:r>
      <w:proofErr w:type="spellEnd"/>
      <w:r w:rsidR="00FA47A6" w:rsidRPr="00D30B39">
        <w:rPr>
          <w:sz w:val="20"/>
          <w:szCs w:val="20"/>
        </w:rPr>
        <w:t xml:space="preserve"> z anteną: SX1278 lub Ra-02 868MHz lub RFM96 868MHz.</w:t>
      </w:r>
    </w:p>
    <w:p w14:paraId="7EF32615" w14:textId="77777777" w:rsidR="009C0F33" w:rsidRPr="00D30B39" w:rsidRDefault="009C0F33" w:rsidP="009C0F33">
      <w:pPr>
        <w:spacing w:after="0"/>
        <w:ind w:left="1410" w:hanging="1410"/>
        <w:jc w:val="both"/>
        <w:rPr>
          <w:rFonts w:eastAsia="Times New Roman" w:cs="Tahoma"/>
          <w:sz w:val="20"/>
          <w:szCs w:val="20"/>
          <w:lang w:eastAsia="pl-PL"/>
        </w:rPr>
      </w:pPr>
    </w:p>
    <w:p w14:paraId="5108F268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lang w:eastAsia="pl-PL"/>
        </w:rPr>
      </w:pPr>
    </w:p>
    <w:p w14:paraId="5F486682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Pytanie nr 7:</w:t>
      </w:r>
    </w:p>
    <w:p w14:paraId="77916430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cs="Tahoma"/>
          <w:sz w:val="20"/>
          <w:szCs w:val="20"/>
        </w:rPr>
        <w:t>Dotyczy Załącznik nr 7 OPIS PRZEDMIOTU ZAMÓWIENIA</w:t>
      </w:r>
    </w:p>
    <w:p w14:paraId="1FBD72E9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41EE16A8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7.</w:t>
      </w:r>
      <w:r w:rsidRPr="00D30B39">
        <w:rPr>
          <w:rFonts w:cs="Tahoma"/>
          <w:i/>
          <w:iCs/>
          <w:sz w:val="20"/>
          <w:szCs w:val="20"/>
        </w:rPr>
        <w:tab/>
        <w:t>Zewnętrzne interfejsy sprzętowe do API systemu:</w:t>
      </w:r>
    </w:p>
    <w:p w14:paraId="65E805D8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[…]</w:t>
      </w:r>
    </w:p>
    <w:p w14:paraId="11350F01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moduł STM32 NUCLEO-F103RB z 32-bitowym mikrokontrolerem wyposażonym w rdzeń ARM </w:t>
      </w:r>
      <w:proofErr w:type="spellStart"/>
      <w:r w:rsidRPr="00D30B39">
        <w:rPr>
          <w:rFonts w:cs="Tahoma"/>
          <w:i/>
          <w:iCs/>
          <w:sz w:val="20"/>
          <w:szCs w:val="20"/>
        </w:rPr>
        <w:t>Cortex</w:t>
      </w:r>
      <w:proofErr w:type="spellEnd"/>
      <w:r w:rsidRPr="00D30B39">
        <w:rPr>
          <w:rFonts w:cs="Tahoma"/>
          <w:i/>
          <w:iCs/>
          <w:sz w:val="20"/>
          <w:szCs w:val="20"/>
        </w:rPr>
        <w:t> M3, 72 MHz, 128 </w:t>
      </w:r>
      <w:proofErr w:type="spellStart"/>
      <w:r w:rsidRPr="00D30B39">
        <w:rPr>
          <w:rFonts w:cs="Tahoma"/>
          <w:i/>
          <w:iCs/>
          <w:sz w:val="20"/>
          <w:szCs w:val="20"/>
        </w:rPr>
        <w:t>kB</w:t>
      </w:r>
      <w:proofErr w:type="spellEnd"/>
      <w:r w:rsidRPr="00D30B39">
        <w:rPr>
          <w:rFonts w:cs="Tahoma"/>
          <w:i/>
          <w:iCs/>
          <w:sz w:val="20"/>
          <w:szCs w:val="20"/>
        </w:rPr>
        <w:t> Flash, 20 </w:t>
      </w:r>
      <w:proofErr w:type="spellStart"/>
      <w:r w:rsidRPr="00D30B39">
        <w:rPr>
          <w:rFonts w:cs="Tahoma"/>
          <w:i/>
          <w:iCs/>
          <w:sz w:val="20"/>
          <w:szCs w:val="20"/>
        </w:rPr>
        <w:t>kB</w:t>
      </w:r>
      <w:proofErr w:type="spellEnd"/>
      <w:r w:rsidRPr="00D30B39">
        <w:rPr>
          <w:rFonts w:cs="Tahoma"/>
          <w:i/>
          <w:iCs/>
          <w:sz w:val="20"/>
          <w:szCs w:val="20"/>
        </w:rPr>
        <w:t> SRAM, kompatybilny z platformą </w:t>
      </w:r>
      <w:proofErr w:type="spellStart"/>
      <w:r w:rsidRPr="00D30B39">
        <w:rPr>
          <w:rFonts w:cs="Tahoma"/>
          <w:i/>
          <w:iCs/>
          <w:sz w:val="20"/>
          <w:szCs w:val="20"/>
        </w:rPr>
        <w:t>mbed</w:t>
      </w:r>
      <w:proofErr w:type="spellEnd"/>
      <w:r w:rsidRPr="00D30B39">
        <w:rPr>
          <w:rFonts w:cs="Tahoma"/>
          <w:i/>
          <w:iCs/>
          <w:sz w:val="20"/>
          <w:szCs w:val="20"/>
        </w:rPr>
        <w:t>,  </w:t>
      </w:r>
    </w:p>
    <w:p w14:paraId="3B8D638B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Prosimy o potwierdzenie, że nowa wersja M4 o parametrach tożsamych i lepszych niż M3 spełni wymagania Zamawiającego i może zostać zaoferowana w niniejszym przetargu.</w:t>
      </w:r>
    </w:p>
    <w:p w14:paraId="3A309E98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7640F18D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cs="Courier New"/>
          <w:sz w:val="20"/>
          <w:szCs w:val="20"/>
          <w:shd w:val="clear" w:color="auto" w:fill="FFFFFF"/>
        </w:rPr>
        <w:t>Zamawiający informuje, że zmodyfikował opis przedmiotu zamówienia i umieścił zmodyfikowany plik w dniu dzisiejszym na stronie postępowania.</w:t>
      </w:r>
    </w:p>
    <w:p w14:paraId="347FA13D" w14:textId="77777777" w:rsidR="002B50EB" w:rsidRPr="00D30B39" w:rsidRDefault="002B50EB" w:rsidP="002B50EB">
      <w:pPr>
        <w:spacing w:before="120" w:after="120"/>
        <w:contextualSpacing/>
        <w:jc w:val="both"/>
        <w:rPr>
          <w:rFonts w:cs="Helvetica"/>
          <w:sz w:val="20"/>
          <w:szCs w:val="20"/>
          <w:shd w:val="clear" w:color="auto" w:fill="FFFFFF"/>
        </w:rPr>
      </w:pPr>
    </w:p>
    <w:p w14:paraId="1F59741C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Pytanie nr 8:</w:t>
      </w:r>
    </w:p>
    <w:p w14:paraId="45C80C92" w14:textId="77777777" w:rsidR="002B50EB" w:rsidRPr="00D30B39" w:rsidRDefault="002B50EB" w:rsidP="002B50EB">
      <w:pPr>
        <w:spacing w:after="160" w:line="259" w:lineRule="auto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Załącznik nr 7 OPIS PRZEDMIOTU ZAMÓWIENIA</w:t>
      </w:r>
    </w:p>
    <w:p w14:paraId="269711EF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0C97CFF3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7.</w:t>
      </w:r>
      <w:r w:rsidRPr="00D30B39">
        <w:rPr>
          <w:rFonts w:cs="Tahoma"/>
          <w:i/>
          <w:iCs/>
          <w:sz w:val="20"/>
          <w:szCs w:val="20"/>
        </w:rPr>
        <w:tab/>
        <w:t xml:space="preserve">Zewnętrzne interfejsy sprzętowe do API systemu: </w:t>
      </w:r>
    </w:p>
    <w:p w14:paraId="371153C0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[…]</w:t>
      </w:r>
    </w:p>
    <w:p w14:paraId="2EC6C89D" w14:textId="77777777" w:rsidR="002B50EB" w:rsidRPr="00D30B39" w:rsidRDefault="002B50EB" w:rsidP="002B50EB">
      <w:pPr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ab/>
        <w:t>·       potencjometr montażowy do druku (3 x 15k),   </w:t>
      </w:r>
    </w:p>
    <w:p w14:paraId="1B0AFD0A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Wskazane potencjometry 15k charakteryzują się małą popularnością, a przez to są trudno dostępne na rynku komponentów elektronicznych. Prosimy o potwierdzenie, że Zamawiający dopuści zmianę na potencjometr 10k, które są znacznie bardziej popularne a przez to o wiele bardziej dostępne.</w:t>
      </w:r>
    </w:p>
    <w:p w14:paraId="0F9A1F7C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26B68A07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cs="Courier New"/>
          <w:sz w:val="20"/>
          <w:szCs w:val="20"/>
          <w:shd w:val="clear" w:color="auto" w:fill="FFFFFF"/>
        </w:rPr>
        <w:lastRenderedPageBreak/>
        <w:t>Zamawiający informuje, że zmodyfikował opis przedmiotu zamówienia i umieścił zmodyfikowany plik w dniu dzisiejszym na stronie postępowania.</w:t>
      </w:r>
    </w:p>
    <w:p w14:paraId="43D9E7F0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19A3C146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Pytanie nr 9:</w:t>
      </w:r>
    </w:p>
    <w:p w14:paraId="3A3A612A" w14:textId="77777777" w:rsidR="002B50EB" w:rsidRPr="00D30B39" w:rsidRDefault="002B50EB" w:rsidP="002B50EB">
      <w:pPr>
        <w:spacing w:after="160" w:line="259" w:lineRule="auto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Załącznik nr 7 OPIS PRZEDMIOTU ZAMÓWIENIA</w:t>
      </w:r>
    </w:p>
    <w:p w14:paraId="6CAE4DB7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75E84DED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7.</w:t>
      </w:r>
      <w:r w:rsidRPr="00D30B39">
        <w:rPr>
          <w:rFonts w:cs="Tahoma"/>
          <w:i/>
          <w:iCs/>
          <w:sz w:val="20"/>
          <w:szCs w:val="20"/>
        </w:rPr>
        <w:tab/>
        <w:t xml:space="preserve">Zewnętrzne interfejsy sprzętowe do API systemu: </w:t>
      </w:r>
    </w:p>
    <w:p w14:paraId="6C028564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[…]</w:t>
      </w:r>
    </w:p>
    <w:p w14:paraId="37C436C1" w14:textId="77777777" w:rsidR="002B50EB" w:rsidRPr="00D30B39" w:rsidRDefault="002B50EB" w:rsidP="002B50EB">
      <w:pPr>
        <w:spacing w:after="0" w:line="240" w:lineRule="auto"/>
        <w:ind w:left="708"/>
        <w:rPr>
          <w:rFonts w:eastAsia="Times New Roman" w:cs="Tahoma"/>
          <w:color w:val="000000"/>
          <w:sz w:val="20"/>
          <w:szCs w:val="20"/>
          <w:lang w:eastAsia="pl-PL"/>
        </w:rPr>
      </w:pPr>
      <w:r w:rsidRPr="00D30B39">
        <w:rPr>
          <w:rFonts w:eastAsia="Times New Roman" w:cs="Tahoma"/>
          <w:color w:val="000000"/>
          <w:sz w:val="20"/>
          <w:szCs w:val="20"/>
          <w:lang w:eastAsia="pl-PL"/>
        </w:rPr>
        <w:t>·       moduł </w:t>
      </w:r>
      <w:proofErr w:type="spellStart"/>
      <w:r w:rsidRPr="00D30B39">
        <w:rPr>
          <w:rFonts w:eastAsia="Times New Roman" w:cs="Tahoma"/>
          <w:color w:val="000000"/>
          <w:sz w:val="20"/>
          <w:szCs w:val="20"/>
          <w:lang w:eastAsia="pl-PL"/>
        </w:rPr>
        <w:t>LoRa</w:t>
      </w:r>
      <w:proofErr w:type="spellEnd"/>
      <w:r w:rsidRPr="00D30B39">
        <w:rPr>
          <w:rFonts w:eastAsia="Times New Roman" w:cs="Tahoma"/>
          <w:color w:val="000000"/>
          <w:sz w:val="20"/>
          <w:szCs w:val="20"/>
          <w:lang w:eastAsia="pl-PL"/>
        </w:rPr>
        <w:t> (</w:t>
      </w:r>
      <w:proofErr w:type="spellStart"/>
      <w:r w:rsidRPr="00D30B39">
        <w:rPr>
          <w:rFonts w:eastAsia="Times New Roman" w:cs="Tahoma"/>
          <w:color w:val="000000"/>
          <w:sz w:val="20"/>
          <w:szCs w:val="20"/>
          <w:lang w:eastAsia="pl-PL"/>
        </w:rPr>
        <w:t>Semtech</w:t>
      </w:r>
      <w:proofErr w:type="spellEnd"/>
      <w:r w:rsidRPr="00D30B39">
        <w:rPr>
          <w:rFonts w:eastAsia="Times New Roman" w:cs="Tahoma"/>
          <w:color w:val="000000"/>
          <w:sz w:val="20"/>
          <w:szCs w:val="20"/>
          <w:lang w:eastAsia="pl-PL"/>
        </w:rPr>
        <w:t> 1376, </w:t>
      </w:r>
      <w:proofErr w:type="spellStart"/>
      <w:r w:rsidRPr="00D30B39">
        <w:rPr>
          <w:rFonts w:eastAsia="Times New Roman" w:cs="Tahoma"/>
          <w:color w:val="000000"/>
          <w:sz w:val="20"/>
          <w:szCs w:val="20"/>
          <w:lang w:eastAsia="pl-PL"/>
        </w:rPr>
        <w:t>Microchip</w:t>
      </w:r>
      <w:proofErr w:type="spellEnd"/>
      <w:r w:rsidRPr="00D30B39">
        <w:rPr>
          <w:rFonts w:eastAsia="Times New Roman" w:cs="Tahoma"/>
          <w:color w:val="000000"/>
          <w:sz w:val="20"/>
          <w:szCs w:val="20"/>
          <w:lang w:eastAsia="pl-PL"/>
        </w:rPr>
        <w:t> RN2483),   </w:t>
      </w:r>
    </w:p>
    <w:p w14:paraId="7D755377" w14:textId="77777777" w:rsidR="002B50EB" w:rsidRPr="00D30B39" w:rsidRDefault="002B50EB" w:rsidP="002B50EB">
      <w:pPr>
        <w:rPr>
          <w:rFonts w:cs="Tahoma"/>
          <w:sz w:val="20"/>
          <w:szCs w:val="20"/>
        </w:rPr>
      </w:pPr>
    </w:p>
    <w:p w14:paraId="190FF5C4" w14:textId="77777777" w:rsidR="002B50EB" w:rsidRPr="00D30B39" w:rsidRDefault="002B50EB" w:rsidP="007A7BEB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Dostępność wskazanego komponentu jest praktycznie znikoma z czasami realizacji zlecenia produkcyjnego na poziomie roku. Prosimy o potwierdzenie, że Zamawiający dopuści rozwiązanie równoważne i lepsze.</w:t>
      </w:r>
    </w:p>
    <w:p w14:paraId="14542BA9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7C1BA27F" w14:textId="7543A301" w:rsidR="002B50EB" w:rsidRPr="00D30B39" w:rsidRDefault="002B50EB" w:rsidP="002B50EB">
      <w:pPr>
        <w:rPr>
          <w:rFonts w:cs="Tahoma"/>
          <w:sz w:val="20"/>
          <w:szCs w:val="20"/>
        </w:rPr>
      </w:pPr>
    </w:p>
    <w:p w14:paraId="3ED144EA" w14:textId="0B4AED47" w:rsidR="00FA47A6" w:rsidRPr="00D30B39" w:rsidRDefault="00A713FF" w:rsidP="002B50EB">
      <w:pPr>
        <w:rPr>
          <w:rFonts w:cs="Tahoma"/>
          <w:sz w:val="20"/>
          <w:szCs w:val="20"/>
        </w:rPr>
      </w:pPr>
      <w:r w:rsidRPr="00D30B39">
        <w:rPr>
          <w:sz w:val="20"/>
          <w:szCs w:val="20"/>
        </w:rPr>
        <w:t xml:space="preserve">Zamawiający dopuszcza inne rozwiązanie modułu </w:t>
      </w:r>
      <w:proofErr w:type="spellStart"/>
      <w:r w:rsidRPr="00D30B39">
        <w:rPr>
          <w:sz w:val="20"/>
          <w:szCs w:val="20"/>
        </w:rPr>
        <w:t>LoRa</w:t>
      </w:r>
      <w:proofErr w:type="spellEnd"/>
      <w:r w:rsidRPr="00D30B39">
        <w:rPr>
          <w:sz w:val="20"/>
          <w:szCs w:val="20"/>
        </w:rPr>
        <w:t>, jeżeli istnieją do niego biblioteki programistyczne dla 8- i 32-bitowych mikrokontrolerów w popularnych środowiskach deweloperskich</w:t>
      </w:r>
    </w:p>
    <w:p w14:paraId="4B35D381" w14:textId="77777777" w:rsidR="002B50EB" w:rsidRPr="00D30B39" w:rsidRDefault="002B50EB" w:rsidP="002B50EB">
      <w:pPr>
        <w:rPr>
          <w:rFonts w:cs="Tahoma"/>
          <w:sz w:val="20"/>
          <w:szCs w:val="20"/>
        </w:rPr>
      </w:pPr>
    </w:p>
    <w:p w14:paraId="6AFFCEF5" w14:textId="77777777" w:rsidR="002B50EB" w:rsidRPr="00D30B39" w:rsidRDefault="002B50EB" w:rsidP="002B50EB">
      <w:pPr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Pytanie nr 10:</w:t>
      </w:r>
    </w:p>
    <w:p w14:paraId="72B377B3" w14:textId="77777777" w:rsidR="002B50EB" w:rsidRPr="00D30B39" w:rsidRDefault="002B50EB" w:rsidP="002B50EB">
      <w:pPr>
        <w:spacing w:after="160" w:line="259" w:lineRule="auto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Załącznik nr 7 OPIS PRZEDMIOTU ZAMÓWIENIA</w:t>
      </w:r>
    </w:p>
    <w:p w14:paraId="6A04010A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36A8D5F1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7.</w:t>
      </w:r>
      <w:r w:rsidRPr="00D30B39">
        <w:rPr>
          <w:rFonts w:cs="Tahoma"/>
          <w:i/>
          <w:iCs/>
          <w:sz w:val="20"/>
          <w:szCs w:val="20"/>
        </w:rPr>
        <w:tab/>
        <w:t>Zewnętrzne interfejsy sprzętowe do API systemu:</w:t>
      </w:r>
    </w:p>
    <w:p w14:paraId="06245B51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b. Zewnętrzne interfejsy sprzętowe (30 sztuk) realizowane w postaci czytników kart zbliżeniowych – elektronicznych legitymacji studenckich: powinny cechować się odpornością na uszkodzenia mechaniczne i posiadać złącze zasilające i złącze transmisji danych </w:t>
      </w:r>
      <w:proofErr w:type="spellStart"/>
      <w:r w:rsidRPr="00D30B39">
        <w:rPr>
          <w:rFonts w:cs="Tahoma"/>
          <w:i/>
          <w:iCs/>
          <w:sz w:val="20"/>
          <w:szCs w:val="20"/>
        </w:rPr>
        <w:t>PoE</w:t>
      </w:r>
      <w:proofErr w:type="spellEnd"/>
      <w:r w:rsidRPr="00D30B39">
        <w:rPr>
          <w:rFonts w:cs="Tahoma"/>
          <w:i/>
          <w:iCs/>
          <w:sz w:val="20"/>
          <w:szCs w:val="20"/>
        </w:rPr>
        <w:t> Ethernet, a także możliwość transmisji danych bezprzewodowo </w:t>
      </w:r>
      <w:proofErr w:type="spellStart"/>
      <w:r w:rsidRPr="00D30B39">
        <w:rPr>
          <w:rFonts w:cs="Tahoma"/>
          <w:i/>
          <w:iCs/>
          <w:sz w:val="20"/>
          <w:szCs w:val="20"/>
        </w:rPr>
        <w:t>WiFi</w:t>
      </w:r>
      <w:proofErr w:type="spellEnd"/>
      <w:r w:rsidRPr="00D30B39">
        <w:rPr>
          <w:rFonts w:cs="Tahoma"/>
          <w:i/>
          <w:iCs/>
          <w:sz w:val="20"/>
          <w:szCs w:val="20"/>
        </w:rPr>
        <w:t> 802.11. </w:t>
      </w:r>
    </w:p>
    <w:p w14:paraId="3BCFE0F5" w14:textId="77777777" w:rsidR="002B50EB" w:rsidRPr="00D30B39" w:rsidRDefault="002B50EB" w:rsidP="007A7BEB">
      <w:pPr>
        <w:pStyle w:val="Akapitzlist"/>
        <w:numPr>
          <w:ilvl w:val="0"/>
          <w:numId w:val="10"/>
        </w:numPr>
        <w:spacing w:after="160" w:line="259" w:lineRule="auto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wyjaśnienie czy Zamawiający korzysta z systemu kontroli dostępu? Jeśli tak, to prosimy o wyjaśnienie z jakim rozwiązaniem mają być kompatybilne czytniki zbliżeniowe kart studenckich.</w:t>
      </w:r>
    </w:p>
    <w:p w14:paraId="30F5E920" w14:textId="77777777" w:rsidR="002B50EB" w:rsidRPr="00D30B39" w:rsidRDefault="002B50EB" w:rsidP="002B50EB">
      <w:pPr>
        <w:pStyle w:val="Akapitzlist"/>
        <w:numPr>
          <w:ilvl w:val="0"/>
          <w:numId w:val="10"/>
        </w:numPr>
        <w:spacing w:after="160" w:line="259" w:lineRule="auto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wyjaśnienie, gdzie fizycznie będą instalowane ww. czytniki kart zbliżeniowych.</w:t>
      </w:r>
    </w:p>
    <w:p w14:paraId="64FD4D76" w14:textId="77777777" w:rsidR="002B50EB" w:rsidRPr="00D30B39" w:rsidRDefault="002B50EB" w:rsidP="002B50EB">
      <w:pPr>
        <w:pStyle w:val="Akapitzlist"/>
        <w:numPr>
          <w:ilvl w:val="0"/>
          <w:numId w:val="10"/>
        </w:numPr>
        <w:spacing w:after="160" w:line="259" w:lineRule="auto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wyjaśnienie w jakim kontekście instalowane będą ww. czytniki kart zbliżeniowych.</w:t>
      </w:r>
    </w:p>
    <w:p w14:paraId="649183BA" w14:textId="77777777" w:rsidR="002B50EB" w:rsidRPr="00D30B39" w:rsidRDefault="002B50EB" w:rsidP="002B50EB">
      <w:pPr>
        <w:pStyle w:val="Akapitzlist"/>
        <w:numPr>
          <w:ilvl w:val="0"/>
          <w:numId w:val="10"/>
        </w:numPr>
        <w:spacing w:after="160" w:line="259" w:lineRule="auto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wyjaśnienie, czy jest przygotowana infrastruktura kablowa/wifi bądź miejsce na poprowadzenie tej infrastruktury by zapewnić połączenie z systemem kontroli dostępu.</w:t>
      </w:r>
    </w:p>
    <w:p w14:paraId="3D776AEF" w14:textId="77777777" w:rsidR="002B50EB" w:rsidRPr="00D30B39" w:rsidRDefault="002B50EB" w:rsidP="002B50EB">
      <w:pPr>
        <w:rPr>
          <w:rFonts w:cs="Tahoma"/>
          <w:sz w:val="20"/>
          <w:szCs w:val="20"/>
        </w:rPr>
      </w:pPr>
    </w:p>
    <w:p w14:paraId="294E3009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41860D8C" w14:textId="77777777" w:rsidR="0089105F" w:rsidRPr="00D30B39" w:rsidRDefault="0089105F" w:rsidP="0089105F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cs="Courier New"/>
          <w:sz w:val="20"/>
          <w:szCs w:val="20"/>
          <w:shd w:val="clear" w:color="auto" w:fill="FFFFFF"/>
        </w:rPr>
        <w:t>Zamawiający informuje, że zmodyfikował opis przedmiotu zamówienia i umieścił zmodyfikowany plik w dniu dzisiejszym na stronie postępowania.</w:t>
      </w:r>
    </w:p>
    <w:p w14:paraId="3795A19C" w14:textId="77777777" w:rsidR="002B50EB" w:rsidRPr="00D30B39" w:rsidRDefault="002B50EB" w:rsidP="002B50EB">
      <w:pPr>
        <w:rPr>
          <w:rFonts w:cs="Tahoma"/>
          <w:sz w:val="20"/>
          <w:szCs w:val="20"/>
        </w:rPr>
      </w:pPr>
    </w:p>
    <w:p w14:paraId="0265BD6F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1421040C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Pytanie11: </w:t>
      </w:r>
    </w:p>
    <w:p w14:paraId="51A50718" w14:textId="77777777" w:rsidR="002B50EB" w:rsidRPr="00D30B39" w:rsidRDefault="002B50EB" w:rsidP="002B50EB">
      <w:pPr>
        <w:spacing w:after="160" w:line="259" w:lineRule="auto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Załącznik nr 7 OPIS PRZEDMIOTU ZAMÓWIENIA</w:t>
      </w:r>
    </w:p>
    <w:p w14:paraId="430E002E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0B29C419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7.</w:t>
      </w:r>
      <w:r w:rsidRPr="00D30B39">
        <w:rPr>
          <w:rFonts w:cs="Tahoma"/>
          <w:i/>
          <w:iCs/>
          <w:sz w:val="20"/>
          <w:szCs w:val="20"/>
        </w:rPr>
        <w:tab/>
        <w:t>Zewnętrzne interfejsy sprzętowe do API systemu:</w:t>
      </w:r>
    </w:p>
    <w:p w14:paraId="5C54AF53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[…]</w:t>
      </w:r>
    </w:p>
    <w:p w14:paraId="37D6DE7E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c.</w:t>
      </w:r>
      <w:r w:rsidRPr="00D30B39">
        <w:rPr>
          <w:rFonts w:cs="Tahoma"/>
          <w:i/>
          <w:iCs/>
          <w:sz w:val="20"/>
          <w:szCs w:val="20"/>
        </w:rPr>
        <w:tab/>
        <w:t>Serwisowanie interfejsów w trakcie okresu wdrożenia i wsparcia systemu informatycznego.</w:t>
      </w:r>
    </w:p>
    <w:p w14:paraId="49224B5C" w14:textId="77777777" w:rsidR="002B50EB" w:rsidRPr="00D30B39" w:rsidRDefault="002B50EB" w:rsidP="007A7BEB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Prosimy o potwierdzenie, że okres serwisowania interfejsów wynosić będzie 24 miesiące, zgodnie z gwarancją producenta.</w:t>
      </w:r>
    </w:p>
    <w:p w14:paraId="43B1DC1E" w14:textId="77777777" w:rsidR="002B50EB" w:rsidRPr="00D30B39" w:rsidRDefault="002B50EB" w:rsidP="002B50EB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1956409E" w14:textId="663E3020" w:rsidR="002B50EB" w:rsidRPr="00D30B39" w:rsidRDefault="0089105F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Okres serwisowania interfejsów wynosić będzie 24 miesiące, zgodnie z gwarancją producenta.</w:t>
      </w:r>
    </w:p>
    <w:p w14:paraId="43C68237" w14:textId="77777777" w:rsidR="0089105F" w:rsidRPr="00D30B39" w:rsidRDefault="0089105F" w:rsidP="002B50EB">
      <w:pPr>
        <w:rPr>
          <w:rFonts w:cs="Tahoma"/>
          <w:sz w:val="20"/>
          <w:szCs w:val="20"/>
        </w:rPr>
      </w:pPr>
    </w:p>
    <w:p w14:paraId="1CF9BF73" w14:textId="77777777" w:rsidR="002B50EB" w:rsidRPr="00D30B39" w:rsidRDefault="002B50EB" w:rsidP="002B50EB">
      <w:pPr>
        <w:spacing w:after="160" w:line="259" w:lineRule="auto"/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Pytanie 12:</w:t>
      </w:r>
    </w:p>
    <w:p w14:paraId="34324E48" w14:textId="77777777" w:rsidR="002B50EB" w:rsidRPr="00D30B39" w:rsidRDefault="002B50EB" w:rsidP="002B50EB">
      <w:pPr>
        <w:spacing w:after="160" w:line="259" w:lineRule="auto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Załącznik nr 7 OPIS PRZEDMIOTU ZAMÓWIENIA</w:t>
      </w:r>
    </w:p>
    <w:p w14:paraId="08F20025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46FC32B4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8.</w:t>
      </w:r>
      <w:r w:rsidRPr="00D30B39">
        <w:rPr>
          <w:rFonts w:cs="Tahoma"/>
          <w:i/>
          <w:iCs/>
          <w:sz w:val="20"/>
          <w:szCs w:val="20"/>
        </w:rPr>
        <w:tab/>
        <w:t xml:space="preserve">Usługa konfiguracji i modernizacji serwera HP </w:t>
      </w:r>
      <w:proofErr w:type="spellStart"/>
      <w:r w:rsidRPr="00D30B39">
        <w:rPr>
          <w:rFonts w:cs="Tahoma"/>
          <w:i/>
          <w:iCs/>
          <w:sz w:val="20"/>
          <w:szCs w:val="20"/>
        </w:rPr>
        <w:t>Proliant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DL160 G6 do funkcjonalności odpowiadającej dostępnym w sprzedaży modelom producenta przynajmniej generacji 10 – do potrzeb dedykowanego systemu informatycznego z uwzględnieniem: </w:t>
      </w:r>
    </w:p>
    <w:p w14:paraId="5432041F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a.</w:t>
      </w:r>
      <w:r w:rsidRPr="00D30B39">
        <w:rPr>
          <w:rFonts w:cs="Tahoma"/>
          <w:i/>
          <w:iCs/>
          <w:sz w:val="20"/>
          <w:szCs w:val="20"/>
        </w:rPr>
        <w:tab/>
        <w:t xml:space="preserve">Rozszerzenia przestrzeni dyskowej o 8 dysków o parametrach: 4 TB / 256 MB / 7200 RPM / 36 </w:t>
      </w:r>
      <w:proofErr w:type="spellStart"/>
      <w:r w:rsidRPr="00D30B39">
        <w:rPr>
          <w:rFonts w:cs="Tahoma"/>
          <w:i/>
          <w:iCs/>
          <w:sz w:val="20"/>
          <w:szCs w:val="20"/>
        </w:rPr>
        <w:t>dB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/ sensor. </w:t>
      </w:r>
    </w:p>
    <w:p w14:paraId="1DD50636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b.</w:t>
      </w:r>
      <w:r w:rsidRPr="00D30B39">
        <w:rPr>
          <w:rFonts w:cs="Tahoma"/>
          <w:i/>
          <w:iCs/>
          <w:sz w:val="20"/>
          <w:szCs w:val="20"/>
        </w:rPr>
        <w:tab/>
        <w:t xml:space="preserve">4-rdzeniowy procesor Intel® Xeon® E-2224, 32GB pamięci RAM. </w:t>
      </w:r>
    </w:p>
    <w:p w14:paraId="105BFD24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c.</w:t>
      </w:r>
      <w:r w:rsidRPr="00D30B39">
        <w:rPr>
          <w:rFonts w:cs="Tahoma"/>
          <w:i/>
          <w:iCs/>
          <w:sz w:val="20"/>
          <w:szCs w:val="20"/>
        </w:rPr>
        <w:tab/>
        <w:t xml:space="preserve">Dopasowania systemu zasilania. </w:t>
      </w:r>
    </w:p>
    <w:p w14:paraId="340B1868" w14:textId="77777777" w:rsidR="002B50EB" w:rsidRPr="00D30B39" w:rsidRDefault="002B50EB" w:rsidP="007A7B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 xml:space="preserve">Prosimy o wyjaśnienie, czy Zamawiający dopuści wymianę serwera, na serwer o parametrach zgodnych z wymaganiami modernizacji określonymi przez Zamawiającego. Koszt rozbudowy – stanowi praktycznie koszt dostarczenia nowego rozwiązania o parametrach zgodnych z wymaganiami. W przypadku wymiany nie występuje ryzyko uszkodzenia dotychczasowego serwera – który ze względu na lata eksploatacji może uniemożliwić skuteczną modernizacje. </w:t>
      </w:r>
    </w:p>
    <w:p w14:paraId="28B42ED1" w14:textId="77777777" w:rsidR="002B50EB" w:rsidRPr="00D30B39" w:rsidRDefault="002B50EB" w:rsidP="007A7B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potwierdzenie, że Zamawiający posiada wsparcie producenta HP Proliant DL160 G6.</w:t>
      </w:r>
    </w:p>
    <w:p w14:paraId="2374C405" w14:textId="77777777" w:rsidR="002B50EB" w:rsidRPr="00D30B39" w:rsidRDefault="002B50EB" w:rsidP="007A7B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  <w:lang w:val="pl-PL"/>
        </w:rPr>
        <w:t xml:space="preserve">Prosimy o potwierdzenie, że w przypadku realizacji zadań modernizacji nastąpi awaria któregoś komponentu HP Proliant DL160 G6 Zamawiający posiada wsparcie producenta. </w:t>
      </w:r>
      <w:r w:rsidRPr="00D30B39">
        <w:rPr>
          <w:rFonts w:cs="Tahoma"/>
          <w:sz w:val="20"/>
          <w:szCs w:val="20"/>
        </w:rPr>
        <w:t>Koszt wymiany i uszkodzonego komponentu zostanie poniesiony przez Zamawiającego.</w:t>
      </w:r>
    </w:p>
    <w:p w14:paraId="5190C137" w14:textId="77777777" w:rsidR="002B50EB" w:rsidRPr="00D30B39" w:rsidRDefault="002B50EB" w:rsidP="007A7B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 xml:space="preserve">Prosimy o potwierdzenie, że Zamawiający dołoży wszelkich starań w celu </w:t>
      </w:r>
    </w:p>
    <w:p w14:paraId="39514D2C" w14:textId="77777777" w:rsidR="002B50EB" w:rsidRPr="00D30B39" w:rsidRDefault="002B50EB" w:rsidP="007A7BEB">
      <w:pPr>
        <w:jc w:val="both"/>
        <w:rPr>
          <w:rFonts w:cs="Tahoma"/>
          <w:sz w:val="20"/>
          <w:szCs w:val="20"/>
        </w:rPr>
      </w:pPr>
    </w:p>
    <w:p w14:paraId="7F0A63ED" w14:textId="5F37810A" w:rsidR="006D5435" w:rsidRPr="00D30B39" w:rsidRDefault="006D5435" w:rsidP="006D5435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6F5E52DE" w14:textId="77777777" w:rsidR="0089105F" w:rsidRPr="00D30B39" w:rsidRDefault="0089105F" w:rsidP="006D5435">
      <w:pPr>
        <w:spacing w:after="0"/>
        <w:jc w:val="both"/>
        <w:rPr>
          <w:rFonts w:eastAsia="Times New Roman" w:cs="Tahoma"/>
          <w:b/>
          <w:color w:val="FF0000"/>
          <w:sz w:val="20"/>
          <w:szCs w:val="20"/>
          <w:u w:val="single"/>
          <w:lang w:eastAsia="pl-PL"/>
        </w:rPr>
      </w:pPr>
    </w:p>
    <w:p w14:paraId="13EF525D" w14:textId="77777777" w:rsidR="0089105F" w:rsidRPr="00D30B39" w:rsidRDefault="0089105F" w:rsidP="0089105F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cs="Courier New"/>
          <w:sz w:val="20"/>
          <w:szCs w:val="20"/>
          <w:shd w:val="clear" w:color="auto" w:fill="FFFFFF"/>
        </w:rPr>
        <w:lastRenderedPageBreak/>
        <w:t>Zamawiający informuje, że zmodyfikował opis przedmiotu zamówienia i umieścił zmodyfikowany plik w dniu dzisiejszym na stronie postępowania.</w:t>
      </w:r>
    </w:p>
    <w:p w14:paraId="4CA87E39" w14:textId="77777777" w:rsidR="006D5435" w:rsidRPr="00D30B39" w:rsidRDefault="006D5435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</w:p>
    <w:p w14:paraId="76FF25BF" w14:textId="77777777" w:rsidR="006D5435" w:rsidRPr="00D30B39" w:rsidRDefault="006D5435" w:rsidP="006D5435">
      <w:pPr>
        <w:spacing w:after="160" w:line="259" w:lineRule="auto"/>
        <w:rPr>
          <w:rFonts w:cs="Tahoma"/>
          <w:b/>
          <w:sz w:val="20"/>
          <w:szCs w:val="20"/>
          <w:u w:val="single"/>
        </w:rPr>
      </w:pPr>
    </w:p>
    <w:p w14:paraId="355816CF" w14:textId="77777777" w:rsidR="006D5435" w:rsidRPr="00D30B39" w:rsidRDefault="006D5435" w:rsidP="006D5435">
      <w:pPr>
        <w:spacing w:after="160" w:line="259" w:lineRule="auto"/>
        <w:ind w:left="720" w:hanging="360"/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Pytanie 13:</w:t>
      </w:r>
    </w:p>
    <w:p w14:paraId="0F6FD7F2" w14:textId="77777777" w:rsidR="002B50EB" w:rsidRPr="00D30B39" w:rsidRDefault="002B50EB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Załącznik nr 7 OPIS PRZEDMIOTU ZAMÓWIENIA</w:t>
      </w:r>
    </w:p>
    <w:p w14:paraId="50BC2319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5C9B5B29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8.</w:t>
      </w:r>
      <w:r w:rsidRPr="00D30B39">
        <w:rPr>
          <w:rFonts w:cs="Tahoma"/>
          <w:i/>
          <w:iCs/>
          <w:sz w:val="20"/>
          <w:szCs w:val="20"/>
        </w:rPr>
        <w:tab/>
        <w:t xml:space="preserve">Usługa konfiguracji i modernizacji serwera HP </w:t>
      </w:r>
      <w:proofErr w:type="spellStart"/>
      <w:r w:rsidRPr="00D30B39">
        <w:rPr>
          <w:rFonts w:cs="Tahoma"/>
          <w:i/>
          <w:iCs/>
          <w:sz w:val="20"/>
          <w:szCs w:val="20"/>
        </w:rPr>
        <w:t>Proliant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DL160 G6 do funkcjonalności odpowiadającej dostępnym w sprzedaży modelom producenta przynajmniej generacji 10 – do potrzeb dedykowanego systemu informatycznego z uwzględnieniem: </w:t>
      </w:r>
    </w:p>
    <w:p w14:paraId="4F050F02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[…]</w:t>
      </w:r>
    </w:p>
    <w:p w14:paraId="101D94C6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c.</w:t>
      </w:r>
      <w:r w:rsidRPr="00D30B39">
        <w:rPr>
          <w:rFonts w:cs="Tahoma"/>
          <w:i/>
          <w:iCs/>
          <w:sz w:val="20"/>
          <w:szCs w:val="20"/>
        </w:rPr>
        <w:tab/>
        <w:t xml:space="preserve">Dopasowania systemu zasilania. </w:t>
      </w:r>
    </w:p>
    <w:p w14:paraId="59E129A0" w14:textId="77777777" w:rsidR="006D5435" w:rsidRPr="00D30B39" w:rsidRDefault="006D5435" w:rsidP="006D5435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Prosimy o wyjaśnienie jakie zadanie należy wykonać w ramach realizacji „Dopasowania systemu zasilania”.? Prosimy o wyjaśnienie, na czy ma polegać dopasowanie?</w:t>
      </w:r>
    </w:p>
    <w:p w14:paraId="2E06B3B8" w14:textId="77777777" w:rsidR="002B50EB" w:rsidRPr="00D30B39" w:rsidRDefault="007A7BEB" w:rsidP="007A7BEB">
      <w:pPr>
        <w:jc w:val="both"/>
        <w:rPr>
          <w:rFonts w:cs="Tahoma"/>
          <w:sz w:val="20"/>
          <w:szCs w:val="20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109E009E" w14:textId="77777777" w:rsidR="0089105F" w:rsidRPr="00D30B39" w:rsidRDefault="0089105F" w:rsidP="0089105F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cs="Courier New"/>
          <w:sz w:val="20"/>
          <w:szCs w:val="20"/>
          <w:shd w:val="clear" w:color="auto" w:fill="FFFFFF"/>
        </w:rPr>
        <w:t>Zamawiający informuje, że zmodyfikował opis przedmiotu zamówienia i umieścił zmodyfikowany plik w dniu dzisiejszym na stronie postępowania.</w:t>
      </w:r>
    </w:p>
    <w:p w14:paraId="52297674" w14:textId="77777777" w:rsidR="007A7BEB" w:rsidRPr="00D30B39" w:rsidRDefault="007A7BEB" w:rsidP="007A7BEB">
      <w:pPr>
        <w:jc w:val="both"/>
        <w:rPr>
          <w:rFonts w:cs="Tahoma"/>
          <w:sz w:val="20"/>
          <w:szCs w:val="20"/>
        </w:rPr>
      </w:pPr>
    </w:p>
    <w:p w14:paraId="1BB22D77" w14:textId="77777777" w:rsidR="007A7BEB" w:rsidRPr="00D30B39" w:rsidRDefault="007A7BEB" w:rsidP="007A7BEB">
      <w:pPr>
        <w:jc w:val="both"/>
        <w:rPr>
          <w:rFonts w:cs="Tahoma"/>
          <w:sz w:val="20"/>
          <w:szCs w:val="20"/>
        </w:rPr>
      </w:pPr>
    </w:p>
    <w:p w14:paraId="1D86E23C" w14:textId="77777777" w:rsidR="006D5435" w:rsidRPr="00D30B39" w:rsidRDefault="006D5435" w:rsidP="006D5435">
      <w:pPr>
        <w:spacing w:after="160" w:line="259" w:lineRule="auto"/>
        <w:ind w:left="720" w:hanging="360"/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Pytanie 14:</w:t>
      </w:r>
    </w:p>
    <w:p w14:paraId="5AA1CD85" w14:textId="77777777" w:rsidR="002B50EB" w:rsidRPr="00D30B39" w:rsidRDefault="002B50EB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Załącznik nr 7 OPIS PRZEDMIOTU ZAMÓWIENIA</w:t>
      </w:r>
    </w:p>
    <w:p w14:paraId="0C564A3A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656A3D8D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Zewnętrzne interfejsy sprzętowe do API systemu: </w:t>
      </w:r>
    </w:p>
    <w:p w14:paraId="37C84A0D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a. dostarczenie i wstępna konfiguracja 150 sztuk zestawów zewnętrznych interfejsów sprzętowych w skład których wchodzi: </w:t>
      </w:r>
    </w:p>
    <w:p w14:paraId="19CDA9EB" w14:textId="77777777" w:rsidR="002B50EB" w:rsidRPr="00D30B39" w:rsidRDefault="002B50EB" w:rsidP="006D5435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Prosimy o wyjaśnienie, że w ramach wstępnej konfiguracji Zamawiający rozumie zapakowanie zestawu zewnętrznego interfejsu sprzętowego zgodnie ze specyfikacją zestawu.</w:t>
      </w:r>
    </w:p>
    <w:p w14:paraId="01FC6402" w14:textId="77777777" w:rsidR="006D5435" w:rsidRPr="00D30B39" w:rsidRDefault="006D5435" w:rsidP="006D5435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03E12ADE" w14:textId="77777777" w:rsidR="0089105F" w:rsidRPr="00D30B39" w:rsidRDefault="0089105F" w:rsidP="002B50EB">
      <w:pPr>
        <w:rPr>
          <w:rFonts w:cs="Tahoma"/>
          <w:sz w:val="20"/>
          <w:szCs w:val="20"/>
        </w:rPr>
      </w:pPr>
    </w:p>
    <w:p w14:paraId="162EB93A" w14:textId="19EF140E" w:rsidR="0089105F" w:rsidRPr="00D30B39" w:rsidRDefault="0089105F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 ramach wstępnej konfiguracji Zamawiający rozumie zapakowanie zestawu zewnętrznego interfejsu sprzętowego zgodnie ze specyfikacją zestawu</w:t>
      </w:r>
    </w:p>
    <w:p w14:paraId="5BC6B7D8" w14:textId="77777777" w:rsidR="006D5435" w:rsidRPr="00D30B39" w:rsidRDefault="006D5435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</w:p>
    <w:p w14:paraId="7187B062" w14:textId="77777777" w:rsidR="006D5435" w:rsidRPr="00D30B39" w:rsidRDefault="006D5435" w:rsidP="006D5435">
      <w:pPr>
        <w:spacing w:after="160" w:line="259" w:lineRule="auto"/>
        <w:ind w:left="720" w:hanging="360"/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Pytanie 15:</w:t>
      </w:r>
    </w:p>
    <w:p w14:paraId="7D869469" w14:textId="77777777" w:rsidR="002B50EB" w:rsidRPr="00D30B39" w:rsidRDefault="002B50EB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lastRenderedPageBreak/>
        <w:t>Dotyczy Załącznik nr 7 OPIS PRZEDMIOTU ZAMÓWIENIA</w:t>
      </w:r>
    </w:p>
    <w:p w14:paraId="2EF8873E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0F691C2F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bookmarkStart w:id="5" w:name="_Hlk94511776"/>
      <w:r w:rsidRPr="00D30B39">
        <w:rPr>
          <w:rFonts w:cs="Tahoma"/>
          <w:i/>
          <w:iCs/>
          <w:sz w:val="20"/>
          <w:szCs w:val="20"/>
        </w:rPr>
        <w:t>9. Oprogramowanie firm trzecich i licencje: </w:t>
      </w:r>
    </w:p>
    <w:bookmarkEnd w:id="5"/>
    <w:p w14:paraId="4E6AF590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[…]</w:t>
      </w:r>
    </w:p>
    <w:p w14:paraId="785B81E1" w14:textId="77777777" w:rsidR="002B50EB" w:rsidRPr="00D30B39" w:rsidRDefault="002B50EB" w:rsidP="002B50EB">
      <w:pPr>
        <w:ind w:left="708"/>
        <w:rPr>
          <w:rFonts w:cs="Tahoma"/>
          <w:i/>
          <w:iCs/>
          <w:sz w:val="20"/>
          <w:szCs w:val="20"/>
        </w:rPr>
      </w:pPr>
      <w:r w:rsidRPr="00D30B39">
        <w:rPr>
          <w:rFonts w:cs="Tahoma"/>
          <w:i/>
          <w:iCs/>
          <w:sz w:val="20"/>
          <w:szCs w:val="20"/>
        </w:rPr>
        <w:t>f.</w:t>
      </w:r>
      <w:r w:rsidRPr="00D30B39">
        <w:rPr>
          <w:rFonts w:cs="Tahoma"/>
          <w:i/>
          <w:iCs/>
          <w:sz w:val="20"/>
          <w:szCs w:val="20"/>
        </w:rPr>
        <w:tab/>
        <w:t xml:space="preserve">Dostęp do zasobów serwisów The </w:t>
      </w:r>
      <w:proofErr w:type="spellStart"/>
      <w:r w:rsidRPr="00D30B39">
        <w:rPr>
          <w:rFonts w:cs="Tahoma"/>
          <w:i/>
          <w:iCs/>
          <w:sz w:val="20"/>
          <w:szCs w:val="20"/>
        </w:rPr>
        <w:t>Things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Networks i </w:t>
      </w:r>
      <w:proofErr w:type="spellStart"/>
      <w:r w:rsidRPr="00D30B39">
        <w:rPr>
          <w:rFonts w:cs="Tahoma"/>
          <w:i/>
          <w:iCs/>
          <w:sz w:val="20"/>
          <w:szCs w:val="20"/>
        </w:rPr>
        <w:t>ThingsSpeak</w:t>
      </w:r>
      <w:proofErr w:type="spellEnd"/>
      <w:r w:rsidRPr="00D30B39">
        <w:rPr>
          <w:rFonts w:cs="Tahoma"/>
          <w:i/>
          <w:iCs/>
          <w:sz w:val="20"/>
          <w:szCs w:val="20"/>
        </w:rPr>
        <w:t xml:space="preserve"> (</w:t>
      </w:r>
      <w:proofErr w:type="spellStart"/>
      <w:r w:rsidRPr="00D30B39">
        <w:rPr>
          <w:rFonts w:cs="Tahoma"/>
          <w:i/>
          <w:iCs/>
          <w:sz w:val="20"/>
          <w:szCs w:val="20"/>
        </w:rPr>
        <w:t>MathWorks</w:t>
      </w:r>
      <w:proofErr w:type="spellEnd"/>
      <w:r w:rsidRPr="00D30B39">
        <w:rPr>
          <w:rFonts w:cs="Tahoma"/>
          <w:i/>
          <w:iCs/>
          <w:sz w:val="20"/>
          <w:szCs w:val="20"/>
        </w:rPr>
        <w:t>) z poziomu zdefiniowanego API.</w:t>
      </w:r>
    </w:p>
    <w:p w14:paraId="69929C82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potwierdzenie, że darmowe w/w usług dla projektów niekomercyjnych są wystarczające dla Zamawiającego. Jeśli nie prosimy o wskazanie w ramach jakiego modelu/licencji/planu Zamawiający chce korzystać z dostępu do wskazanych usług, na jaki okres? Prosimy o wskazanie konkretnych planów jak i czasu na jaki dana dostęp ma być świadczony. Wobec wielu polityk licencji i planów na podstawie przedstawionego wymagania Wykonawca nie ma możliwości oszacowania kosztów związanych realizacją wymagania – co stanowi nie pełny opis przedmiotu zamówienia.</w:t>
      </w:r>
    </w:p>
    <w:p w14:paraId="388B0629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potwierdzenie, że dostęp do tych usług z poziomu systemu będącego przedmiotem niniejszego zamówienia nie jest wymagany.</w:t>
      </w:r>
    </w:p>
    <w:p w14:paraId="4878320E" w14:textId="77777777" w:rsidR="006D5435" w:rsidRPr="00D30B39" w:rsidRDefault="006D5435" w:rsidP="006D5435">
      <w:pPr>
        <w:pStyle w:val="Akapitzlist"/>
        <w:numPr>
          <w:ilvl w:val="0"/>
          <w:numId w:val="0"/>
        </w:numPr>
        <w:spacing w:after="0"/>
        <w:ind w:left="360"/>
        <w:rPr>
          <w:rFonts w:eastAsia="Times New Roman" w:cs="Tahoma"/>
          <w:b/>
          <w:color w:val="FF0000"/>
          <w:sz w:val="20"/>
          <w:szCs w:val="20"/>
          <w:u w:val="single"/>
          <w:lang w:val="pl-PL" w:eastAsia="pl-PL"/>
        </w:rPr>
      </w:pPr>
    </w:p>
    <w:p w14:paraId="462510C9" w14:textId="49440EC7" w:rsidR="006D5435" w:rsidRPr="00D30B39" w:rsidRDefault="006D5435" w:rsidP="006D5435">
      <w:pPr>
        <w:pStyle w:val="Akapitzlist"/>
        <w:numPr>
          <w:ilvl w:val="0"/>
          <w:numId w:val="0"/>
        </w:numPr>
        <w:spacing w:after="0"/>
        <w:ind w:left="36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52F7C67A" w14:textId="77777777" w:rsidR="0089105F" w:rsidRPr="00D30B39" w:rsidRDefault="0089105F" w:rsidP="006D5435">
      <w:pPr>
        <w:pStyle w:val="Akapitzlist"/>
        <w:numPr>
          <w:ilvl w:val="0"/>
          <w:numId w:val="0"/>
        </w:numPr>
        <w:spacing w:after="0"/>
        <w:ind w:left="360"/>
        <w:rPr>
          <w:rFonts w:eastAsia="Times New Roman" w:cs="Tahoma"/>
          <w:b/>
          <w:color w:val="FF0000"/>
          <w:sz w:val="20"/>
          <w:szCs w:val="20"/>
          <w:u w:val="single"/>
          <w:lang w:val="pl-PL" w:eastAsia="pl-PL"/>
        </w:rPr>
      </w:pPr>
    </w:p>
    <w:p w14:paraId="2AD50596" w14:textId="77777777" w:rsidR="0089105F" w:rsidRPr="00D30B39" w:rsidRDefault="0089105F" w:rsidP="0089105F">
      <w:pPr>
        <w:spacing w:after="0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D30B39">
        <w:rPr>
          <w:rFonts w:cs="Courier New"/>
          <w:sz w:val="20"/>
          <w:szCs w:val="20"/>
          <w:shd w:val="clear" w:color="auto" w:fill="FFFFFF"/>
        </w:rPr>
        <w:t>Zamawiający informuje, że zmodyfikował opis przedmiotu zamówienia i umieścił zmodyfikowany plik w dniu dzisiejszym na stronie postępowania.</w:t>
      </w:r>
    </w:p>
    <w:p w14:paraId="3C9739AB" w14:textId="77777777" w:rsidR="0054237A" w:rsidRPr="00D30B39" w:rsidRDefault="0054237A" w:rsidP="002B50EB">
      <w:pPr>
        <w:rPr>
          <w:rFonts w:cs="Tahoma"/>
          <w:sz w:val="20"/>
          <w:szCs w:val="20"/>
        </w:rPr>
      </w:pPr>
    </w:p>
    <w:p w14:paraId="108C3362" w14:textId="77777777" w:rsidR="006D5435" w:rsidRPr="00D30B39" w:rsidRDefault="006D5435" w:rsidP="006D5435">
      <w:pPr>
        <w:spacing w:after="160" w:line="259" w:lineRule="auto"/>
        <w:ind w:left="720" w:hanging="360"/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Pytanie 16:</w:t>
      </w:r>
    </w:p>
    <w:p w14:paraId="6D9BFD68" w14:textId="77777777" w:rsidR="002B50EB" w:rsidRPr="00D30B39" w:rsidRDefault="002B50EB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Projekt umowy z dnia 01.02.2022</w:t>
      </w:r>
    </w:p>
    <w:p w14:paraId="14557193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286"/>
      </w:tblGrid>
      <w:tr w:rsidR="002B50EB" w:rsidRPr="00D30B39" w14:paraId="3265823A" w14:textId="77777777" w:rsidTr="00F84B76">
        <w:tc>
          <w:tcPr>
            <w:tcW w:w="2070" w:type="dxa"/>
            <w:shd w:val="clear" w:color="auto" w:fill="auto"/>
          </w:tcPr>
          <w:p w14:paraId="2CF2D25F" w14:textId="77777777" w:rsidR="002B50EB" w:rsidRPr="00D30B39" w:rsidRDefault="002B50EB" w:rsidP="00F84B76">
            <w:pPr>
              <w:keepLines/>
              <w:ind w:left="34"/>
              <w:rPr>
                <w:rFonts w:eastAsia="Arial Unicode MS" w:cs="Tahoma"/>
                <w:b/>
                <w:bCs/>
                <w:sz w:val="20"/>
                <w:szCs w:val="20"/>
              </w:rPr>
            </w:pPr>
            <w:r w:rsidRPr="00D30B39">
              <w:rPr>
                <w:rFonts w:eastAsia="Arial Unicode MS" w:cs="Tahoma"/>
                <w:b/>
                <w:bCs/>
                <w:sz w:val="20"/>
                <w:szCs w:val="20"/>
              </w:rPr>
              <w:t>Migracja danych</w:t>
            </w:r>
          </w:p>
        </w:tc>
        <w:tc>
          <w:tcPr>
            <w:tcW w:w="7286" w:type="dxa"/>
            <w:shd w:val="clear" w:color="auto" w:fill="auto"/>
          </w:tcPr>
          <w:p w14:paraId="7A7D424D" w14:textId="77777777" w:rsidR="002B50EB" w:rsidRPr="00D30B39" w:rsidRDefault="002B50EB" w:rsidP="00F84B76">
            <w:pPr>
              <w:keepNext/>
              <w:keepLines/>
              <w:ind w:left="34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Zasilenie wdrażanych Modułów danymi pochodzącymi z systemów wykorzystywanych przez Zamawiającego. Zakres danych zostanie doprecyzowany na Etapie Analizy przedwdrożeniowej w Projekcie Technicznym. Zasady przeprowadzenia Migracji danych określa załącznik numer 1 do SIWZ – Opis Przedmiotu Zamówienia.</w:t>
            </w:r>
          </w:p>
        </w:tc>
      </w:tr>
    </w:tbl>
    <w:p w14:paraId="7B41C774" w14:textId="77777777" w:rsidR="002B50EB" w:rsidRPr="00D30B39" w:rsidRDefault="002B50EB" w:rsidP="002B50EB">
      <w:pPr>
        <w:rPr>
          <w:rFonts w:cs="Tahoma"/>
          <w:sz w:val="20"/>
          <w:szCs w:val="20"/>
        </w:rPr>
      </w:pPr>
    </w:p>
    <w:p w14:paraId="258DABEC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Wykonawca zwraca uwagę, że w załączniku nr 7 do SWZ Opis Przedmiotu Zamówienia, Zamawiający nie zawarł żadnych wymagań dotyczących migracji. Prosimy o usunięcie powyższego zapisu gdyż nie ma zastosowania dla niniejszego postępowania.</w:t>
      </w:r>
    </w:p>
    <w:p w14:paraId="47093D19" w14:textId="77777777" w:rsidR="006D5435" w:rsidRPr="00D30B39" w:rsidRDefault="006D5435" w:rsidP="006D5435">
      <w:pPr>
        <w:pStyle w:val="Akapitzlist"/>
        <w:numPr>
          <w:ilvl w:val="0"/>
          <w:numId w:val="0"/>
        </w:numPr>
        <w:spacing w:after="0"/>
        <w:ind w:left="36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4879C30B" w14:textId="5DFEC206" w:rsidR="006D5435" w:rsidRPr="00D30B39" w:rsidRDefault="006D5435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</w:p>
    <w:p w14:paraId="116645DC" w14:textId="21B8C5BD" w:rsidR="0089105F" w:rsidRPr="00D30B39" w:rsidRDefault="0089105F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Ok.</w:t>
      </w:r>
    </w:p>
    <w:p w14:paraId="023C6A78" w14:textId="77777777" w:rsidR="0054237A" w:rsidRPr="00D30B39" w:rsidRDefault="0054237A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</w:p>
    <w:p w14:paraId="62CD3F87" w14:textId="77777777" w:rsidR="006D5435" w:rsidRPr="00D30B39" w:rsidRDefault="006D5435" w:rsidP="006D5435">
      <w:pPr>
        <w:spacing w:after="160" w:line="259" w:lineRule="auto"/>
        <w:ind w:left="720" w:hanging="360"/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Pytanie 17:</w:t>
      </w:r>
    </w:p>
    <w:p w14:paraId="770B1840" w14:textId="77777777" w:rsidR="002B50EB" w:rsidRPr="00D30B39" w:rsidRDefault="002B50EB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lastRenderedPageBreak/>
        <w:t>Dotyczy: Załącznik nr 6 do Umowy Warunki świadczenia Wsparcia Technicznego i Nadzoru Autorskiego</w:t>
      </w:r>
    </w:p>
    <w:p w14:paraId="7FAE49E7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specyfikuje zapis:</w:t>
      </w:r>
    </w:p>
    <w:p w14:paraId="5C563075" w14:textId="77777777" w:rsidR="002B50EB" w:rsidRPr="00D30B39" w:rsidRDefault="002B50EB" w:rsidP="002B50EB">
      <w:pPr>
        <w:rPr>
          <w:rFonts w:cs="Tahoma"/>
          <w:sz w:val="20"/>
          <w:szCs w:val="20"/>
        </w:rPr>
      </w:pPr>
    </w:p>
    <w:p w14:paraId="718DD6FC" w14:textId="77777777" w:rsidR="002B50EB" w:rsidRPr="00D30B39" w:rsidRDefault="002B50EB" w:rsidP="002B50EB">
      <w:pPr>
        <w:ind w:left="708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6. Strony ustalają następujące terminy wykonywania czynności (Czasu Naprawy) w ramach realizacji przez Wykonawcę Usług: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097"/>
        <w:gridCol w:w="4423"/>
      </w:tblGrid>
      <w:tr w:rsidR="002B50EB" w:rsidRPr="00D30B39" w14:paraId="36B2996C" w14:textId="77777777" w:rsidTr="00F84B76">
        <w:tc>
          <w:tcPr>
            <w:tcW w:w="2167" w:type="dxa"/>
            <w:shd w:val="clear" w:color="auto" w:fill="auto"/>
          </w:tcPr>
          <w:p w14:paraId="697D839F" w14:textId="77777777" w:rsidR="002B50EB" w:rsidRPr="00D30B39" w:rsidRDefault="002B50EB" w:rsidP="00F84B76">
            <w:pPr>
              <w:spacing w:before="60" w:after="60"/>
              <w:ind w:left="290"/>
              <w:jc w:val="center"/>
              <w:rPr>
                <w:rFonts w:eastAsia="Arial Unicode MS" w:cs="Tahoma"/>
                <w:b/>
                <w:bCs/>
                <w:sz w:val="20"/>
                <w:szCs w:val="20"/>
              </w:rPr>
            </w:pPr>
            <w:r w:rsidRPr="00D30B39">
              <w:rPr>
                <w:rFonts w:eastAsia="Arial Unicode MS" w:cs="Tahoma"/>
                <w:b/>
                <w:bCs/>
                <w:sz w:val="20"/>
                <w:szCs w:val="20"/>
              </w:rPr>
              <w:t xml:space="preserve">Rodzaj błędu </w:t>
            </w:r>
          </w:p>
        </w:tc>
        <w:tc>
          <w:tcPr>
            <w:tcW w:w="2151" w:type="dxa"/>
            <w:shd w:val="clear" w:color="auto" w:fill="auto"/>
          </w:tcPr>
          <w:p w14:paraId="0F2F5131" w14:textId="77777777" w:rsidR="002B50EB" w:rsidRPr="00D30B39" w:rsidRDefault="002B50EB" w:rsidP="00F84B76">
            <w:pPr>
              <w:spacing w:before="60" w:after="60"/>
              <w:ind w:left="230"/>
              <w:jc w:val="center"/>
              <w:rPr>
                <w:rFonts w:eastAsia="Arial Unicode MS" w:cs="Tahoma"/>
                <w:b/>
                <w:bCs/>
                <w:sz w:val="20"/>
                <w:szCs w:val="20"/>
              </w:rPr>
            </w:pPr>
            <w:r w:rsidRPr="00D30B39">
              <w:rPr>
                <w:rFonts w:eastAsia="Arial Unicode MS" w:cs="Tahoma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4596" w:type="dxa"/>
            <w:shd w:val="clear" w:color="auto" w:fill="auto"/>
          </w:tcPr>
          <w:p w14:paraId="254A83E4" w14:textId="77777777" w:rsidR="002B50EB" w:rsidRPr="00D30B39" w:rsidRDefault="002B50EB" w:rsidP="00F84B76">
            <w:pPr>
              <w:spacing w:before="60" w:after="60"/>
              <w:ind w:left="230"/>
              <w:jc w:val="center"/>
              <w:rPr>
                <w:rFonts w:eastAsia="Arial Unicode MS" w:cs="Tahoma"/>
                <w:b/>
                <w:bCs/>
                <w:sz w:val="20"/>
                <w:szCs w:val="20"/>
              </w:rPr>
            </w:pPr>
            <w:r w:rsidRPr="00D30B39">
              <w:rPr>
                <w:rFonts w:eastAsia="Arial Unicode MS" w:cs="Tahoma"/>
                <w:b/>
                <w:bCs/>
                <w:sz w:val="20"/>
                <w:szCs w:val="20"/>
              </w:rPr>
              <w:t>Czas Naprawy</w:t>
            </w:r>
          </w:p>
        </w:tc>
      </w:tr>
      <w:tr w:rsidR="002B50EB" w:rsidRPr="00D30B39" w14:paraId="30D0D51B" w14:textId="77777777" w:rsidTr="00F84B76">
        <w:tc>
          <w:tcPr>
            <w:tcW w:w="2167" w:type="dxa"/>
            <w:shd w:val="clear" w:color="auto" w:fill="auto"/>
          </w:tcPr>
          <w:p w14:paraId="7CB484AB" w14:textId="77777777" w:rsidR="002B50EB" w:rsidRPr="00D30B39" w:rsidRDefault="002B50EB" w:rsidP="00F84B76">
            <w:pPr>
              <w:spacing w:before="60" w:after="60"/>
              <w:ind w:left="290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Błąd Krytyczny</w:t>
            </w:r>
          </w:p>
        </w:tc>
        <w:tc>
          <w:tcPr>
            <w:tcW w:w="2151" w:type="dxa"/>
            <w:shd w:val="clear" w:color="auto" w:fill="auto"/>
          </w:tcPr>
          <w:p w14:paraId="34529C6B" w14:textId="77777777" w:rsidR="002B50EB" w:rsidRPr="00D30B39" w:rsidRDefault="002B50EB" w:rsidP="00F84B76">
            <w:pPr>
              <w:spacing w:before="60" w:after="60"/>
              <w:ind w:left="230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4 godziny robocze</w:t>
            </w:r>
          </w:p>
        </w:tc>
        <w:tc>
          <w:tcPr>
            <w:tcW w:w="4596" w:type="dxa"/>
            <w:shd w:val="clear" w:color="auto" w:fill="auto"/>
          </w:tcPr>
          <w:p w14:paraId="604777EE" w14:textId="77777777" w:rsidR="002B50EB" w:rsidRPr="00D30B39" w:rsidRDefault="002B50EB" w:rsidP="00F84B76">
            <w:pPr>
              <w:spacing w:before="60" w:after="60"/>
              <w:ind w:left="230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do 3 dni roboczych od momentu potwierdzenia przyjęcia zgłoszenia lub znalezienie tymczasowego obejścia (Obejście Błędu) i kontynuacja prac serwisowych</w:t>
            </w:r>
          </w:p>
        </w:tc>
      </w:tr>
      <w:tr w:rsidR="002B50EB" w:rsidRPr="00D30B39" w14:paraId="48AD47F0" w14:textId="77777777" w:rsidTr="00F84B76">
        <w:tc>
          <w:tcPr>
            <w:tcW w:w="2167" w:type="dxa"/>
            <w:shd w:val="clear" w:color="auto" w:fill="auto"/>
          </w:tcPr>
          <w:p w14:paraId="568C3902" w14:textId="77777777" w:rsidR="002B50EB" w:rsidRPr="00D30B39" w:rsidRDefault="002B50EB" w:rsidP="00F84B76">
            <w:pPr>
              <w:spacing w:before="60" w:after="60"/>
              <w:ind w:left="290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Błąd Zwykły</w:t>
            </w:r>
          </w:p>
        </w:tc>
        <w:tc>
          <w:tcPr>
            <w:tcW w:w="2151" w:type="dxa"/>
          </w:tcPr>
          <w:p w14:paraId="5C73F783" w14:textId="77777777" w:rsidR="002B50EB" w:rsidRPr="00D30B39" w:rsidRDefault="002B50EB" w:rsidP="00F84B76">
            <w:pPr>
              <w:spacing w:before="60" w:after="60"/>
              <w:ind w:left="230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4 godziny robocze</w:t>
            </w:r>
          </w:p>
        </w:tc>
        <w:tc>
          <w:tcPr>
            <w:tcW w:w="4596" w:type="dxa"/>
          </w:tcPr>
          <w:p w14:paraId="67EB4B1B" w14:textId="77777777" w:rsidR="002B50EB" w:rsidRPr="00D30B39" w:rsidRDefault="002B50EB" w:rsidP="00F84B76">
            <w:pPr>
              <w:spacing w:before="60" w:after="60"/>
              <w:ind w:left="230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do 21 dni roboczych od momentu potwierdzenia przyjęcia zgłoszenia</w:t>
            </w:r>
          </w:p>
        </w:tc>
      </w:tr>
      <w:tr w:rsidR="002B50EB" w:rsidRPr="00D30B39" w14:paraId="491A4305" w14:textId="77777777" w:rsidTr="00F84B76">
        <w:tc>
          <w:tcPr>
            <w:tcW w:w="2167" w:type="dxa"/>
            <w:shd w:val="clear" w:color="auto" w:fill="auto"/>
          </w:tcPr>
          <w:p w14:paraId="3AADA911" w14:textId="77777777" w:rsidR="002B50EB" w:rsidRPr="00D30B39" w:rsidRDefault="002B50EB" w:rsidP="00F84B76">
            <w:pPr>
              <w:spacing w:before="60" w:after="60"/>
              <w:ind w:left="290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Usterka</w:t>
            </w:r>
          </w:p>
        </w:tc>
        <w:tc>
          <w:tcPr>
            <w:tcW w:w="2151" w:type="dxa"/>
          </w:tcPr>
          <w:p w14:paraId="333BB3B7" w14:textId="77777777" w:rsidR="002B50EB" w:rsidRPr="00D30B39" w:rsidRDefault="002B50EB" w:rsidP="00F84B76">
            <w:pPr>
              <w:spacing w:before="60" w:after="60"/>
              <w:ind w:left="230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16 godzin roboczych</w:t>
            </w:r>
          </w:p>
        </w:tc>
        <w:tc>
          <w:tcPr>
            <w:tcW w:w="4596" w:type="dxa"/>
          </w:tcPr>
          <w:p w14:paraId="146A3259" w14:textId="77777777" w:rsidR="002B50EB" w:rsidRPr="00D30B39" w:rsidRDefault="002B50EB" w:rsidP="00F84B76">
            <w:pPr>
              <w:spacing w:before="60" w:after="60"/>
              <w:ind w:left="230"/>
              <w:rPr>
                <w:rFonts w:eastAsia="Arial Unicode MS" w:cs="Tahoma"/>
                <w:sz w:val="20"/>
                <w:szCs w:val="20"/>
              </w:rPr>
            </w:pPr>
            <w:r w:rsidRPr="00D30B39">
              <w:rPr>
                <w:rFonts w:eastAsia="Arial Unicode MS" w:cs="Tahoma"/>
                <w:sz w:val="20"/>
                <w:szCs w:val="20"/>
              </w:rPr>
              <w:t>do 30 dni roboczych od mementu potwierdzenia przyjęcia zgłoszenia</w:t>
            </w:r>
          </w:p>
        </w:tc>
      </w:tr>
    </w:tbl>
    <w:p w14:paraId="0F89E39F" w14:textId="77777777" w:rsidR="002B50EB" w:rsidRPr="00D30B39" w:rsidRDefault="002B50EB" w:rsidP="002B50EB">
      <w:pPr>
        <w:rPr>
          <w:rFonts w:cs="Tahoma"/>
          <w:sz w:val="20"/>
          <w:szCs w:val="20"/>
        </w:rPr>
      </w:pPr>
    </w:p>
    <w:p w14:paraId="37EE0535" w14:textId="77777777" w:rsidR="002B50EB" w:rsidRPr="00D30B39" w:rsidRDefault="002B50EB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Wskazane czasy reakcji dla Błędu Krytycznego oraz Błędu zwykłego w perspektywie dostarczanego wymagają zapewnienia dodatkowej pracochłonności. Prosimy o potwierdzenie, że Zamawiający akceptuje Czas reakcji dla Błędu Krytycznego w wymiarze 7 godzin roboczych oraz Czas reakcji dla Błędu Zwykłego w wymiarze 7 godzin roboczych.</w:t>
      </w:r>
    </w:p>
    <w:p w14:paraId="414A8FCE" w14:textId="649923B4" w:rsidR="006D5435" w:rsidRPr="00D30B39" w:rsidRDefault="006D5435" w:rsidP="002B50EB">
      <w:pPr>
        <w:rPr>
          <w:rFonts w:cs="Tahoma"/>
          <w:sz w:val="20"/>
          <w:szCs w:val="20"/>
        </w:rPr>
      </w:pPr>
    </w:p>
    <w:p w14:paraId="61FB9E75" w14:textId="77777777" w:rsidR="004377A4" w:rsidRPr="00D30B39" w:rsidRDefault="004377A4" w:rsidP="002B50EB">
      <w:pPr>
        <w:rPr>
          <w:rFonts w:cs="Tahoma"/>
          <w:sz w:val="20"/>
          <w:szCs w:val="20"/>
        </w:rPr>
      </w:pPr>
    </w:p>
    <w:p w14:paraId="647BAB99" w14:textId="77777777" w:rsidR="006D5435" w:rsidRPr="00D30B39" w:rsidRDefault="006D5435" w:rsidP="006D5435">
      <w:pPr>
        <w:pStyle w:val="Akapitzlist"/>
        <w:numPr>
          <w:ilvl w:val="0"/>
          <w:numId w:val="0"/>
        </w:numPr>
        <w:spacing w:after="0"/>
        <w:ind w:left="36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7772FDA5" w14:textId="43B69D51" w:rsidR="006D5435" w:rsidRPr="00D30B39" w:rsidRDefault="0089105F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Zamawiający akceptuje powyższe uwagi.</w:t>
      </w:r>
    </w:p>
    <w:p w14:paraId="1179A6D2" w14:textId="77777777" w:rsidR="002B50EB" w:rsidRPr="00D30B39" w:rsidRDefault="002B50EB" w:rsidP="002B50EB">
      <w:pPr>
        <w:rPr>
          <w:rFonts w:cs="Tahoma"/>
          <w:sz w:val="20"/>
          <w:szCs w:val="20"/>
        </w:rPr>
      </w:pPr>
    </w:p>
    <w:p w14:paraId="03016DC8" w14:textId="77777777" w:rsidR="006D5435" w:rsidRPr="00D30B39" w:rsidRDefault="006D5435" w:rsidP="006D5435">
      <w:pPr>
        <w:spacing w:after="160" w:line="259" w:lineRule="auto"/>
        <w:ind w:left="720" w:hanging="360"/>
        <w:rPr>
          <w:rFonts w:cs="Tahoma"/>
          <w:b/>
          <w:sz w:val="20"/>
          <w:szCs w:val="20"/>
          <w:u w:val="single"/>
        </w:rPr>
      </w:pPr>
      <w:r w:rsidRPr="00D30B39">
        <w:rPr>
          <w:rFonts w:cs="Tahoma"/>
          <w:b/>
          <w:sz w:val="20"/>
          <w:szCs w:val="20"/>
          <w:u w:val="single"/>
        </w:rPr>
        <w:t>Pytanie nr 18:</w:t>
      </w:r>
    </w:p>
    <w:p w14:paraId="68DD3A91" w14:textId="77777777" w:rsidR="002B50EB" w:rsidRPr="00D30B39" w:rsidRDefault="002B50EB" w:rsidP="006D5435">
      <w:pPr>
        <w:spacing w:after="160" w:line="259" w:lineRule="auto"/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 Załącznik nr 7 OPIS PRZEDMIOTU ZAMÓWIENIA</w:t>
      </w:r>
    </w:p>
    <w:p w14:paraId="0A1CAD44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 xml:space="preserve">Prosimy o wyjaśnienie, czy Zamawiający gwarantuje wsparcie przy procesach integracyjnych z USOS, CSL, MS Teams itd? </w:t>
      </w:r>
    </w:p>
    <w:p w14:paraId="092FB2FE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W OPZ nie wskazano ilości szkoleń z zakresu systemu. Prosimy o wyjaśnienie, ilu godzin szkoleń wymaga Zamawiający?</w:t>
      </w:r>
    </w:p>
    <w:p w14:paraId="05F270FA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wyjaśnienie, Czy Zamawiający dopuszcza wykonanie instrukcji do poszczególnych modułów w formie instruktaży wideo? To z punktu widzenia użytkowników końcowych znacznie bardziej efektywna forma wsparcia.</w:t>
      </w:r>
    </w:p>
    <w:p w14:paraId="40E4CADC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wyjaśnienie, czy biorąc pod uwagę aktualną niepewną sytuację epidemiczną Zamawiający dopuszcza realizację comiesięcznych spotkań z zespołem opracowującym założenia systemu oraz wdrażającym w formie telekonferencji?</w:t>
      </w:r>
    </w:p>
    <w:p w14:paraId="244741ED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wskazanie ilości użytkowników systemu.</w:t>
      </w:r>
    </w:p>
    <w:p w14:paraId="5CB8D911" w14:textId="77777777" w:rsidR="002B50EB" w:rsidRPr="00D30B39" w:rsidRDefault="002B50EB" w:rsidP="002B50EB">
      <w:pPr>
        <w:pStyle w:val="Akapitzlist"/>
        <w:numPr>
          <w:ilvl w:val="1"/>
          <w:numId w:val="8"/>
        </w:numPr>
        <w:spacing w:after="160" w:line="259" w:lineRule="auto"/>
        <w:ind w:left="1440"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potwierdzenie, że szkolenie może być przeprowadzone w formie zdalnej.</w:t>
      </w:r>
    </w:p>
    <w:p w14:paraId="3A6C5551" w14:textId="77777777" w:rsidR="002B50EB" w:rsidRPr="00D30B39" w:rsidRDefault="002B50EB" w:rsidP="002B50EB">
      <w:pPr>
        <w:pStyle w:val="Akapitzlist"/>
        <w:numPr>
          <w:ilvl w:val="1"/>
          <w:numId w:val="8"/>
        </w:numPr>
        <w:pBdr>
          <w:bottom w:val="single" w:sz="6" w:space="1" w:color="auto"/>
        </w:pBdr>
        <w:spacing w:after="160" w:line="259" w:lineRule="auto"/>
        <w:ind w:left="1440" w:hanging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lastRenderedPageBreak/>
        <w:t>Prosimy o potwierdzenie, że w przypadku gdy szkolenie miałoby być przeprowadzone w formie stacjonarnej sale, rzutnik oraz dostępność pracowników szkoleń zapewnia Zamawiający.</w:t>
      </w:r>
    </w:p>
    <w:p w14:paraId="625379D9" w14:textId="36289EAE" w:rsidR="006D5435" w:rsidRPr="00D30B39" w:rsidRDefault="00A713FF" w:rsidP="006D5435">
      <w:pPr>
        <w:pBdr>
          <w:bottom w:val="single" w:sz="6" w:space="1" w:color="auto"/>
        </w:pBdr>
        <w:spacing w:after="160" w:line="259" w:lineRule="auto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Zamawiający deklaruje wsparcie przy procesach integracji z USOS oraz w zakresie uprawnień jednostki administracyjnej i zapisów licencyjnych dla Microsoft </w:t>
      </w:r>
      <w:proofErr w:type="spellStart"/>
      <w:r w:rsidRPr="00D30B39">
        <w:rPr>
          <w:rFonts w:cs="Tahoma"/>
          <w:sz w:val="20"/>
          <w:szCs w:val="20"/>
        </w:rPr>
        <w:t>Teams</w:t>
      </w:r>
      <w:proofErr w:type="spellEnd"/>
      <w:r w:rsidRPr="00D30B39">
        <w:rPr>
          <w:rFonts w:cs="Tahoma"/>
          <w:sz w:val="20"/>
          <w:szCs w:val="20"/>
        </w:rPr>
        <w:t>. Zamawiający dopuszcza wykonanie instrukcji do poszczególnych modułów w formie instruktaży wideo. Zamawiający dopuszcza realizację comiesięcznych spotkań z zespołem opracowującym założenia systemu oraz wdrażającym w formie telekonferencji oraz szkoleń w formie zdalnej. Użytkownicy systemu, ok. 300 studentów kierunków informatyka i mechatronika.</w:t>
      </w:r>
    </w:p>
    <w:p w14:paraId="3776638F" w14:textId="77777777" w:rsidR="006D5435" w:rsidRPr="00D30B39" w:rsidRDefault="006D5435" w:rsidP="006D5435">
      <w:pPr>
        <w:pBdr>
          <w:bottom w:val="single" w:sz="6" w:space="1" w:color="auto"/>
        </w:pBdr>
        <w:spacing w:after="160" w:line="259" w:lineRule="auto"/>
        <w:rPr>
          <w:rFonts w:cs="Tahoma"/>
          <w:sz w:val="20"/>
          <w:szCs w:val="20"/>
        </w:rPr>
      </w:pPr>
    </w:p>
    <w:p w14:paraId="53D623BD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19</w:t>
      </w:r>
    </w:p>
    <w:p w14:paraId="5925EBBD" w14:textId="77777777" w:rsidR="002B50EB" w:rsidRPr="00D30B39" w:rsidRDefault="002B50EB" w:rsidP="0054237A">
      <w:pPr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Dotyczy: § 3 ust. 5 wzoru umowy</w:t>
      </w:r>
    </w:p>
    <w:p w14:paraId="1ED1A8F3" w14:textId="77777777" w:rsidR="006D5435" w:rsidRPr="00D30B39" w:rsidRDefault="0054237A" w:rsidP="0054237A">
      <w:pPr>
        <w:tabs>
          <w:tab w:val="left" w:pos="0"/>
        </w:tabs>
        <w:ind w:hanging="76"/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 </w:t>
      </w:r>
      <w:r w:rsidR="002B50EB" w:rsidRPr="00D30B39">
        <w:rPr>
          <w:rFonts w:cs="Tahoma"/>
          <w:sz w:val="20"/>
          <w:szCs w:val="20"/>
        </w:rPr>
        <w:t>W związku z tym, że Zamawiający zastrzega sobie prawo skorzystania w trakcie wykonywania umowy z usług osób trzecich celem kontroli jakości i sposobu prowadzenia całości lub poszczególnych prac objętych umową, prosimy o wprowadzenie regulacji, zgodnie z którą Audytorem Zamawiającego nie może być podmiot prowadzący działalność konkurencyjną wobec Wykonawcy ani podmiot z nim powiązany lub jego pracownik lub podmiot / osoba z nim współpracująca, bez względu na podstawę prawną zatrudnienia lub współpracy.</w:t>
      </w:r>
    </w:p>
    <w:p w14:paraId="6C4B2C58" w14:textId="77777777" w:rsidR="006D5435" w:rsidRPr="00D30B39" w:rsidRDefault="006D5435" w:rsidP="006D5435">
      <w:pPr>
        <w:pStyle w:val="Akapitzlist"/>
        <w:numPr>
          <w:ilvl w:val="0"/>
          <w:numId w:val="0"/>
        </w:numPr>
        <w:spacing w:after="0"/>
        <w:ind w:left="36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1AF12368" w14:textId="77777777" w:rsidR="006D5435" w:rsidRPr="00D30B39" w:rsidRDefault="0054237A" w:rsidP="00160803">
      <w:pPr>
        <w:pStyle w:val="Akapitzlist"/>
        <w:numPr>
          <w:ilvl w:val="0"/>
          <w:numId w:val="0"/>
        </w:numPr>
        <w:spacing w:after="0"/>
        <w:ind w:left="360"/>
        <w:rPr>
          <w:rFonts w:eastAsia="Times New Roman" w:cs="Tahoma"/>
          <w:sz w:val="20"/>
          <w:szCs w:val="20"/>
          <w:lang w:val="pl-PL" w:eastAsia="pl-PL"/>
        </w:rPr>
      </w:pPr>
      <w:r w:rsidRPr="00D30B39">
        <w:rPr>
          <w:rFonts w:eastAsia="Times New Roman" w:cs="Tahoma"/>
          <w:sz w:val="20"/>
          <w:szCs w:val="20"/>
          <w:lang w:val="pl-PL" w:eastAsia="pl-PL"/>
        </w:rPr>
        <w:t xml:space="preserve">Zamawiajacy </w:t>
      </w:r>
      <w:r w:rsidR="00160803" w:rsidRPr="00D30B39">
        <w:rPr>
          <w:rFonts w:eastAsia="Times New Roman" w:cs="Tahoma"/>
          <w:sz w:val="20"/>
          <w:szCs w:val="20"/>
          <w:lang w:val="pl-PL" w:eastAsia="pl-PL"/>
        </w:rPr>
        <w:t>podtrzymuje zapisy umowy.</w:t>
      </w:r>
    </w:p>
    <w:p w14:paraId="2FE814F0" w14:textId="77777777" w:rsidR="00160803" w:rsidRPr="00D30B39" w:rsidRDefault="00160803" w:rsidP="00160803">
      <w:pPr>
        <w:pStyle w:val="Akapitzlist"/>
        <w:numPr>
          <w:ilvl w:val="0"/>
          <w:numId w:val="0"/>
        </w:numPr>
        <w:spacing w:after="0"/>
        <w:ind w:left="360"/>
        <w:rPr>
          <w:rFonts w:cs="Tahoma"/>
          <w:i/>
          <w:sz w:val="20"/>
          <w:szCs w:val="20"/>
          <w:lang w:val="pl-PL"/>
        </w:rPr>
      </w:pPr>
    </w:p>
    <w:p w14:paraId="757811F4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20</w:t>
      </w:r>
    </w:p>
    <w:p w14:paraId="1A55A485" w14:textId="77777777" w:rsidR="002B50EB" w:rsidRPr="00D30B39" w:rsidRDefault="002B50EB" w:rsidP="00160803">
      <w:pPr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Dotyczy: § 5 ust. 2 wzoru umowy</w:t>
      </w:r>
    </w:p>
    <w:p w14:paraId="629544ED" w14:textId="77777777" w:rsidR="002B50EB" w:rsidRPr="00D30B39" w:rsidRDefault="002B50EB" w:rsidP="00160803">
      <w:pPr>
        <w:ind w:left="426" w:hanging="66"/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Weryfikacja przedmiotu umowy powinna się odbyć w oparciu o przygotowane przez Wykonawcę i zaakceptowane przez Zamawiającego scenariusze testowe. Wykonawca nie może pozostawać w niepewności co do procedury odbiorowej. Wnosimy o wyłączenie możliwości weryfikowania Przedmiotu Umowy dowolną metodą.</w:t>
      </w:r>
    </w:p>
    <w:p w14:paraId="1382244C" w14:textId="77777777" w:rsidR="006D5435" w:rsidRPr="00D30B39" w:rsidRDefault="006D5435" w:rsidP="00160803">
      <w:pPr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</w:p>
    <w:p w14:paraId="02B7362E" w14:textId="77777777" w:rsidR="00160803" w:rsidRPr="00D30B39" w:rsidRDefault="00160803" w:rsidP="00160803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sz w:val="20"/>
          <w:szCs w:val="20"/>
          <w:lang w:val="pl-PL" w:eastAsia="pl-PL"/>
        </w:rPr>
      </w:pPr>
      <w:r w:rsidRPr="00D30B39">
        <w:rPr>
          <w:rFonts w:eastAsia="Times New Roman" w:cs="Tahoma"/>
          <w:sz w:val="20"/>
          <w:szCs w:val="20"/>
          <w:lang w:val="pl-PL" w:eastAsia="pl-PL"/>
        </w:rPr>
        <w:t>Zamawiajacy podtrzymuje zapisy umowy.</w:t>
      </w:r>
    </w:p>
    <w:p w14:paraId="49A62986" w14:textId="77777777" w:rsidR="00160803" w:rsidRPr="00D30B39" w:rsidRDefault="00160803" w:rsidP="00160803">
      <w:pPr>
        <w:pStyle w:val="Akapitzlist"/>
        <w:numPr>
          <w:ilvl w:val="0"/>
          <w:numId w:val="0"/>
        </w:numPr>
        <w:spacing w:after="0"/>
        <w:rPr>
          <w:rFonts w:cs="Tahoma"/>
          <w:i/>
          <w:sz w:val="20"/>
          <w:szCs w:val="20"/>
          <w:lang w:val="pl-PL"/>
        </w:rPr>
      </w:pPr>
    </w:p>
    <w:p w14:paraId="0693D6F9" w14:textId="77777777" w:rsidR="006D5435" w:rsidRPr="00D30B39" w:rsidRDefault="006D5435" w:rsidP="006D5435">
      <w:pPr>
        <w:rPr>
          <w:rFonts w:cs="Tahoma"/>
          <w:sz w:val="20"/>
          <w:szCs w:val="20"/>
        </w:rPr>
      </w:pPr>
    </w:p>
    <w:p w14:paraId="70AAB80A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21</w:t>
      </w:r>
    </w:p>
    <w:p w14:paraId="60635091" w14:textId="77777777" w:rsidR="002B50EB" w:rsidRPr="00D30B39" w:rsidRDefault="002B50EB" w:rsidP="00160803">
      <w:pPr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Dotyczy: § 5 wzoru umowy</w:t>
      </w:r>
    </w:p>
    <w:p w14:paraId="5D16AB1B" w14:textId="77777777" w:rsidR="002B50EB" w:rsidRPr="00D30B39" w:rsidRDefault="002B50EB" w:rsidP="00160803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 sytuacji, w której Zamawiający będzie się uchylał od</w:t>
      </w:r>
      <w:r w:rsidR="00160803" w:rsidRPr="00D30B39">
        <w:rPr>
          <w:rFonts w:cs="Tahoma"/>
          <w:sz w:val="20"/>
          <w:szCs w:val="20"/>
        </w:rPr>
        <w:t xml:space="preserve"> podpisania protokołu odbioru w </w:t>
      </w:r>
      <w:r w:rsidRPr="00D30B39">
        <w:rPr>
          <w:rFonts w:cs="Tahoma"/>
          <w:sz w:val="20"/>
          <w:szCs w:val="20"/>
        </w:rPr>
        <w:t xml:space="preserve">przypadku, gdy przedmiot zamówienia będzie spełniał wymagania SWZ, Wykonawca powinien mieć prawo do jednostronnego podpisania protokołu odbioru. Prosimy o wprowadzenie normy, zgodnie z którą Zamawiający dopuści dokonanie odbioru jednostronnego przez Wykonawcę w przypadku uchylania się przez Zamawiającego od podpisania Protokołu odbioru lub nieprzystąpienia do procedury odbiorowej. </w:t>
      </w:r>
    </w:p>
    <w:p w14:paraId="49AF223E" w14:textId="77777777" w:rsidR="006D5435" w:rsidRPr="00D30B39" w:rsidRDefault="006D5435" w:rsidP="00160803">
      <w:pPr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</w:p>
    <w:p w14:paraId="5EC192E4" w14:textId="77777777" w:rsidR="00160803" w:rsidRPr="00D30B39" w:rsidRDefault="00160803" w:rsidP="00160803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sz w:val="20"/>
          <w:szCs w:val="20"/>
          <w:lang w:val="pl-PL" w:eastAsia="pl-PL"/>
        </w:rPr>
      </w:pPr>
      <w:r w:rsidRPr="00D30B39">
        <w:rPr>
          <w:rFonts w:eastAsia="Times New Roman" w:cs="Tahoma"/>
          <w:sz w:val="20"/>
          <w:szCs w:val="20"/>
          <w:lang w:val="pl-PL" w:eastAsia="pl-PL"/>
        </w:rPr>
        <w:lastRenderedPageBreak/>
        <w:t>Zamawiajacy podtrzymuje zapisy umowy.</w:t>
      </w:r>
    </w:p>
    <w:p w14:paraId="432D2406" w14:textId="77777777" w:rsidR="00160803" w:rsidRPr="00D30B39" w:rsidRDefault="00160803" w:rsidP="00160803">
      <w:pPr>
        <w:pStyle w:val="Akapitzlist"/>
        <w:numPr>
          <w:ilvl w:val="0"/>
          <w:numId w:val="0"/>
        </w:numPr>
        <w:spacing w:after="0"/>
        <w:rPr>
          <w:rFonts w:cs="Tahoma"/>
          <w:i/>
          <w:sz w:val="20"/>
          <w:szCs w:val="20"/>
          <w:lang w:val="pl-PL"/>
        </w:rPr>
      </w:pPr>
    </w:p>
    <w:p w14:paraId="35CBC2F0" w14:textId="77777777" w:rsidR="006D5435" w:rsidRPr="00D30B39" w:rsidRDefault="006D5435" w:rsidP="006D5435">
      <w:pPr>
        <w:rPr>
          <w:rFonts w:cs="Tahoma"/>
          <w:sz w:val="20"/>
          <w:szCs w:val="20"/>
        </w:rPr>
      </w:pPr>
    </w:p>
    <w:p w14:paraId="650232F9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22</w:t>
      </w:r>
    </w:p>
    <w:p w14:paraId="206A66BB" w14:textId="77777777" w:rsidR="002B50EB" w:rsidRPr="00D30B39" w:rsidRDefault="002B50EB" w:rsidP="00160803">
      <w:pPr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Dotyczy: § 5 ust. 10 wzoru umowy</w:t>
      </w:r>
    </w:p>
    <w:p w14:paraId="2CF3D978" w14:textId="77777777" w:rsidR="002B50EB" w:rsidRPr="00D30B39" w:rsidRDefault="002B50EB" w:rsidP="00160803">
      <w:pPr>
        <w:tabs>
          <w:tab w:val="left" w:pos="284"/>
        </w:tabs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Zgodnie z powyższym zapisem, „Wykonawca zobowiązuje się</w:t>
      </w:r>
      <w:r w:rsidR="00160803" w:rsidRPr="00D30B39">
        <w:rPr>
          <w:rFonts w:cs="Tahoma"/>
          <w:sz w:val="20"/>
          <w:szCs w:val="20"/>
        </w:rPr>
        <w:t xml:space="preserve"> dostarczyć wszystkie Produkty, </w:t>
      </w:r>
      <w:r w:rsidRPr="00D30B39">
        <w:rPr>
          <w:rFonts w:cs="Tahoma"/>
          <w:sz w:val="20"/>
          <w:szCs w:val="20"/>
        </w:rPr>
        <w:t>którym można nadać postać elektroniczną (dokumentację, kod źródłowy i wykonywalny Systemu) do siedziby Zamawiającego w formie elektronicznej na płytach CD lub DVD (w 3 kopiach) oraz drogą elektroniczną, za pomocą kanałów zdalnego dostępu, do wskazanych przez Zamawiającego serwerów.</w:t>
      </w:r>
    </w:p>
    <w:p w14:paraId="21EA99A7" w14:textId="77777777" w:rsidR="002B50EB" w:rsidRPr="00D30B39" w:rsidRDefault="002B50EB" w:rsidP="00160803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 ocenie Wykonawcy, obowiązek dostarczenia kodu źródłowego został wskazany nadmiarowo, prosimy o jego wykreślenie.</w:t>
      </w:r>
    </w:p>
    <w:p w14:paraId="401552F7" w14:textId="77777777" w:rsidR="002B50EB" w:rsidRPr="00D30B39" w:rsidRDefault="002B50EB" w:rsidP="00160803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Jak wynika z definicji zawartych w Umowie, Wykonawca będzie dostarczać Oprogramowanie Standardowe.</w:t>
      </w:r>
    </w:p>
    <w:p w14:paraId="0D1CA985" w14:textId="77777777" w:rsidR="002B50EB" w:rsidRPr="00D30B39" w:rsidRDefault="002B50EB" w:rsidP="00160803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Co do zasady, oprogramowanie standardowe to oprogramowanie, które jest gotowe i wdrażane u różnych klientów w niezmienionej formie (z odpowiednią parametryzacją na rzecz zamawiającego). Oprogramowanie standardowe wykonawcy stanowi podstawę jego działalności gospodarczej i najściślej chronioną tajemnicę przedsiębiorstwa. Wykonawcy nie udostępniają kodów źródłowych oprogramowania standardowego. Takie zapisy nie znajdują się zwyczajowo w umowach o udzielenie zamówienia publicznego, gdyż są nieproporcjonalne do przedmiotu zamówienia. </w:t>
      </w:r>
    </w:p>
    <w:p w14:paraId="1FA01A5A" w14:textId="77777777" w:rsidR="002B50EB" w:rsidRPr="00D30B39" w:rsidRDefault="002B50EB" w:rsidP="00160803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Kody źródłowe oprogramowania stanowią najściślej chronioną tajemnicę Wykonawców. Ewentualne przekazywanie kodów źródłowych wiąże się z koniecznością wprowadzenia odpowiedniej procedury mającej na celu ich prawidłowe zabezpieczenie przed nieuprawnionym dostępem – zazwyczaj poprzez przekazanie kodów źródłowych do depozytu notarialnego wraz z określeniem warunków, w których Zamawiający może wybrać kody źródłowe.</w:t>
      </w:r>
    </w:p>
    <w:p w14:paraId="5C1FA9AA" w14:textId="77777777" w:rsidR="002B50EB" w:rsidRPr="00D30B39" w:rsidRDefault="002B50EB" w:rsidP="00160803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 związku z powyższym, prosimy o zmianę umowy i usunięcie konieczności przekazania kodów źródłowych.</w:t>
      </w:r>
    </w:p>
    <w:p w14:paraId="45BCB6B9" w14:textId="77777777" w:rsidR="006D5435" w:rsidRPr="00D30B39" w:rsidRDefault="006D5435" w:rsidP="00160803">
      <w:pPr>
        <w:ind w:left="720" w:hanging="862"/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</w:p>
    <w:p w14:paraId="73BABA7C" w14:textId="19B7A405" w:rsidR="00717E63" w:rsidRPr="00D30B39" w:rsidRDefault="00A713FF" w:rsidP="002B50EB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Ok.</w:t>
      </w:r>
    </w:p>
    <w:p w14:paraId="351C0113" w14:textId="77777777" w:rsidR="00A713FF" w:rsidRPr="00D30B39" w:rsidRDefault="00A713FF" w:rsidP="002B50EB">
      <w:pPr>
        <w:rPr>
          <w:rFonts w:cs="Tahoma"/>
          <w:b/>
          <w:bCs/>
          <w:sz w:val="20"/>
          <w:szCs w:val="20"/>
        </w:rPr>
      </w:pPr>
    </w:p>
    <w:p w14:paraId="5D911ABC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23</w:t>
      </w:r>
    </w:p>
    <w:p w14:paraId="22BB8985" w14:textId="77777777" w:rsidR="002B50EB" w:rsidRPr="00D30B39" w:rsidRDefault="002B50EB" w:rsidP="00160803">
      <w:pPr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Dotyczy: § 10 ust. 13 wzoru umowy</w:t>
      </w:r>
    </w:p>
    <w:p w14:paraId="0F978A63" w14:textId="77777777" w:rsidR="002B50EB" w:rsidRPr="00D30B39" w:rsidRDefault="002B50EB" w:rsidP="00717E63">
      <w:pPr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Zgodnie z powyższym, „Inne wady niż wady istotne nie wstrzymują odbioru, a powodują, że: (1) Wykonawca ma obowiązek usunąć stwierdzone wady w odpowiednim terminie, tj. ( nie później niż w terminie 7 dni”). Prosimy o wprowadzenie możliwości wydłużenia ww. terminu za zgodą Stron w sytuacji gdy usunięcie stwierdzonej wady może być bardziej czasochłonne.</w:t>
      </w:r>
    </w:p>
    <w:p w14:paraId="43A4ADFD" w14:textId="77777777" w:rsidR="006D5435" w:rsidRPr="00D30B39" w:rsidRDefault="006D5435" w:rsidP="00717E63">
      <w:pPr>
        <w:ind w:left="720" w:hanging="720"/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</w:p>
    <w:p w14:paraId="1FB39B54" w14:textId="77777777" w:rsidR="00717E63" w:rsidRPr="00D30B39" w:rsidRDefault="00717E63" w:rsidP="00717E63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sz w:val="20"/>
          <w:szCs w:val="20"/>
          <w:lang w:val="pl-PL" w:eastAsia="pl-PL"/>
        </w:rPr>
      </w:pPr>
      <w:r w:rsidRPr="00D30B39">
        <w:rPr>
          <w:rFonts w:eastAsia="Times New Roman" w:cs="Tahoma"/>
          <w:sz w:val="20"/>
          <w:szCs w:val="20"/>
          <w:lang w:val="pl-PL" w:eastAsia="pl-PL"/>
        </w:rPr>
        <w:t>Zamawiajacy podtrzymuje zapisy umowy.</w:t>
      </w:r>
    </w:p>
    <w:p w14:paraId="485AA5E1" w14:textId="77777777" w:rsidR="006D5435" w:rsidRPr="00D30B39" w:rsidRDefault="006D5435" w:rsidP="006D5435">
      <w:pPr>
        <w:rPr>
          <w:rFonts w:cs="Tahoma"/>
          <w:sz w:val="20"/>
          <w:szCs w:val="20"/>
        </w:rPr>
      </w:pPr>
    </w:p>
    <w:p w14:paraId="589A83B3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lastRenderedPageBreak/>
        <w:t>Pytanie nr 24</w:t>
      </w:r>
    </w:p>
    <w:p w14:paraId="3ABB5780" w14:textId="77777777" w:rsidR="002B50EB" w:rsidRPr="00D30B39" w:rsidRDefault="002B50EB" w:rsidP="00717E63">
      <w:pPr>
        <w:ind w:left="720" w:hanging="36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Dotyczy: § 5 ust. 18 wzoru umowy</w:t>
      </w:r>
    </w:p>
    <w:p w14:paraId="40188B70" w14:textId="77777777" w:rsidR="002B50EB" w:rsidRPr="00D30B39" w:rsidRDefault="002B50EB" w:rsidP="00717E63">
      <w:pPr>
        <w:ind w:left="284" w:firstLine="76"/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Prosimy o potwierdzenie, że w przypadku dokonywania Odbioru Końcowego Systemu, Zamawiający nie będzie ponownie weryfikował odebranych już etapów. W ocenie Wykonawcy zapisy wzoru umowy nie powinny uprawniać Zamawiającego do dwukrotnej weryfikacji tych samych produktów, gdyż wprowadza to niepewność co do procedury odbiorowej i odebrania poszczególnych produktów.</w:t>
      </w:r>
    </w:p>
    <w:p w14:paraId="08AA1B89" w14:textId="77777777" w:rsidR="006D5435" w:rsidRPr="00D30B39" w:rsidRDefault="006D5435" w:rsidP="006D5435">
      <w:pPr>
        <w:ind w:left="720" w:hanging="360"/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</w:p>
    <w:p w14:paraId="00EF1411" w14:textId="5F5B6DDE" w:rsidR="006D5435" w:rsidRPr="00D30B39" w:rsidRDefault="003724CD" w:rsidP="006D5435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 przypadku dokonywania Odbioru Końcowego Systemu, Zamawiający nie będzie ponownie weryfikował odebranych już etapów.</w:t>
      </w:r>
    </w:p>
    <w:p w14:paraId="6EE1739D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25</w:t>
      </w:r>
    </w:p>
    <w:p w14:paraId="5A1D4B04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Dotyczy: § 10 wzoru umowy</w:t>
      </w:r>
    </w:p>
    <w:p w14:paraId="30D3BCEF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 xml:space="preserve">Usługi serwisu gwarancyjnego i pogwarancyjnego zostały określone bardzo szeroko. W związku z powyższym, nieproporcjonalne jest przysługiwanie Zamawiającemu równolegle uprawnień z tytułu rękojmi. Tego rodzaju wyłączenie stosowane jest przez niemal wszystkich dostawców i producentów w odniesieniu do oprogramowania komputerowego. Jednocześnie podkreślić należy, że powszechnie w doktrynie prawa cywilnego kwestionuje się możliwość stosowania rękojmi do udostępniania programów komputerowych, argumentując to przede wszystkim tym, że: </w:t>
      </w:r>
    </w:p>
    <w:p w14:paraId="4603E68E" w14:textId="77777777" w:rsidR="002B50EB" w:rsidRPr="00D30B39" w:rsidRDefault="002B50EB" w:rsidP="002B50EB">
      <w:pPr>
        <w:pStyle w:val="Akapitzlist"/>
        <w:spacing w:after="160" w:line="259" w:lineRule="auto"/>
        <w:ind w:left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 xml:space="preserve">- w przypadku udzielenia licencji na program komputerowy nie mamy do czynienia z umową sprzedaży; </w:t>
      </w:r>
    </w:p>
    <w:p w14:paraId="1EB0A53D" w14:textId="77777777" w:rsidR="002B50EB" w:rsidRPr="00D30B39" w:rsidRDefault="002B50EB" w:rsidP="002B50EB">
      <w:pPr>
        <w:pStyle w:val="Akapitzlist"/>
        <w:spacing w:after="160" w:line="259" w:lineRule="auto"/>
        <w:ind w:left="1440"/>
        <w:jc w:val="left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- oprogramowanie nie jest rzeczą; </w:t>
      </w:r>
    </w:p>
    <w:p w14:paraId="79BFCBDB" w14:textId="77777777" w:rsidR="002B50EB" w:rsidRPr="00D30B39" w:rsidRDefault="002B50EB" w:rsidP="002B50EB">
      <w:pPr>
        <w:pStyle w:val="Akapitzlist"/>
        <w:spacing w:after="160" w:line="259" w:lineRule="auto"/>
        <w:ind w:left="1440"/>
        <w:jc w:val="left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 xml:space="preserve">- art. 55 ustawy o prawie autorskim i prawach pokrewnych stanowi lex specialis w stosunku do przepisów do art. 561, 563, 564, 568, 570-572 i 576 k.c. wyłączając tym samym ich zastosowanie.  O wyłączeniu przez komentowany przepis stosowania przepisów Kodeksu Cywilnego o rękojmi świadczy przede wszystkim szeroka hipoteza normy kreowanej na jego podstawie (obejmująca zarówno usterki, jak i wady prawne) – co wskazuje na jego pozostawanie w stosunku lex specialis względem przepisów o odpowiedzialności za wady przedmiotu sprzedaży. </w:t>
      </w:r>
    </w:p>
    <w:p w14:paraId="4DFC8153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Wnosimy o wyłączenie stosowania rękojmi, ewentualnie o doprecyzowanie że obowiązki z rękojmi ograniczają się do Usług gwarancyjnych, ewentualnie do wymiany rzeczy na wolną od wad i usunięcia wady.</w:t>
      </w:r>
    </w:p>
    <w:p w14:paraId="6AFA353A" w14:textId="77777777" w:rsidR="006D5435" w:rsidRPr="00D30B39" w:rsidRDefault="006D5435" w:rsidP="006D5435">
      <w:pPr>
        <w:ind w:left="720" w:hanging="360"/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</w:p>
    <w:p w14:paraId="1BD8D760" w14:textId="77777777" w:rsidR="00717E63" w:rsidRPr="00D30B39" w:rsidRDefault="00717E63" w:rsidP="00717E63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sz w:val="20"/>
          <w:szCs w:val="20"/>
          <w:lang w:val="pl-PL" w:eastAsia="pl-PL"/>
        </w:rPr>
      </w:pPr>
      <w:r w:rsidRPr="00D30B39">
        <w:rPr>
          <w:rFonts w:eastAsia="Times New Roman" w:cs="Tahoma"/>
          <w:sz w:val="20"/>
          <w:szCs w:val="20"/>
          <w:lang w:val="pl-PL" w:eastAsia="pl-PL"/>
        </w:rPr>
        <w:t>Zamawiajacy podtrzymuje zapisy umowy.</w:t>
      </w:r>
    </w:p>
    <w:p w14:paraId="68CB4787" w14:textId="77777777" w:rsidR="006D5435" w:rsidRPr="00D30B39" w:rsidRDefault="006D5435" w:rsidP="006D5435">
      <w:pPr>
        <w:rPr>
          <w:rFonts w:cs="Tahoma"/>
          <w:sz w:val="20"/>
          <w:szCs w:val="20"/>
        </w:rPr>
      </w:pPr>
    </w:p>
    <w:p w14:paraId="5983F516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26</w:t>
      </w:r>
    </w:p>
    <w:p w14:paraId="365E2E2D" w14:textId="77777777" w:rsidR="002B50EB" w:rsidRPr="00D30B39" w:rsidRDefault="002B50EB" w:rsidP="001441D0">
      <w:pPr>
        <w:pStyle w:val="Akapitzlist"/>
        <w:numPr>
          <w:ilvl w:val="0"/>
          <w:numId w:val="0"/>
        </w:numPr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Dotyczy: § 10 ust. 2 pkt 3) wzoru umowy</w:t>
      </w:r>
    </w:p>
    <w:p w14:paraId="561E3E60" w14:textId="77777777" w:rsidR="002B50EB" w:rsidRPr="00D30B39" w:rsidRDefault="002B50EB" w:rsidP="001441D0">
      <w:pPr>
        <w:pStyle w:val="Akapitzlist"/>
        <w:numPr>
          <w:ilvl w:val="0"/>
          <w:numId w:val="0"/>
        </w:numPr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 xml:space="preserve">W celu szczegółowego i wyczerpującego opisania przedmiotu zamówienia prosimy o wskazanie konkretnych aktów prawa, z którymi System ma być zgodny. </w:t>
      </w:r>
    </w:p>
    <w:p w14:paraId="614BD465" w14:textId="5C6CCED7" w:rsidR="006D5435" w:rsidRPr="00D30B39" w:rsidRDefault="006D5435" w:rsidP="006D5435">
      <w:pPr>
        <w:ind w:left="720" w:hanging="360"/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</w:p>
    <w:p w14:paraId="5547F73B" w14:textId="40456175" w:rsidR="004377A4" w:rsidRPr="00D30B39" w:rsidRDefault="004377A4" w:rsidP="006D5435">
      <w:pPr>
        <w:ind w:left="720" w:hanging="360"/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lastRenderedPageBreak/>
        <w:t>m.in.:</w:t>
      </w:r>
    </w:p>
    <w:p w14:paraId="7E292515" w14:textId="77777777" w:rsidR="004377A4" w:rsidRPr="004377A4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 xml:space="preserve">Ustawa z dnia 6 marca 2018 r. Prawo przedsiębiorców: Dz.U.2021.162 </w:t>
      </w:r>
      <w:proofErr w:type="spellStart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t.j</w:t>
      </w:r>
      <w:proofErr w:type="spellEnd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. ;</w:t>
      </w:r>
    </w:p>
    <w:p w14:paraId="0B808381" w14:textId="77777777" w:rsidR="004377A4" w:rsidRPr="004377A4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Ustawa z dnia 4 lutego 1994 r. o prawie autorskim i prawach pokrewnych (Dz.U.2021.1062 </w:t>
      </w:r>
      <w:proofErr w:type="spellStart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t.j</w:t>
      </w:r>
      <w:proofErr w:type="spellEnd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.);</w:t>
      </w:r>
    </w:p>
    <w:p w14:paraId="5C419C7E" w14:textId="77777777" w:rsidR="004377A4" w:rsidRPr="004377A4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Ustawa z dnia 16 kwietnia 1993 r. o zwalczaniu nieuczciwej konkurencji (Dz.U.2020.1913 </w:t>
      </w:r>
      <w:proofErr w:type="spellStart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t.j</w:t>
      </w:r>
      <w:proofErr w:type="spellEnd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.);</w:t>
      </w:r>
    </w:p>
    <w:p w14:paraId="5C1D6331" w14:textId="77777777" w:rsidR="004377A4" w:rsidRPr="004377A4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 xml:space="preserve">Ustawa z dnia 18 lipca 2002 r. o świadczeniu usług drogą elektroniczną (Dz.U.2019 poz. 123 </w:t>
      </w:r>
      <w:proofErr w:type="spellStart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t.j</w:t>
      </w:r>
      <w:proofErr w:type="spellEnd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.);</w:t>
      </w:r>
    </w:p>
    <w:p w14:paraId="6E732B56" w14:textId="77777777" w:rsidR="004377A4" w:rsidRPr="004377A4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 xml:space="preserve">Ustawa z dnia 27 lipca 2001 r. o ochronie bez danych (Dz.U. 2021 poz. 386 </w:t>
      </w:r>
      <w:proofErr w:type="spellStart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t.j</w:t>
      </w:r>
      <w:proofErr w:type="spellEnd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.);</w:t>
      </w:r>
    </w:p>
    <w:p w14:paraId="53526898" w14:textId="77777777" w:rsidR="004377A4" w:rsidRPr="004377A4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 xml:space="preserve">Ustawa z dnia 5 sierpni 2010 r. o ochronie informacji niejawnych (Dz.U.2019 poz. 742 </w:t>
      </w:r>
      <w:proofErr w:type="spellStart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t.j</w:t>
      </w:r>
      <w:proofErr w:type="spellEnd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.);</w:t>
      </w:r>
    </w:p>
    <w:p w14:paraId="1B836DDB" w14:textId="356AD066" w:rsidR="004377A4" w:rsidRPr="004377A4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Ustawa z dnia 16 lutego 2007 r. o ochronie </w:t>
      </w:r>
      <w:r w:rsidRPr="00D30B39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E6EDF5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konkurencji </w:t>
      </w:r>
      <w:r w:rsidRPr="004377A4">
        <w:rPr>
          <w:rFonts w:eastAsia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 </w:t>
      </w: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 xml:space="preserve">konsumentów: Dz.U.2021.275 </w:t>
      </w:r>
      <w:proofErr w:type="spellStart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t.j</w:t>
      </w:r>
      <w:proofErr w:type="spellEnd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.;</w:t>
      </w:r>
    </w:p>
    <w:p w14:paraId="1C1A2DD9" w14:textId="77777777" w:rsidR="004377A4" w:rsidRPr="004377A4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 xml:space="preserve">Ustawa z dnia 23 sierpnia 2007 r. o przeciwdziałaniu nieuczciwym praktykom rynkowym (Dz.U.2017 poz. 2070 </w:t>
      </w:r>
      <w:proofErr w:type="spellStart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t.j</w:t>
      </w:r>
      <w:proofErr w:type="spellEnd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.);</w:t>
      </w:r>
    </w:p>
    <w:p w14:paraId="335D95A8" w14:textId="77777777" w:rsidR="004377A4" w:rsidRPr="004377A4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 xml:space="preserve">Ustawa z dnia 30 czerwca 2000 r. Prawo własności przemysłowej (Dz.U. z 2017 poz. 776 </w:t>
      </w:r>
      <w:proofErr w:type="spellStart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t.j</w:t>
      </w:r>
      <w:proofErr w:type="spellEnd"/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.);</w:t>
      </w:r>
    </w:p>
    <w:p w14:paraId="28430DDF" w14:textId="77777777" w:rsidR="004377A4" w:rsidRPr="004377A4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Ustawa z dnia 10 maja 2018 r. o ochronie danych osobowych (Dz.U.2019 poz. 1781);</w:t>
      </w:r>
    </w:p>
    <w:p w14:paraId="2F77F490" w14:textId="27EDF5E8" w:rsidR="004377A4" w:rsidRPr="00D30B39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95/46/WE;</w:t>
      </w:r>
    </w:p>
    <w:p w14:paraId="273E82B2" w14:textId="66366310" w:rsidR="004377A4" w:rsidRPr="00D30B39" w:rsidRDefault="004377A4" w:rsidP="004377A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41F2C"/>
          <w:sz w:val="20"/>
          <w:szCs w:val="20"/>
          <w:lang w:eastAsia="pl-PL"/>
        </w:rPr>
      </w:pPr>
      <w:r w:rsidRPr="004377A4">
        <w:rPr>
          <w:rFonts w:eastAsia="Times New Roman" w:cs="Times New Roman"/>
          <w:color w:val="141F2C"/>
          <w:sz w:val="20"/>
          <w:szCs w:val="20"/>
          <w:lang w:eastAsia="pl-PL"/>
        </w:rPr>
        <w:t>Międzynarodowa norma ISO 27001:2013 standaryzująca systemy zarządzania bezpieczeństwem informacji (SZBI) w przedsiębiorstwie.</w:t>
      </w:r>
    </w:p>
    <w:p w14:paraId="4F8346C3" w14:textId="77777777" w:rsidR="004377A4" w:rsidRPr="00D30B39" w:rsidRDefault="004377A4" w:rsidP="004377A4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Times New Roman"/>
          <w:color w:val="141F2C"/>
          <w:sz w:val="20"/>
          <w:szCs w:val="20"/>
          <w:lang w:eastAsia="pl-PL"/>
        </w:rPr>
      </w:pPr>
    </w:p>
    <w:p w14:paraId="2B8427C1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27</w:t>
      </w:r>
    </w:p>
    <w:p w14:paraId="07F5F108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Dotyczy: § 14 ust. 3 wzoru umowy</w:t>
      </w:r>
    </w:p>
    <w:p w14:paraId="012C7230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Wykonawca prosi o obniżenie ww. kary umownej. Kara umowna w wysokości 0,1% wynagrodzenia za dzień zwłoki musi zostać uznana za rażąco wygórowaną. Wskutek ustanowienia kary umownej na tak wysokim pułapie, zachwiana zostaje relacja pomiędzy wysokością wynagrodzenia za wykonanie zobowiązania, a wysokością zastrzeżonej kary umownej. W takiej sytuacji wątpliwy zostaje także stosunek wysokości zastrzeżonej kary umownej do wysokości szkody doznanej przez Zamawiającego (brak szkody jest bowiem jedną z przesłanek miarkowania zastrzeżonych kar umownych). Zwyczajowo w kontraktach z branży IT kary umowne za opóźnienie oscylują w granicach setnych części procentu wynagrodzenia, a nie części dziesiętnych. Kara umowna w zastrzeżonej wysokości nie spełnia żadnej funkcji tego rodzaju zastrzeżenia umownego, poza ewentualnie istotnie wynaturzoną funkcją represyjną. Z pewnością zaś takie kary umowne ani nie służą zmotywowaniu wykonawcy, ani – tym bardziej – naprawieniu szkód, jakich doznać mógł Zamawiający. Nadto wykonawcy muszą odpowiednio rozważyć ryzyka związane z umową, zaś wysokie kary umowne powodują, że ich oferty będą odpowiednio droższe. W związku z powyższym, prosimy o obniżenie ww. kary umownej.</w:t>
      </w:r>
    </w:p>
    <w:p w14:paraId="21254A58" w14:textId="77777777" w:rsidR="006D5435" w:rsidRPr="00D30B39" w:rsidRDefault="006D5435" w:rsidP="00717E63">
      <w:pPr>
        <w:ind w:left="720" w:hanging="720"/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</w:p>
    <w:p w14:paraId="2EA1E092" w14:textId="77777777" w:rsidR="00717E63" w:rsidRPr="00D30B39" w:rsidRDefault="00717E63" w:rsidP="00717E63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sz w:val="20"/>
          <w:szCs w:val="20"/>
          <w:lang w:val="pl-PL" w:eastAsia="pl-PL"/>
        </w:rPr>
      </w:pPr>
      <w:r w:rsidRPr="00D30B39">
        <w:rPr>
          <w:rFonts w:eastAsia="Times New Roman" w:cs="Tahoma"/>
          <w:sz w:val="20"/>
          <w:szCs w:val="20"/>
          <w:lang w:val="pl-PL" w:eastAsia="pl-PL"/>
        </w:rPr>
        <w:t>Zamawiajacy podtrzymuje zapisy umowy.</w:t>
      </w:r>
    </w:p>
    <w:p w14:paraId="133114C6" w14:textId="77777777" w:rsidR="006D5435" w:rsidRPr="00D30B39" w:rsidRDefault="006D5435" w:rsidP="00717E63">
      <w:pPr>
        <w:rPr>
          <w:rFonts w:cs="Tahoma"/>
          <w:sz w:val="20"/>
          <w:szCs w:val="20"/>
        </w:rPr>
      </w:pPr>
    </w:p>
    <w:p w14:paraId="5CF6B5F3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28</w:t>
      </w:r>
    </w:p>
    <w:p w14:paraId="7FAF0E71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Dotyczy: wzoru umowy</w:t>
      </w:r>
    </w:p>
    <w:p w14:paraId="79CA016E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We wzorze umowy jest kilkukrotnie mowa o udzieleniu przez Wykonawcę licencji na Produkty. Prosimy o potwierdzenie, że licencja będzie udzielana na warunkach producenta.</w:t>
      </w:r>
    </w:p>
    <w:p w14:paraId="55A5C6E1" w14:textId="5349B20C" w:rsidR="006D5435" w:rsidRPr="00D30B39" w:rsidRDefault="006D5435" w:rsidP="006D5435">
      <w:pPr>
        <w:ind w:left="720" w:hanging="360"/>
        <w:rPr>
          <w:b/>
          <w:sz w:val="20"/>
          <w:szCs w:val="20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  <w:r w:rsidR="00D76C66" w:rsidRPr="00D30B39">
        <w:rPr>
          <w:b/>
          <w:sz w:val="20"/>
          <w:szCs w:val="20"/>
          <w:u w:val="single"/>
          <w:lang w:eastAsia="pl-PL"/>
        </w:rPr>
        <w:t xml:space="preserve"> </w:t>
      </w:r>
    </w:p>
    <w:p w14:paraId="23857E44" w14:textId="5D253664" w:rsidR="00D76C66" w:rsidRPr="00D30B39" w:rsidRDefault="00D76C66" w:rsidP="006D5435">
      <w:pPr>
        <w:ind w:left="720" w:hanging="360"/>
        <w:rPr>
          <w:b/>
          <w:color w:val="FF0000"/>
          <w:sz w:val="20"/>
          <w:szCs w:val="20"/>
          <w:lang w:eastAsia="pl-PL"/>
        </w:rPr>
      </w:pPr>
      <w:r w:rsidRPr="00D30B39">
        <w:rPr>
          <w:rFonts w:cs="Tahoma"/>
          <w:sz w:val="20"/>
          <w:szCs w:val="20"/>
        </w:rPr>
        <w:lastRenderedPageBreak/>
        <w:t>Tak potwierdzamy, ż</w:t>
      </w:r>
      <w:r w:rsidR="002F23CB" w:rsidRPr="00D30B39">
        <w:rPr>
          <w:rFonts w:cs="Tahoma"/>
          <w:sz w:val="20"/>
          <w:szCs w:val="20"/>
        </w:rPr>
        <w:t xml:space="preserve">e </w:t>
      </w:r>
      <w:r w:rsidRPr="00D30B39">
        <w:rPr>
          <w:rFonts w:cs="Tahoma"/>
          <w:sz w:val="20"/>
          <w:szCs w:val="20"/>
        </w:rPr>
        <w:t>licencja będzie udzielana na warunkach producenta</w:t>
      </w:r>
    </w:p>
    <w:p w14:paraId="53CB918F" w14:textId="77777777" w:rsidR="002B50EB" w:rsidRPr="00D30B39" w:rsidRDefault="002B50EB" w:rsidP="006D5435">
      <w:pPr>
        <w:rPr>
          <w:rFonts w:cs="Tahoma"/>
          <w:sz w:val="20"/>
          <w:szCs w:val="20"/>
        </w:rPr>
      </w:pPr>
    </w:p>
    <w:p w14:paraId="439C0366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29</w:t>
      </w:r>
    </w:p>
    <w:p w14:paraId="533B41D6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Dotyczy: § 4 ust. 1 pkt 5) wzoru umowy powierzenia przetwarzania danych osobowych</w:t>
      </w:r>
    </w:p>
    <w:p w14:paraId="23598A28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Czy Zamawiający zezwoli Wykonawcy na przedłożenie opisu stosowanych przez niego środków organizacyjnych i technicznych (art. 32 RODO) jako załącznika do umowy?</w:t>
      </w:r>
    </w:p>
    <w:p w14:paraId="3D15EB16" w14:textId="77777777" w:rsidR="006D5435" w:rsidRPr="00D30B39" w:rsidRDefault="006D5435" w:rsidP="00717E63">
      <w:pPr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</w:p>
    <w:p w14:paraId="0CE87A92" w14:textId="77777777" w:rsidR="00717E63" w:rsidRPr="00D30B39" w:rsidRDefault="00717E63" w:rsidP="00717E63">
      <w:pPr>
        <w:rPr>
          <w:sz w:val="20"/>
          <w:szCs w:val="20"/>
          <w:lang w:eastAsia="pl-PL"/>
        </w:rPr>
      </w:pPr>
      <w:r w:rsidRPr="00D30B39">
        <w:rPr>
          <w:sz w:val="20"/>
          <w:szCs w:val="20"/>
          <w:lang w:eastAsia="pl-PL"/>
        </w:rPr>
        <w:t xml:space="preserve">Zamawiający informuje, ze wszyscy Wykonawcy biorą udział w postepowaniu na równych zasadach, zgodnie z obowiązującymi przepisami ustawy </w:t>
      </w:r>
      <w:proofErr w:type="spellStart"/>
      <w:r w:rsidRPr="00D30B39">
        <w:rPr>
          <w:sz w:val="20"/>
          <w:szCs w:val="20"/>
          <w:lang w:eastAsia="pl-PL"/>
        </w:rPr>
        <w:t>Pzp</w:t>
      </w:r>
      <w:proofErr w:type="spellEnd"/>
      <w:r w:rsidRPr="00D30B39">
        <w:rPr>
          <w:sz w:val="20"/>
          <w:szCs w:val="20"/>
          <w:lang w:eastAsia="pl-PL"/>
        </w:rPr>
        <w:t>. Zamawiający nie wyraża zgody.</w:t>
      </w:r>
    </w:p>
    <w:p w14:paraId="4DB2E2C5" w14:textId="77777777" w:rsidR="006D5435" w:rsidRPr="00D30B39" w:rsidRDefault="006D5435" w:rsidP="00717E63">
      <w:pPr>
        <w:rPr>
          <w:rFonts w:cs="Tahoma"/>
          <w:sz w:val="20"/>
          <w:szCs w:val="20"/>
        </w:rPr>
      </w:pPr>
    </w:p>
    <w:p w14:paraId="62B26E17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30</w:t>
      </w:r>
    </w:p>
    <w:p w14:paraId="72364FFB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Dotyczy: § 4 ust. 2, 3 wzoru umowy powierzenia przetwarzania danych osobowych</w:t>
      </w:r>
    </w:p>
    <w:p w14:paraId="28A7320B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Prosimy o potwierdzenie, że obowiązki wskazane w powyższych paragrafach będą się odnosić jedynie w stosunku do Danych osobowych powierzonych do przetwarzania przez Zamawiającego  - Uniwersytet Kazimierza Wielkiego w Bydgoszczy.</w:t>
      </w:r>
    </w:p>
    <w:p w14:paraId="65C3A79C" w14:textId="77777777" w:rsidR="00D76C66" w:rsidRPr="00D30B39" w:rsidRDefault="006D5435" w:rsidP="006D5435">
      <w:pPr>
        <w:ind w:left="720" w:hanging="360"/>
        <w:rPr>
          <w:b/>
          <w:sz w:val="20"/>
          <w:szCs w:val="20"/>
          <w:lang w:eastAsia="pl-PL"/>
        </w:rPr>
      </w:pPr>
      <w:r w:rsidRPr="00D30B39">
        <w:rPr>
          <w:b/>
          <w:sz w:val="20"/>
          <w:szCs w:val="20"/>
          <w:lang w:eastAsia="pl-PL"/>
        </w:rPr>
        <w:t>Odpowiedź:</w:t>
      </w:r>
      <w:r w:rsidR="00D76C66" w:rsidRPr="00D30B39">
        <w:rPr>
          <w:b/>
          <w:sz w:val="20"/>
          <w:szCs w:val="20"/>
          <w:lang w:eastAsia="pl-PL"/>
        </w:rPr>
        <w:t xml:space="preserve"> </w:t>
      </w:r>
    </w:p>
    <w:p w14:paraId="31378C2A" w14:textId="2D61FF22" w:rsidR="006D5435" w:rsidRPr="00D30B39" w:rsidRDefault="00D76C66" w:rsidP="00D76C66">
      <w:pPr>
        <w:ind w:left="426" w:hanging="77"/>
        <w:rPr>
          <w:sz w:val="20"/>
          <w:szCs w:val="20"/>
          <w:lang w:eastAsia="pl-PL"/>
        </w:rPr>
      </w:pPr>
      <w:r w:rsidRPr="00D30B39">
        <w:rPr>
          <w:sz w:val="20"/>
          <w:szCs w:val="20"/>
          <w:lang w:eastAsia="pl-PL"/>
        </w:rPr>
        <w:t xml:space="preserve">Tak, potwierdzamy, że </w:t>
      </w:r>
      <w:r w:rsidRPr="00D30B39">
        <w:rPr>
          <w:rFonts w:cs="Tahoma"/>
          <w:sz w:val="20"/>
          <w:szCs w:val="20"/>
        </w:rPr>
        <w:t>obowiązki wskazane w powyższych paragrafach będą się odnosić jedynie w stosunku do Danych osobowych powierzonych do przetwarzania przez Zamawiającego  - Uniwersytet Kazimierza Wielkiego w Bydgoszczy.</w:t>
      </w:r>
    </w:p>
    <w:p w14:paraId="3B08FBA1" w14:textId="77777777" w:rsidR="006D5435" w:rsidRPr="00D30B39" w:rsidRDefault="006D5435" w:rsidP="006D5435">
      <w:pPr>
        <w:rPr>
          <w:rFonts w:cs="Tahoma"/>
          <w:sz w:val="20"/>
          <w:szCs w:val="20"/>
        </w:rPr>
      </w:pPr>
    </w:p>
    <w:p w14:paraId="62AA1731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31</w:t>
      </w:r>
    </w:p>
    <w:p w14:paraId="3248AC7C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Dotyczy: § 9 ust. 3, § 3 wzoru umowy powierzenia przetwarzania danych osobowych</w:t>
      </w:r>
    </w:p>
    <w:p w14:paraId="290DEA4A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Zgodnie z § 9 ust. 3 wzoru umowy powierzenia, Każda ze Stron może wypowiedzieć Umowę z 30 dniowym okresem wypowiedzenia, w przypadku gdy realizacja Umowy podstawowej nie będzie wymagała przetwarzania danych osobowych.</w:t>
      </w:r>
    </w:p>
    <w:p w14:paraId="15E1D92D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Zgodnie z § 3 wzoru umowy powierzenia, Kategorie danych osobowych oraz kategorie osób, których dane dotyczą powierzone do przetwarzania Podmiotowi przetwarzającemu zostaną określone na Etapie „Analizy przedwdrożeniowej” i będą stanowiły Załącznik nr 1 do niniejszej Umowy.</w:t>
      </w:r>
    </w:p>
    <w:p w14:paraId="145540FB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Umowa powierzenia została skonstruowana w taki sposób, że Strony ją zawierają, bez określenia jakie dane osobowe będą przetwarzane, bez powierzenia przetwarzania tych danych osobowych – co powinno stanowić essentialia negotii tego typu umowy, jak również z możliwością jej wypowiedzenia w sytuacji, gdy realizacja Umowy podstawowej nie będzie wymagała przetwarzania danych osobowych.</w:t>
      </w:r>
    </w:p>
    <w:p w14:paraId="25AAA86A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 xml:space="preserve">W ocenie Wykonawcy nie jest to poprawne działanie. Umowa powierzenia powinna być zawierana kiedy Strony są pewne, że dane osobowe będą przetwarzane oraz z wyraźnym wskazaniem które dane osobowe będą przez Podmiot Przetwarzający przetwarzane. </w:t>
      </w:r>
      <w:r w:rsidRPr="00D30B39">
        <w:rPr>
          <w:rFonts w:cs="Tahoma"/>
          <w:sz w:val="20"/>
          <w:szCs w:val="20"/>
          <w:lang w:val="pl-PL"/>
        </w:rPr>
        <w:lastRenderedPageBreak/>
        <w:t>Wykonawca nie może się zgodzić na liczne postanowienia zobowiązujące go do ochrony danych osobowych w sytuacji gdy nie wie, jakie dane zostaną – lub nie – mu powierzone.</w:t>
      </w:r>
    </w:p>
    <w:p w14:paraId="1F0BAC13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Dlatego prosimy o zmianę i wprowadzenie procedury, zgodnie z którą umowa powierzenia przetwarzania danych osobowych zostanie zawarta między stronami w momencie, gdy do realizacji Umowy podstawowej konieczne będzie przetwarzanie danych osobowych Zamawiającego, a w takiej umowie Strony określą zakres danych powierzonych do przetwarzania i kategorie osób, których dane dotyczą.</w:t>
      </w:r>
    </w:p>
    <w:p w14:paraId="1DD505E8" w14:textId="77777777" w:rsidR="006D5435" w:rsidRPr="00D30B39" w:rsidRDefault="006D5435" w:rsidP="006D5435">
      <w:pPr>
        <w:pStyle w:val="Akapitzlist"/>
        <w:numPr>
          <w:ilvl w:val="0"/>
          <w:numId w:val="0"/>
        </w:numPr>
        <w:ind w:left="1440"/>
        <w:rPr>
          <w:rFonts w:cs="Tahoma"/>
          <w:sz w:val="20"/>
          <w:szCs w:val="20"/>
          <w:lang w:val="pl-PL"/>
        </w:rPr>
      </w:pPr>
    </w:p>
    <w:p w14:paraId="1050672E" w14:textId="77777777" w:rsidR="006D5435" w:rsidRPr="00D30B39" w:rsidRDefault="006D5435" w:rsidP="006D5435">
      <w:pPr>
        <w:pStyle w:val="Akapitzlist"/>
        <w:numPr>
          <w:ilvl w:val="0"/>
          <w:numId w:val="0"/>
        </w:numPr>
        <w:ind w:left="1440"/>
        <w:rPr>
          <w:rFonts w:cs="Tahoma"/>
          <w:sz w:val="20"/>
          <w:szCs w:val="20"/>
          <w:lang w:val="pl-PL"/>
        </w:rPr>
      </w:pPr>
    </w:p>
    <w:p w14:paraId="779317A4" w14:textId="77777777" w:rsidR="006D5435" w:rsidRPr="00D30B39" w:rsidRDefault="006D5435" w:rsidP="00717E63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60FED6CD" w14:textId="77777777" w:rsidR="00717E63" w:rsidRPr="00D30B39" w:rsidRDefault="00717E63" w:rsidP="00717E63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sz w:val="20"/>
          <w:szCs w:val="20"/>
          <w:lang w:val="pl-PL" w:eastAsia="pl-PL"/>
        </w:rPr>
      </w:pPr>
      <w:r w:rsidRPr="00D30B39">
        <w:rPr>
          <w:rFonts w:eastAsia="Times New Roman" w:cs="Tahoma"/>
          <w:sz w:val="20"/>
          <w:szCs w:val="20"/>
          <w:lang w:val="pl-PL" w:eastAsia="pl-PL"/>
        </w:rPr>
        <w:t>Zamawiajacy podtrzymuje zapisy umowy.</w:t>
      </w:r>
    </w:p>
    <w:p w14:paraId="2B8369CA" w14:textId="77777777" w:rsidR="006D5435" w:rsidRPr="00D30B39" w:rsidRDefault="006D5435" w:rsidP="00717E63">
      <w:pPr>
        <w:pStyle w:val="Akapitzlist"/>
        <w:numPr>
          <w:ilvl w:val="0"/>
          <w:numId w:val="0"/>
        </w:numPr>
        <w:rPr>
          <w:rFonts w:cs="Tahoma"/>
          <w:sz w:val="20"/>
          <w:szCs w:val="20"/>
          <w:lang w:val="pl-PL"/>
        </w:rPr>
      </w:pPr>
    </w:p>
    <w:p w14:paraId="6B7E32C3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nr 32</w:t>
      </w:r>
    </w:p>
    <w:p w14:paraId="636E4E83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Dotyczy: § 8 ust. 2 umowy powierzenia przetwarzania danych osobowych</w:t>
      </w:r>
    </w:p>
    <w:p w14:paraId="19C6D22E" w14:textId="77777777" w:rsidR="002B50EB" w:rsidRPr="00D30B39" w:rsidRDefault="002B50EB" w:rsidP="002B50EB">
      <w:pPr>
        <w:pStyle w:val="Akapitzlist"/>
        <w:ind w:left="1440"/>
        <w:rPr>
          <w:rFonts w:cs="Tahoma"/>
          <w:sz w:val="20"/>
          <w:szCs w:val="20"/>
          <w:lang w:val="pl-PL"/>
        </w:rPr>
      </w:pPr>
      <w:r w:rsidRPr="00D30B39">
        <w:rPr>
          <w:rFonts w:cs="Tahoma"/>
          <w:sz w:val="20"/>
          <w:szCs w:val="20"/>
          <w:lang w:val="pl-PL"/>
        </w:rPr>
        <w:t>Do umowy nie została wprowadzona limitacja odpowiedzialności z tytułu naruszenia zasad dotyczących ochrony danych osobowych, co oznacza, że Strony nie są w stanie przewidzieć zakresu swojej odpowiedzialności. Powyższe sprawia, że Wykonawca nie jest w stanie oszacować prawidłowo ryzyk kontraktowych związanych z ofertą, co sprawia, że oferty Wykonawców będą odpowiednio droższe. W związku z powyższym, prosimy o wprowadzenie limitacji odpowiedzialności Stron z tytułu naruszenia zasad dotyczących ochrony danych osobowych do wysokości 100% wynagrodzenia Wykonawcy brutto.</w:t>
      </w:r>
    </w:p>
    <w:p w14:paraId="7B79F956" w14:textId="77777777" w:rsidR="006D5435" w:rsidRPr="00D30B39" w:rsidRDefault="006D5435" w:rsidP="00717E63">
      <w:pPr>
        <w:rPr>
          <w:b/>
          <w:sz w:val="20"/>
          <w:szCs w:val="20"/>
          <w:u w:val="single"/>
          <w:lang w:eastAsia="pl-PL"/>
        </w:rPr>
      </w:pPr>
      <w:r w:rsidRPr="00D30B39">
        <w:rPr>
          <w:b/>
          <w:sz w:val="20"/>
          <w:szCs w:val="20"/>
          <w:u w:val="single"/>
          <w:lang w:eastAsia="pl-PL"/>
        </w:rPr>
        <w:t>Odpowiedź:</w:t>
      </w:r>
    </w:p>
    <w:p w14:paraId="115F5527" w14:textId="77777777" w:rsidR="00717E63" w:rsidRPr="00D30B39" w:rsidRDefault="00717E63" w:rsidP="00717E63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sz w:val="20"/>
          <w:szCs w:val="20"/>
          <w:lang w:val="pl-PL" w:eastAsia="pl-PL"/>
        </w:rPr>
      </w:pPr>
      <w:r w:rsidRPr="00D30B39">
        <w:rPr>
          <w:sz w:val="20"/>
          <w:szCs w:val="20"/>
          <w:shd w:val="clear" w:color="auto" w:fill="FFFFFF"/>
          <w:lang w:val="pl-PL"/>
        </w:rPr>
        <w:t>RODO szczegółowo określa też w art. 83 zakres naruszeń, za które przyznawane mogą być kary finansowe oraz podkreśla, że kary te powinny być za każdym razem skuteczne, proporcjonalne oraz odstraszające.</w:t>
      </w:r>
      <w:r w:rsidRPr="00D30B39">
        <w:rPr>
          <w:rFonts w:eastAsia="Times New Roman" w:cs="Tahoma"/>
          <w:sz w:val="20"/>
          <w:szCs w:val="20"/>
          <w:lang w:val="pl-PL" w:eastAsia="pl-PL"/>
        </w:rPr>
        <w:t xml:space="preserve"> Zamawiajacy podtrzymuje zapisy umowy.</w:t>
      </w:r>
    </w:p>
    <w:p w14:paraId="115264DB" w14:textId="77777777" w:rsidR="00717E63" w:rsidRPr="00D30B39" w:rsidRDefault="00717E63" w:rsidP="00717E63">
      <w:pPr>
        <w:pStyle w:val="Akapitzlist"/>
        <w:numPr>
          <w:ilvl w:val="0"/>
          <w:numId w:val="0"/>
        </w:numPr>
        <w:rPr>
          <w:rFonts w:cs="Tahoma"/>
          <w:sz w:val="20"/>
          <w:szCs w:val="20"/>
          <w:lang w:val="pl-PL"/>
        </w:rPr>
      </w:pPr>
    </w:p>
    <w:p w14:paraId="20F3D511" w14:textId="77777777" w:rsidR="006D5435" w:rsidRPr="00D30B39" w:rsidRDefault="006D5435" w:rsidP="00717E63">
      <w:pPr>
        <w:jc w:val="both"/>
        <w:rPr>
          <w:rFonts w:cs="Tahoma"/>
          <w:sz w:val="20"/>
          <w:szCs w:val="20"/>
        </w:rPr>
      </w:pPr>
    </w:p>
    <w:p w14:paraId="4541A6CC" w14:textId="77777777" w:rsidR="002B50EB" w:rsidRPr="00D30B39" w:rsidRDefault="002B50EB" w:rsidP="002B50EB">
      <w:pPr>
        <w:rPr>
          <w:rFonts w:cs="Tahoma"/>
          <w:b/>
          <w:bCs/>
          <w:sz w:val="20"/>
          <w:szCs w:val="20"/>
        </w:rPr>
      </w:pPr>
      <w:r w:rsidRPr="00D30B39">
        <w:rPr>
          <w:rFonts w:cs="Tahoma"/>
          <w:b/>
          <w:bCs/>
          <w:sz w:val="20"/>
          <w:szCs w:val="20"/>
        </w:rPr>
        <w:t>Pytanie 33</w:t>
      </w:r>
    </w:p>
    <w:p w14:paraId="02A8ADBD" w14:textId="77777777" w:rsidR="002B50EB" w:rsidRPr="00D30B39" w:rsidRDefault="002B50EB" w:rsidP="00717E63">
      <w:pPr>
        <w:ind w:left="1416"/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Czy Zamawiający przewidzi opracowanie (wspólnie z Zamawiającym lub do jego akceptacji/odbioru scenariuszy testowych) które będą podstawą weryfikacji oprogramowania podczas testów? </w:t>
      </w:r>
    </w:p>
    <w:p w14:paraId="1C1DE608" w14:textId="77777777" w:rsidR="002B50EB" w:rsidRPr="00D30B39" w:rsidRDefault="002B50EB" w:rsidP="00717E63">
      <w:pPr>
        <w:ind w:left="1416"/>
        <w:jc w:val="both"/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 xml:space="preserve">Wykonawca prosi o taka modyfikacje SWZ i Umowy aby wprowadzić zasadę, ze odebrane scenariusze są jedyną podstawa weryfikacji? Powyższe pozwoli na unikniecie rozbieżności przy odbiorze i ryzyka, że dopiero na tym etapie Zamawiający ujawni oczekiwany sposób realizacji/działania oprogramowania. </w:t>
      </w:r>
    </w:p>
    <w:p w14:paraId="420E877E" w14:textId="69931ACD" w:rsidR="006D5435" w:rsidRPr="00D30B39" w:rsidRDefault="006D5435" w:rsidP="006D5435">
      <w:pPr>
        <w:pStyle w:val="Akapitzlist"/>
        <w:numPr>
          <w:ilvl w:val="0"/>
          <w:numId w:val="0"/>
        </w:numPr>
        <w:spacing w:after="0"/>
        <w:ind w:left="36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4B781565" w14:textId="77777777" w:rsidR="00850384" w:rsidRPr="00D30B39" w:rsidRDefault="00850384" w:rsidP="006D5435">
      <w:pPr>
        <w:pStyle w:val="Akapitzlist"/>
        <w:numPr>
          <w:ilvl w:val="0"/>
          <w:numId w:val="0"/>
        </w:numPr>
        <w:spacing w:after="0"/>
        <w:ind w:left="360"/>
        <w:rPr>
          <w:rFonts w:eastAsia="Times New Roman" w:cs="Tahoma"/>
          <w:b/>
          <w:color w:val="FF0000"/>
          <w:sz w:val="20"/>
          <w:szCs w:val="20"/>
          <w:u w:val="single"/>
          <w:lang w:val="pl-PL" w:eastAsia="pl-PL"/>
        </w:rPr>
      </w:pPr>
    </w:p>
    <w:p w14:paraId="4270BB4C" w14:textId="30FCB406" w:rsidR="002B50EB" w:rsidRPr="00D30B39" w:rsidRDefault="00850384" w:rsidP="006D5435">
      <w:pPr>
        <w:rPr>
          <w:rFonts w:cs="Tahoma"/>
          <w:sz w:val="20"/>
          <w:szCs w:val="20"/>
        </w:rPr>
      </w:pPr>
      <w:r w:rsidRPr="00D30B39">
        <w:rPr>
          <w:rFonts w:cs="Tahoma"/>
          <w:sz w:val="20"/>
          <w:szCs w:val="20"/>
        </w:rPr>
        <w:t>W porozumieniu z Zamawiającym Wykonawca opracuje scenariusze testowe niezbędne do przygotowania testów oprogramowania (funkcjonalność, wydajność, bezpieczeństwo, integracja).</w:t>
      </w:r>
    </w:p>
    <w:p w14:paraId="79CE3A3B" w14:textId="77777777" w:rsidR="006D5435" w:rsidRPr="00D30B39" w:rsidRDefault="006D5435" w:rsidP="006D5435">
      <w:pPr>
        <w:rPr>
          <w:rFonts w:cs="Tahoma"/>
          <w:sz w:val="20"/>
          <w:szCs w:val="20"/>
        </w:rPr>
      </w:pPr>
    </w:p>
    <w:p w14:paraId="779CF1A6" w14:textId="77777777" w:rsidR="006D5435" w:rsidRPr="00D30B39" w:rsidRDefault="006D5435" w:rsidP="006D5435">
      <w:pPr>
        <w:pStyle w:val="NormalnyWeb"/>
        <w:shd w:val="clear" w:color="auto" w:fill="FFFFFF"/>
        <w:spacing w:before="0" w:beforeAutospacing="0" w:after="0" w:afterAutospacing="0"/>
        <w:ind w:left="1" w:hanging="1"/>
        <w:rPr>
          <w:rFonts w:asciiTheme="minorHAnsi" w:hAnsiTheme="minorHAnsi"/>
          <w:color w:val="000000"/>
          <w:sz w:val="20"/>
          <w:szCs w:val="20"/>
        </w:rPr>
      </w:pPr>
      <w:r w:rsidRPr="00D30B39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Pytanie 34</w:t>
      </w:r>
    </w:p>
    <w:p w14:paraId="5AEF7633" w14:textId="77777777" w:rsidR="006D5435" w:rsidRPr="00D30B39" w:rsidRDefault="006D5435" w:rsidP="006D5435">
      <w:pPr>
        <w:pStyle w:val="NormalnyWeb"/>
        <w:shd w:val="clear" w:color="auto" w:fill="FFFFFF"/>
        <w:spacing w:before="0" w:beforeAutospacing="0" w:after="0" w:afterAutospacing="0"/>
        <w:ind w:left="1" w:hanging="1"/>
        <w:rPr>
          <w:rFonts w:asciiTheme="minorHAnsi" w:hAnsiTheme="minorHAnsi"/>
          <w:color w:val="000000"/>
          <w:sz w:val="20"/>
          <w:szCs w:val="20"/>
        </w:rPr>
      </w:pPr>
      <w:r w:rsidRPr="00D30B39">
        <w:rPr>
          <w:rFonts w:asciiTheme="minorHAnsi" w:hAnsiTheme="minorHAnsi"/>
          <w:color w:val="000000"/>
          <w:sz w:val="20"/>
          <w:szCs w:val="20"/>
        </w:rPr>
        <w:t>Dotyczy Załącznik nr 7 OPIS PRZEDMIOTU ZAMÓWIENIA</w:t>
      </w:r>
      <w:r w:rsidRPr="00D30B39">
        <w:rPr>
          <w:rFonts w:asciiTheme="minorHAnsi" w:hAnsiTheme="minorHAnsi"/>
          <w:color w:val="000000"/>
          <w:sz w:val="20"/>
          <w:szCs w:val="20"/>
        </w:rPr>
        <w:br/>
        <w:t>Zamawiający specyfikuje zapis:</w:t>
      </w:r>
      <w:r w:rsidRPr="00D30B39">
        <w:rPr>
          <w:rFonts w:asciiTheme="minorHAnsi" w:hAnsiTheme="minorHAnsi"/>
          <w:color w:val="000000"/>
          <w:sz w:val="20"/>
          <w:szCs w:val="20"/>
        </w:rPr>
        <w:br/>
      </w:r>
      <w:r w:rsidRPr="00D30B39">
        <w:rPr>
          <w:rFonts w:asciiTheme="minorHAnsi" w:hAnsiTheme="minorHAnsi"/>
          <w:i/>
          <w:iCs/>
          <w:color w:val="000000"/>
          <w:sz w:val="20"/>
          <w:szCs w:val="20"/>
        </w:rPr>
        <w:t xml:space="preserve">8.    Usługa konfiguracji i modernizacji serwera HP </w:t>
      </w:r>
      <w:proofErr w:type="spellStart"/>
      <w:r w:rsidRPr="00D30B39">
        <w:rPr>
          <w:rFonts w:asciiTheme="minorHAnsi" w:hAnsiTheme="minorHAnsi"/>
          <w:i/>
          <w:iCs/>
          <w:color w:val="000000"/>
          <w:sz w:val="20"/>
          <w:szCs w:val="20"/>
        </w:rPr>
        <w:t>Proliant</w:t>
      </w:r>
      <w:proofErr w:type="spellEnd"/>
      <w:r w:rsidRPr="00D30B39">
        <w:rPr>
          <w:rFonts w:asciiTheme="minorHAnsi" w:hAnsiTheme="minorHAnsi"/>
          <w:i/>
          <w:iCs/>
          <w:color w:val="000000"/>
          <w:sz w:val="20"/>
          <w:szCs w:val="20"/>
        </w:rPr>
        <w:t xml:space="preserve"> DL160 G6 do funkcjonalności odpowiadającej dostępnym w sprzedaży modelom producenta przynajmniej generacji 10 – do potrzeb dedykowanego systemu informatycznego z uwzględnieniem:</w:t>
      </w:r>
      <w:r w:rsidRPr="00D30B39">
        <w:rPr>
          <w:rFonts w:asciiTheme="minorHAnsi" w:hAnsiTheme="minorHAnsi"/>
          <w:i/>
          <w:iCs/>
          <w:color w:val="000000"/>
          <w:sz w:val="20"/>
          <w:szCs w:val="20"/>
        </w:rPr>
        <w:br/>
        <w:t xml:space="preserve">a.    Rozszerzenia przestrzeni dyskowej o 8 dysków o parametrach: 4 TB / 256 MB / 7200 RPM / 36 </w:t>
      </w:r>
      <w:proofErr w:type="spellStart"/>
      <w:r w:rsidRPr="00D30B39">
        <w:rPr>
          <w:rFonts w:asciiTheme="minorHAnsi" w:hAnsiTheme="minorHAnsi"/>
          <w:i/>
          <w:iCs/>
          <w:color w:val="000000"/>
          <w:sz w:val="20"/>
          <w:szCs w:val="20"/>
        </w:rPr>
        <w:t>dB</w:t>
      </w:r>
      <w:proofErr w:type="spellEnd"/>
      <w:r w:rsidRPr="00D30B39">
        <w:rPr>
          <w:rFonts w:asciiTheme="minorHAnsi" w:hAnsiTheme="minorHAnsi"/>
          <w:i/>
          <w:iCs/>
          <w:color w:val="000000"/>
          <w:sz w:val="20"/>
          <w:szCs w:val="20"/>
        </w:rPr>
        <w:t xml:space="preserve"> / sensor.</w:t>
      </w:r>
      <w:r w:rsidRPr="00D30B39">
        <w:rPr>
          <w:rFonts w:asciiTheme="minorHAnsi" w:hAnsiTheme="minorHAnsi"/>
          <w:i/>
          <w:iCs/>
          <w:color w:val="000000"/>
          <w:sz w:val="20"/>
          <w:szCs w:val="20"/>
        </w:rPr>
        <w:br/>
        <w:t>b.    4-rdzeniowy procesor Intel® Xeon® E-2224, 32GB pamięci RAM.</w:t>
      </w:r>
      <w:r w:rsidRPr="00D30B39">
        <w:rPr>
          <w:rFonts w:asciiTheme="minorHAnsi" w:hAnsiTheme="minorHAnsi"/>
          <w:i/>
          <w:iCs/>
          <w:color w:val="000000"/>
          <w:sz w:val="20"/>
          <w:szCs w:val="20"/>
        </w:rPr>
        <w:br/>
        <w:t>c.    Dopasowania systemu zasilania.</w:t>
      </w:r>
    </w:p>
    <w:p w14:paraId="2F9656F9" w14:textId="77777777" w:rsidR="006D5435" w:rsidRPr="00D30B39" w:rsidRDefault="006D5435" w:rsidP="006D5435">
      <w:pPr>
        <w:pStyle w:val="NormalnyWeb"/>
        <w:shd w:val="clear" w:color="auto" w:fill="FFFFFF"/>
        <w:spacing w:before="0" w:beforeAutospacing="0" w:after="0" w:afterAutospacing="0"/>
        <w:ind w:left="1" w:hanging="1"/>
        <w:rPr>
          <w:rFonts w:asciiTheme="minorHAnsi" w:hAnsiTheme="minorHAnsi"/>
          <w:color w:val="000000"/>
          <w:sz w:val="20"/>
          <w:szCs w:val="20"/>
        </w:rPr>
      </w:pPr>
      <w:r w:rsidRPr="00D30B39">
        <w:rPr>
          <w:rFonts w:asciiTheme="minorHAnsi" w:hAnsiTheme="minorHAnsi"/>
          <w:color w:val="000000"/>
          <w:sz w:val="20"/>
          <w:szCs w:val="20"/>
        </w:rPr>
        <w:t xml:space="preserve">Prosimy o potwierdzenie przez Zamawiającego, że posiadany sprzęt w postaci serwera HP </w:t>
      </w:r>
      <w:proofErr w:type="spellStart"/>
      <w:r w:rsidRPr="00D30B39">
        <w:rPr>
          <w:rFonts w:asciiTheme="minorHAnsi" w:hAnsiTheme="minorHAnsi"/>
          <w:color w:val="000000"/>
          <w:sz w:val="20"/>
          <w:szCs w:val="20"/>
        </w:rPr>
        <w:t>Proliant</w:t>
      </w:r>
      <w:proofErr w:type="spellEnd"/>
      <w:r w:rsidRPr="00D30B39">
        <w:rPr>
          <w:rFonts w:asciiTheme="minorHAnsi" w:hAnsiTheme="minorHAnsi"/>
          <w:color w:val="000000"/>
          <w:sz w:val="20"/>
          <w:szCs w:val="20"/>
        </w:rPr>
        <w:t xml:space="preserve"> DL160 G6, technicznie umożliwia rozbudowę o wymienione przez Zamawiającego komponenty. Tzn. w serwerze jest wolnych 8 zatok dyskowych o rozmiarze 3,5 cala, umożliwiających zainstalowanie 8 dysków, wymienionych w punkcie a., płyta główna serwera jest dostosowana do zainstalowania wymienionego w punkcie b. procesora, oraz serwer posiada wolne </w:t>
      </w:r>
      <w:proofErr w:type="spellStart"/>
      <w:r w:rsidRPr="00D30B39">
        <w:rPr>
          <w:rFonts w:asciiTheme="minorHAnsi" w:hAnsiTheme="minorHAnsi"/>
          <w:color w:val="000000"/>
          <w:sz w:val="20"/>
          <w:szCs w:val="20"/>
        </w:rPr>
        <w:t>sloty</w:t>
      </w:r>
      <w:proofErr w:type="spellEnd"/>
      <w:r w:rsidRPr="00D30B39">
        <w:rPr>
          <w:rFonts w:asciiTheme="minorHAnsi" w:hAnsiTheme="minorHAnsi"/>
          <w:color w:val="000000"/>
          <w:sz w:val="20"/>
          <w:szCs w:val="20"/>
        </w:rPr>
        <w:t xml:space="preserve"> pamięci, umożliwiające rozbudowę o 32GB RAM.</w:t>
      </w:r>
    </w:p>
    <w:p w14:paraId="35935D22" w14:textId="77777777" w:rsidR="006D5435" w:rsidRPr="00D30B39" w:rsidRDefault="006D5435" w:rsidP="006D5435">
      <w:pPr>
        <w:ind w:left="1" w:hanging="1"/>
        <w:rPr>
          <w:rFonts w:cs="Tahoma"/>
          <w:sz w:val="20"/>
          <w:szCs w:val="20"/>
        </w:rPr>
      </w:pPr>
    </w:p>
    <w:p w14:paraId="7168B08C" w14:textId="77777777" w:rsidR="006D5435" w:rsidRPr="00D30B39" w:rsidRDefault="006D5435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D30B39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5849EAD6" w14:textId="77777777" w:rsidR="00916A60" w:rsidRPr="00D30B39" w:rsidRDefault="00916A60" w:rsidP="00916A60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Cs w:val="20"/>
          <w:shd w:val="clear" w:color="auto" w:fill="FFFFFF"/>
        </w:rPr>
      </w:pPr>
      <w:r w:rsidRPr="00D30B39">
        <w:rPr>
          <w:rFonts w:asciiTheme="minorHAnsi" w:hAnsiTheme="minorHAnsi" w:cs="Courier New"/>
          <w:szCs w:val="20"/>
          <w:shd w:val="clear" w:color="auto" w:fill="FFFFFF"/>
        </w:rPr>
        <w:t>Zamawiający informuje, że zmodyfikował opis przedmiotu zamówienia i umieścił zmodyfikowany plik w dniu dzisiejszym na stronie postępowania.</w:t>
      </w:r>
    </w:p>
    <w:p w14:paraId="26C2F6E0" w14:textId="77777777" w:rsidR="002B50EB" w:rsidRPr="00D30B39" w:rsidRDefault="002B50EB" w:rsidP="006D5435">
      <w:pPr>
        <w:ind w:left="1" w:hanging="1"/>
        <w:rPr>
          <w:rFonts w:cs="Tahoma"/>
          <w:sz w:val="20"/>
          <w:szCs w:val="20"/>
        </w:rPr>
      </w:pPr>
    </w:p>
    <w:p w14:paraId="438E624E" w14:textId="53682801" w:rsidR="002B50EB" w:rsidRPr="00D30B39" w:rsidRDefault="002B50EB" w:rsidP="002B50EB">
      <w:pPr>
        <w:rPr>
          <w:rFonts w:cs="Tahoma"/>
          <w:i/>
          <w:sz w:val="20"/>
          <w:szCs w:val="20"/>
        </w:rPr>
      </w:pPr>
      <w:bookmarkStart w:id="6" w:name="_GoBack"/>
      <w:bookmarkEnd w:id="6"/>
    </w:p>
    <w:p w14:paraId="485E20A7" w14:textId="2DC471C7" w:rsidR="002B50EB" w:rsidRPr="00D30B39" w:rsidRDefault="00D30B39" w:rsidP="00D30B39">
      <w:pPr>
        <w:spacing w:after="0"/>
        <w:jc w:val="right"/>
        <w:rPr>
          <w:rFonts w:eastAsia="Times New Roman" w:cs="Tahoma"/>
          <w:i/>
          <w:sz w:val="20"/>
          <w:szCs w:val="20"/>
          <w:lang w:eastAsia="pl-PL"/>
        </w:rPr>
      </w:pPr>
      <w:r w:rsidRPr="00D30B39">
        <w:rPr>
          <w:rFonts w:eastAsia="Times New Roman" w:cs="Tahoma"/>
          <w:i/>
          <w:sz w:val="20"/>
          <w:szCs w:val="20"/>
          <w:lang w:eastAsia="pl-PL"/>
        </w:rPr>
        <w:t>Kanclerz UKW</w:t>
      </w:r>
    </w:p>
    <w:p w14:paraId="644DA679" w14:textId="0CCDEF76" w:rsidR="00D30B39" w:rsidRPr="00D30B39" w:rsidRDefault="00D30B39" w:rsidP="00D30B39">
      <w:pPr>
        <w:spacing w:after="0"/>
        <w:jc w:val="right"/>
        <w:rPr>
          <w:rFonts w:eastAsia="Times New Roman" w:cs="Tahoma"/>
          <w:i/>
          <w:sz w:val="20"/>
          <w:szCs w:val="20"/>
          <w:lang w:eastAsia="pl-PL"/>
        </w:rPr>
      </w:pPr>
      <w:r w:rsidRPr="00D30B39">
        <w:rPr>
          <w:rFonts w:eastAsia="Times New Roman" w:cs="Tahoma"/>
          <w:i/>
          <w:sz w:val="20"/>
          <w:szCs w:val="20"/>
          <w:lang w:eastAsia="pl-PL"/>
        </w:rPr>
        <w:t>mgr Renata Malak</w:t>
      </w:r>
    </w:p>
    <w:sectPr w:rsidR="00D30B39" w:rsidRPr="00D30B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F07C" w14:textId="77777777" w:rsidR="00B63EA1" w:rsidRDefault="00B63EA1" w:rsidP="00322EC2">
      <w:pPr>
        <w:spacing w:after="0" w:line="240" w:lineRule="auto"/>
      </w:pPr>
      <w:r>
        <w:separator/>
      </w:r>
    </w:p>
  </w:endnote>
  <w:endnote w:type="continuationSeparator" w:id="0">
    <w:p w14:paraId="34903B29" w14:textId="77777777" w:rsidR="00B63EA1" w:rsidRDefault="00B63EA1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794F" w14:textId="77777777" w:rsidR="00B63EA1" w:rsidRDefault="00B63EA1" w:rsidP="00322EC2">
      <w:pPr>
        <w:spacing w:after="0" w:line="240" w:lineRule="auto"/>
      </w:pPr>
      <w:r>
        <w:separator/>
      </w:r>
    </w:p>
  </w:footnote>
  <w:footnote w:type="continuationSeparator" w:id="0">
    <w:p w14:paraId="3DA07419" w14:textId="77777777" w:rsidR="00B63EA1" w:rsidRDefault="00B63EA1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2C4F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2D4FEA4" wp14:editId="2039B4B1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0814900"/>
    <w:multiLevelType w:val="multilevel"/>
    <w:tmpl w:val="830C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6ADC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67614"/>
    <w:multiLevelType w:val="multilevel"/>
    <w:tmpl w:val="EF40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31B79"/>
    <w:rsid w:val="00140916"/>
    <w:rsid w:val="001441D0"/>
    <w:rsid w:val="00160803"/>
    <w:rsid w:val="00172BB5"/>
    <w:rsid w:val="0018014D"/>
    <w:rsid w:val="00193CB9"/>
    <w:rsid w:val="00195F1D"/>
    <w:rsid w:val="002152FC"/>
    <w:rsid w:val="00224235"/>
    <w:rsid w:val="00226BBF"/>
    <w:rsid w:val="00264B72"/>
    <w:rsid w:val="00295EEF"/>
    <w:rsid w:val="002B50EB"/>
    <w:rsid w:val="002B6EDC"/>
    <w:rsid w:val="002C0C2A"/>
    <w:rsid w:val="002D70BD"/>
    <w:rsid w:val="002E0D00"/>
    <w:rsid w:val="002F23CB"/>
    <w:rsid w:val="00304277"/>
    <w:rsid w:val="003055F5"/>
    <w:rsid w:val="00321F4D"/>
    <w:rsid w:val="00322EC2"/>
    <w:rsid w:val="003334F7"/>
    <w:rsid w:val="00337B2A"/>
    <w:rsid w:val="003464DA"/>
    <w:rsid w:val="00365706"/>
    <w:rsid w:val="003724CD"/>
    <w:rsid w:val="003C0478"/>
    <w:rsid w:val="003F760A"/>
    <w:rsid w:val="004174EC"/>
    <w:rsid w:val="00425898"/>
    <w:rsid w:val="00431FDC"/>
    <w:rsid w:val="0043286E"/>
    <w:rsid w:val="004377A4"/>
    <w:rsid w:val="00463B12"/>
    <w:rsid w:val="004B6117"/>
    <w:rsid w:val="004D4D29"/>
    <w:rsid w:val="0054237A"/>
    <w:rsid w:val="005F08DB"/>
    <w:rsid w:val="00605459"/>
    <w:rsid w:val="00671DC4"/>
    <w:rsid w:val="00674729"/>
    <w:rsid w:val="0068286C"/>
    <w:rsid w:val="006C4AF7"/>
    <w:rsid w:val="006D5435"/>
    <w:rsid w:val="00704CCC"/>
    <w:rsid w:val="007078ED"/>
    <w:rsid w:val="00713F63"/>
    <w:rsid w:val="00717E63"/>
    <w:rsid w:val="00740AAA"/>
    <w:rsid w:val="007502DE"/>
    <w:rsid w:val="00753FFD"/>
    <w:rsid w:val="007A7BEB"/>
    <w:rsid w:val="007D60E7"/>
    <w:rsid w:val="00817610"/>
    <w:rsid w:val="008332E5"/>
    <w:rsid w:val="008375BD"/>
    <w:rsid w:val="00850384"/>
    <w:rsid w:val="00855421"/>
    <w:rsid w:val="00882B77"/>
    <w:rsid w:val="00890ED7"/>
    <w:rsid w:val="0089105F"/>
    <w:rsid w:val="008F0B8A"/>
    <w:rsid w:val="00916A60"/>
    <w:rsid w:val="009238D6"/>
    <w:rsid w:val="00935DC1"/>
    <w:rsid w:val="00955463"/>
    <w:rsid w:val="009A5715"/>
    <w:rsid w:val="009C0F33"/>
    <w:rsid w:val="009C47C3"/>
    <w:rsid w:val="009D3EE3"/>
    <w:rsid w:val="00A16C5E"/>
    <w:rsid w:val="00A22307"/>
    <w:rsid w:val="00A22842"/>
    <w:rsid w:val="00A67965"/>
    <w:rsid w:val="00A713FF"/>
    <w:rsid w:val="00AB38C9"/>
    <w:rsid w:val="00AE5361"/>
    <w:rsid w:val="00B475EE"/>
    <w:rsid w:val="00B51226"/>
    <w:rsid w:val="00B63EA1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30B39"/>
    <w:rsid w:val="00D4385F"/>
    <w:rsid w:val="00D562DB"/>
    <w:rsid w:val="00D56942"/>
    <w:rsid w:val="00D76C66"/>
    <w:rsid w:val="00DA0D59"/>
    <w:rsid w:val="00DB329F"/>
    <w:rsid w:val="00DF450F"/>
    <w:rsid w:val="00DF7B72"/>
    <w:rsid w:val="00E103EF"/>
    <w:rsid w:val="00E1661C"/>
    <w:rsid w:val="00E33354"/>
    <w:rsid w:val="00E7785F"/>
    <w:rsid w:val="00E835BA"/>
    <w:rsid w:val="00E87238"/>
    <w:rsid w:val="00E87B32"/>
    <w:rsid w:val="00E904E7"/>
    <w:rsid w:val="00E9475F"/>
    <w:rsid w:val="00E975BE"/>
    <w:rsid w:val="00F10B31"/>
    <w:rsid w:val="00F13E49"/>
    <w:rsid w:val="00F6370F"/>
    <w:rsid w:val="00F6575F"/>
    <w:rsid w:val="00FA47A6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7308"/>
  <w15:docId w15:val="{61531AA1-7EF4-41BE-A11A-A34FB5A3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5896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oem</cp:lastModifiedBy>
  <cp:revision>3</cp:revision>
  <cp:lastPrinted>2022-01-31T08:34:00Z</cp:lastPrinted>
  <dcterms:created xsi:type="dcterms:W3CDTF">2022-06-10T12:13:00Z</dcterms:created>
  <dcterms:modified xsi:type="dcterms:W3CDTF">2022-06-10T12:15:00Z</dcterms:modified>
</cp:coreProperties>
</file>