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443F" w14:textId="77777777" w:rsidR="00BD0758" w:rsidRPr="009D500F" w:rsidRDefault="00BD0758" w:rsidP="004033F3">
      <w:pPr>
        <w:spacing w:after="0" w:line="240" w:lineRule="auto"/>
        <w:rPr>
          <w:rFonts w:ascii="Arial Narrow" w:hAnsi="Arial Narrow" w:cs="Arial"/>
        </w:rPr>
      </w:pPr>
    </w:p>
    <w:p w14:paraId="36332996" w14:textId="559AF414" w:rsidR="00BD0758" w:rsidRPr="009D500F" w:rsidRDefault="00BD0758" w:rsidP="003F1144">
      <w:pPr>
        <w:spacing w:after="0" w:line="276" w:lineRule="auto"/>
        <w:jc w:val="right"/>
        <w:rPr>
          <w:rFonts w:ascii="Arial Narrow" w:hAnsi="Arial Narrow" w:cs="Arial"/>
        </w:rPr>
      </w:pPr>
      <w:r w:rsidRPr="009D500F">
        <w:rPr>
          <w:rFonts w:ascii="Arial Narrow" w:hAnsi="Arial Narrow" w:cs="Arial"/>
        </w:rPr>
        <w:t>Załącznik nr</w:t>
      </w:r>
      <w:r w:rsidR="00F6592A" w:rsidRPr="009D500F">
        <w:rPr>
          <w:rFonts w:ascii="Arial Narrow" w:hAnsi="Arial Narrow" w:cs="Arial"/>
        </w:rPr>
        <w:t xml:space="preserve"> </w:t>
      </w:r>
      <w:r w:rsidR="009A0948">
        <w:rPr>
          <w:rFonts w:ascii="Arial Narrow" w:hAnsi="Arial Narrow" w:cs="Arial"/>
        </w:rPr>
        <w:t xml:space="preserve">2 </w:t>
      </w:r>
      <w:r w:rsidR="003F1144" w:rsidRPr="009D500F">
        <w:rPr>
          <w:rFonts w:ascii="Arial Narrow" w:hAnsi="Arial Narrow" w:cs="Arial"/>
        </w:rPr>
        <w:t>A</w:t>
      </w:r>
      <w:r w:rsidRPr="009D500F">
        <w:rPr>
          <w:rFonts w:ascii="Arial Narrow" w:hAnsi="Arial Narrow" w:cs="Arial"/>
        </w:rPr>
        <w:t xml:space="preserve"> do SWZ</w:t>
      </w:r>
    </w:p>
    <w:p w14:paraId="51EF4E0E" w14:textId="77777777" w:rsidR="00A91053" w:rsidRPr="009D500F" w:rsidRDefault="00A91053" w:rsidP="00C71C15">
      <w:pPr>
        <w:spacing w:after="0" w:line="276" w:lineRule="auto"/>
        <w:jc w:val="both"/>
        <w:rPr>
          <w:rFonts w:ascii="Arial Narrow" w:hAnsi="Arial Narrow" w:cs="Arial"/>
        </w:rPr>
      </w:pPr>
    </w:p>
    <w:p w14:paraId="63CF2D57" w14:textId="7FA75831" w:rsidR="00BD0758" w:rsidRPr="009D500F" w:rsidRDefault="00A91053" w:rsidP="00C71C15">
      <w:pPr>
        <w:spacing w:after="0" w:line="276" w:lineRule="auto"/>
        <w:jc w:val="both"/>
        <w:rPr>
          <w:rFonts w:ascii="Arial Narrow" w:hAnsi="Arial Narrow" w:cs="Arial"/>
        </w:rPr>
      </w:pPr>
      <w:r w:rsidRPr="009D500F">
        <w:rPr>
          <w:rFonts w:ascii="Arial Narrow" w:hAnsi="Arial Narrow" w:cs="Arial"/>
        </w:rPr>
        <w:t>Niniejszy załącznik wypełniony zgodnie z wymaganiami Zamawiającego należy dołączyć do oferty w wersji elektronicznej.</w:t>
      </w:r>
    </w:p>
    <w:p w14:paraId="1B9FCB90" w14:textId="77777777" w:rsidR="00A91053" w:rsidRPr="009D500F" w:rsidRDefault="00A91053" w:rsidP="00C71C15">
      <w:pPr>
        <w:spacing w:after="0" w:line="276" w:lineRule="auto"/>
        <w:rPr>
          <w:rFonts w:ascii="Arial Narrow" w:hAnsi="Arial Narrow" w:cs="Arial"/>
          <w:b/>
          <w:bCs/>
        </w:rPr>
      </w:pPr>
    </w:p>
    <w:p w14:paraId="1E0B583F" w14:textId="77777777" w:rsidR="00BD0758" w:rsidRPr="009D500F" w:rsidRDefault="00BD0758" w:rsidP="00C71C15">
      <w:pPr>
        <w:spacing w:after="0" w:line="276" w:lineRule="auto"/>
        <w:jc w:val="center"/>
        <w:rPr>
          <w:rFonts w:ascii="Arial Narrow" w:hAnsi="Arial Narrow" w:cs="Arial"/>
          <w:b/>
          <w:bCs/>
        </w:rPr>
      </w:pPr>
    </w:p>
    <w:p w14:paraId="3445231B" w14:textId="473E280B" w:rsidR="00BD0758" w:rsidRPr="009D500F" w:rsidRDefault="00716AC7" w:rsidP="00C71C15">
      <w:pPr>
        <w:spacing w:after="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Dodatkowy o</w:t>
      </w:r>
      <w:bookmarkStart w:id="0" w:name="_GoBack"/>
      <w:bookmarkEnd w:id="0"/>
      <w:r w:rsidR="00A91053" w:rsidRPr="009D500F">
        <w:rPr>
          <w:rFonts w:ascii="Arial Narrow" w:hAnsi="Arial Narrow" w:cs="Arial"/>
          <w:b/>
          <w:bCs/>
        </w:rPr>
        <w:t>pis przedmiotu zamówienia</w:t>
      </w:r>
      <w:r w:rsidR="00D278C9" w:rsidRPr="009D500F">
        <w:rPr>
          <w:rFonts w:ascii="Arial Narrow" w:hAnsi="Arial Narrow" w:cs="Arial"/>
          <w:b/>
          <w:bCs/>
        </w:rPr>
        <w:t xml:space="preserve"> – Zadanie 1</w:t>
      </w:r>
    </w:p>
    <w:p w14:paraId="0B8AB61D" w14:textId="77777777" w:rsidR="00A91053" w:rsidRPr="009D500F" w:rsidRDefault="00A91053" w:rsidP="00C71C15">
      <w:pPr>
        <w:spacing w:after="0" w:line="276" w:lineRule="auto"/>
        <w:jc w:val="center"/>
        <w:rPr>
          <w:rFonts w:ascii="Arial Narrow" w:hAnsi="Arial Narrow" w:cs="Arial"/>
          <w:b/>
          <w:bCs/>
        </w:rPr>
      </w:pPr>
    </w:p>
    <w:p w14:paraId="10BA6161" w14:textId="43918E59" w:rsidR="009D500F" w:rsidRDefault="009D500F" w:rsidP="00AD7FB2">
      <w:pPr>
        <w:spacing w:after="0"/>
        <w:jc w:val="both"/>
        <w:rPr>
          <w:rFonts w:ascii="Arial Narrow" w:hAnsi="Arial Narrow" w:cs="Arial"/>
          <w:bCs/>
          <w:lang w:bidi="pl-PL"/>
        </w:rPr>
      </w:pPr>
      <w:bookmarkStart w:id="1" w:name="Technical"/>
      <w:bookmarkStart w:id="2" w:name="_Toc513569392"/>
    </w:p>
    <w:p w14:paraId="420ED66E" w14:textId="4342DCF5" w:rsidR="009D500F" w:rsidRPr="00252899" w:rsidRDefault="009D500F" w:rsidP="00252899">
      <w:pPr>
        <w:spacing w:after="240"/>
        <w:jc w:val="both"/>
        <w:rPr>
          <w:rFonts w:ascii="Arial Narrow" w:hAnsi="Arial Narrow" w:cs="Arial"/>
          <w:b/>
          <w:bCs/>
          <w:lang w:bidi="pl-PL"/>
        </w:rPr>
      </w:pPr>
      <w:r w:rsidRPr="00252899">
        <w:rPr>
          <w:rFonts w:ascii="Arial Narrow" w:hAnsi="Arial Narrow" w:cs="Arial"/>
          <w:b/>
          <w:bCs/>
          <w:lang w:bidi="pl-PL"/>
        </w:rPr>
        <w:t xml:space="preserve">Wymagane parametry </w:t>
      </w:r>
      <w:proofErr w:type="spellStart"/>
      <w:r w:rsidRPr="00252899">
        <w:rPr>
          <w:rFonts w:ascii="Arial Narrow" w:hAnsi="Arial Narrow" w:cs="Arial"/>
          <w:b/>
          <w:bCs/>
          <w:lang w:bidi="pl-PL"/>
        </w:rPr>
        <w:t>techniczno</w:t>
      </w:r>
      <w:proofErr w:type="spellEnd"/>
      <w:r w:rsidRPr="00252899">
        <w:rPr>
          <w:rFonts w:ascii="Arial Narrow" w:hAnsi="Arial Narrow" w:cs="Arial"/>
          <w:b/>
          <w:bCs/>
          <w:lang w:bidi="pl-PL"/>
        </w:rPr>
        <w:t xml:space="preserve"> – użytkowe przedmiotu zamówienia</w:t>
      </w:r>
      <w:r w:rsidR="00993F43" w:rsidRPr="00252899">
        <w:rPr>
          <w:rFonts w:ascii="Arial Narrow" w:hAnsi="Arial Narrow" w:cs="Arial"/>
          <w:b/>
          <w:bCs/>
          <w:lang w:bidi="pl-PL"/>
        </w:rPr>
        <w:t xml:space="preserve"> w zakresie obsługi sieci informatycznej</w:t>
      </w:r>
    </w:p>
    <w:p w14:paraId="77238CF3" w14:textId="03B0DC4A" w:rsidR="009A0948" w:rsidRPr="009A0948" w:rsidRDefault="009A0948" w:rsidP="009A0948">
      <w:pPr>
        <w:pStyle w:val="Akapitzlist"/>
        <w:spacing w:after="240"/>
        <w:ind w:left="284"/>
        <w:jc w:val="both"/>
        <w:rPr>
          <w:rFonts w:ascii="Arial Narrow" w:hAnsi="Arial Narrow" w:cs="Arial"/>
          <w:bCs/>
          <w:i/>
          <w:sz w:val="22"/>
          <w:szCs w:val="22"/>
          <w:lang w:bidi="pl-PL"/>
        </w:rPr>
      </w:pPr>
      <w:r w:rsidRPr="009A0948">
        <w:rPr>
          <w:rFonts w:ascii="Arial Narrow" w:hAnsi="Arial Narrow" w:cs="Arial"/>
          <w:bCs/>
          <w:i/>
          <w:sz w:val="22"/>
          <w:szCs w:val="22"/>
          <w:lang w:bidi="pl-PL"/>
        </w:rPr>
        <w:t>Wymagania i parametry należy traktować jako minimalne, co oznacza, że Wykonawca może zaoferować rozwiązanie przewyższające opisane parametry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16"/>
        <w:gridCol w:w="5517"/>
        <w:gridCol w:w="2929"/>
      </w:tblGrid>
      <w:tr w:rsidR="00DE0B59" w:rsidRPr="00993F43" w14:paraId="2FAFD136" w14:textId="77777777" w:rsidTr="00DE0B59">
        <w:trPr>
          <w:trHeight w:val="323"/>
        </w:trPr>
        <w:tc>
          <w:tcPr>
            <w:tcW w:w="340" w:type="pct"/>
          </w:tcPr>
          <w:p w14:paraId="139D4FA5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50518DA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993F43">
              <w:rPr>
                <w:rFonts w:ascii="Arial Narrow" w:hAnsi="Arial Narrow" w:cs="Arial"/>
                <w:b/>
                <w:bCs/>
                <w:color w:val="000000"/>
              </w:rPr>
              <w:t>Rozbudowa niezbędnej infrastruktury informatycznej do obsługi Szpitalnego Oddziału Ratunkowego</w:t>
            </w:r>
          </w:p>
        </w:tc>
        <w:tc>
          <w:tcPr>
            <w:tcW w:w="1616" w:type="pct"/>
          </w:tcPr>
          <w:p w14:paraId="64D738ED" w14:textId="009E6B6C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lang w:eastAsia="pl-PL"/>
              </w:rPr>
              <w:t>Proponowane parametry</w:t>
            </w:r>
          </w:p>
        </w:tc>
      </w:tr>
      <w:tr w:rsidR="00DE0B59" w:rsidRPr="00993F43" w14:paraId="172AC637" w14:textId="77777777" w:rsidTr="00DE0B59">
        <w:trPr>
          <w:trHeight w:val="323"/>
        </w:trPr>
        <w:tc>
          <w:tcPr>
            <w:tcW w:w="340" w:type="pct"/>
          </w:tcPr>
          <w:p w14:paraId="06F9DACA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A4B2683" w14:textId="77777777" w:rsidR="00DE0B59" w:rsidRPr="00993F43" w:rsidRDefault="00DE0B59" w:rsidP="00757615">
            <w:pPr>
              <w:tabs>
                <w:tab w:val="left" w:pos="851"/>
                <w:tab w:val="left" w:pos="1560"/>
              </w:tabs>
              <w:spacing w:after="0" w:line="276" w:lineRule="auto"/>
              <w:jc w:val="both"/>
              <w:rPr>
                <w:rFonts w:ascii="Arial Narrow" w:hAnsi="Arial Narrow" w:cs="Arial"/>
                <w:color w:val="000000"/>
                <w:lang w:eastAsia="pl-PL" w:bidi="pl-PL"/>
              </w:rPr>
            </w:pPr>
            <w:r w:rsidRPr="00993F43">
              <w:rPr>
                <w:rStyle w:val="Teksttreci295pt"/>
                <w:rFonts w:ascii="Arial Narrow" w:eastAsia="Calibri" w:hAnsi="Arial Narrow" w:cs="Arial"/>
                <w:sz w:val="22"/>
                <w:szCs w:val="22"/>
              </w:rPr>
              <w:t xml:space="preserve">Szpital użytkuje system PACS </w:t>
            </w:r>
            <w:proofErr w:type="spellStart"/>
            <w:r w:rsidRPr="00993F43">
              <w:rPr>
                <w:rStyle w:val="Teksttreci295pt"/>
                <w:rFonts w:ascii="Arial Narrow" w:eastAsia="Calibri" w:hAnsi="Arial Narrow" w:cs="Arial"/>
                <w:sz w:val="22"/>
                <w:szCs w:val="22"/>
              </w:rPr>
              <w:t>Medidok</w:t>
            </w:r>
            <w:proofErr w:type="spellEnd"/>
            <w:r w:rsidRPr="00993F43">
              <w:rPr>
                <w:rStyle w:val="Teksttreci295pt"/>
                <w:rFonts w:ascii="Arial Narrow" w:eastAsia="Calibri" w:hAnsi="Arial Narrow" w:cs="Arial"/>
                <w:sz w:val="22"/>
                <w:szCs w:val="22"/>
              </w:rPr>
              <w:t xml:space="preserve"> wersja 2.0. Zamawiający wymaga aktualizacji użytkowanego oprogramowania do wersji 2.5 spełniającej poniżej opisane wymogi. Zamawiający wymaga utrzymania integracji z obecnie podłączonymi urządzeniami oraz ponadto wymaga podłączenia urządzeń, które mają zostać dostarczone w ramach postępowania przetargowego – numer sprawy SPZOZ/869/14/DT/2024 tj. aparat RTG, aparat USG, endoskopy medyczne.</w:t>
            </w:r>
          </w:p>
        </w:tc>
        <w:tc>
          <w:tcPr>
            <w:tcW w:w="1616" w:type="pct"/>
          </w:tcPr>
          <w:p w14:paraId="63ADA1F3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1508B6A" w14:textId="77777777" w:rsidTr="00DE0B59">
        <w:trPr>
          <w:trHeight w:val="323"/>
        </w:trPr>
        <w:tc>
          <w:tcPr>
            <w:tcW w:w="340" w:type="pct"/>
          </w:tcPr>
          <w:p w14:paraId="5F02E4C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D0F73FF" w14:textId="77777777" w:rsidR="00DE0B59" w:rsidRPr="00993F43" w:rsidRDefault="00DE0B59" w:rsidP="00757615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Zamawiający posiada i użytkuje system Eskulap firmy </w:t>
            </w:r>
            <w:proofErr w:type="spellStart"/>
            <w:r w:rsidRPr="00993F43">
              <w:rPr>
                <w:rFonts w:ascii="Arial Narrow" w:hAnsi="Arial Narrow" w:cs="Arial"/>
              </w:rPr>
              <w:t>Nexus</w:t>
            </w:r>
            <w:proofErr w:type="spellEnd"/>
            <w:r w:rsidRPr="00993F43">
              <w:rPr>
                <w:rFonts w:ascii="Arial Narrow" w:hAnsi="Arial Narrow" w:cs="Arial"/>
              </w:rPr>
              <w:t xml:space="preserve"> Polska Sp. z o.o. Zamawiający oczekuje rozbudowy posiadanego systemu HIS o modułu </w:t>
            </w:r>
            <w:proofErr w:type="spellStart"/>
            <w:r w:rsidRPr="00993F43">
              <w:rPr>
                <w:rFonts w:ascii="Arial Narrow" w:hAnsi="Arial Narrow" w:cs="Arial"/>
              </w:rPr>
              <w:t>mObchód</w:t>
            </w:r>
            <w:proofErr w:type="spellEnd"/>
            <w:r w:rsidRPr="00993F43">
              <w:rPr>
                <w:rFonts w:ascii="Arial Narrow" w:hAnsi="Arial Narrow" w:cs="Arial"/>
              </w:rPr>
              <w:t xml:space="preserve"> – 5 URZ., Transport Medyczny – 5 RU oraz Ruch Chorych - 11 RU</w:t>
            </w:r>
          </w:p>
        </w:tc>
        <w:tc>
          <w:tcPr>
            <w:tcW w:w="1616" w:type="pct"/>
          </w:tcPr>
          <w:p w14:paraId="03683F49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7EF9E8E" w14:textId="77777777" w:rsidTr="00DE0B59">
        <w:trPr>
          <w:trHeight w:val="323"/>
        </w:trPr>
        <w:tc>
          <w:tcPr>
            <w:tcW w:w="340" w:type="pct"/>
          </w:tcPr>
          <w:p w14:paraId="1A014EAE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F3435A3" w14:textId="77777777" w:rsidR="00DE0B59" w:rsidRPr="00993F43" w:rsidRDefault="00DE0B59" w:rsidP="00757615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Serwer – 1 szt.</w:t>
            </w:r>
          </w:p>
        </w:tc>
        <w:tc>
          <w:tcPr>
            <w:tcW w:w="1616" w:type="pct"/>
          </w:tcPr>
          <w:p w14:paraId="37D4C0A7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200C50CB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EA2B043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250CBC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Obudowa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Rack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o wysokości max 2U z kompletem wysuwanych szyn umożliwiających montaż w szafie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rack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i wysuwanie serwera do celów serwisowych.</w:t>
            </w:r>
          </w:p>
        </w:tc>
        <w:tc>
          <w:tcPr>
            <w:tcW w:w="1616" w:type="pct"/>
          </w:tcPr>
          <w:p w14:paraId="4974C73D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5E2B84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1384493A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54F9E280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Płyta główna z możliwością zainstalowania dwóch procesorów. Płyta główna musi być zaprojektowana przez producenta serwera i oznaczona jego znakiem firmowym.</w:t>
            </w:r>
          </w:p>
        </w:tc>
        <w:tc>
          <w:tcPr>
            <w:tcW w:w="1616" w:type="pct"/>
          </w:tcPr>
          <w:p w14:paraId="0D126614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6FD46479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5C4394F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43D76A6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Chipset: Dedykowany przez producenta procesora do pracy w serwerach dwuprocesorowych</w:t>
            </w:r>
          </w:p>
        </w:tc>
        <w:tc>
          <w:tcPr>
            <w:tcW w:w="1616" w:type="pct"/>
          </w:tcPr>
          <w:p w14:paraId="13C10B1F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8BE691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421F6959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4A194AAE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Procesor: Zainstalowany jeden procesor min. szesnastordzeniowe o podstawowym zegarze min. 2.6 GHz dedykowany do pracy w serwerach dwuprocesorowych.</w:t>
            </w:r>
          </w:p>
        </w:tc>
        <w:tc>
          <w:tcPr>
            <w:tcW w:w="1616" w:type="pct"/>
          </w:tcPr>
          <w:p w14:paraId="50EBFFB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554C96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0BD1C3F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95787D7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RAM: Min.128GB DDR4 RDIMM 3200MT/s, na płycie głównej powinno znajdować się minimum 24 slotów przeznaczonych do instalacji pamięci. Płyta główna powinna obsługiwać do 8TB pamięci RAM.</w:t>
            </w:r>
          </w:p>
        </w:tc>
        <w:tc>
          <w:tcPr>
            <w:tcW w:w="1616" w:type="pct"/>
          </w:tcPr>
          <w:p w14:paraId="54BA2CC8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2AC9F0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0BF389B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2EB5106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Zabezpieczenia pamięci RAM</w:t>
            </w:r>
            <w:r w:rsidRPr="00993F43">
              <w:rPr>
                <w:rFonts w:ascii="Arial Narrow" w:hAnsi="Arial Narrow" w:cs="Arial"/>
                <w:lang w:val="en-US" w:eastAsia="pl-PL"/>
              </w:rPr>
              <w:t xml:space="preserve">: Memory Health Check, Memory Page Retire </w:t>
            </w:r>
            <w:proofErr w:type="spellStart"/>
            <w:r w:rsidRPr="00993F43">
              <w:rPr>
                <w:rFonts w:ascii="Arial Narrow" w:hAnsi="Arial Narrow" w:cs="Arial"/>
                <w:lang w:val="en-US" w:eastAsia="pl-PL"/>
              </w:rPr>
              <w:t>lub</w:t>
            </w:r>
            <w:proofErr w:type="spellEnd"/>
            <w:r w:rsidRPr="00993F43">
              <w:rPr>
                <w:rFonts w:ascii="Arial Narrow" w:hAnsi="Arial Narrow" w:cs="Arial"/>
                <w:lang w:val="en-US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lang w:val="en-US" w:eastAsia="pl-PL"/>
              </w:rPr>
              <w:t>równoważne</w:t>
            </w:r>
            <w:proofErr w:type="spellEnd"/>
          </w:p>
        </w:tc>
        <w:tc>
          <w:tcPr>
            <w:tcW w:w="1616" w:type="pct"/>
          </w:tcPr>
          <w:p w14:paraId="4E4CC84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631C8D2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35D380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A3ACA1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 xml:space="preserve">Gniazda </w:t>
            </w:r>
            <w:proofErr w:type="spellStart"/>
            <w:r w:rsidRPr="00993F43">
              <w:rPr>
                <w:rFonts w:ascii="Arial Narrow" w:hAnsi="Arial Narrow" w:cs="Arial"/>
                <w:lang w:eastAsia="pl-PL"/>
              </w:rPr>
              <w:t>PCIe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: minimum trzy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sloty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PCIe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x16 generacji 4</w:t>
            </w:r>
          </w:p>
        </w:tc>
        <w:tc>
          <w:tcPr>
            <w:tcW w:w="1616" w:type="pct"/>
          </w:tcPr>
          <w:p w14:paraId="05A2EB84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60999782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4EF1FE0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4AB0EF0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Interfejsy sieciowe/FC/SAS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</w:t>
            </w:r>
          </w:p>
          <w:p w14:paraId="2168D01A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Możliwość instalacji wymiennie modułów udostępniających:</w:t>
            </w:r>
          </w:p>
          <w:p w14:paraId="4D0430CA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- minimum 2 interfejsy sieciowe 10Gb SFP+, należy dostarczyć komplet wkładek do serwera oraz przełącznika (wkładki do przełącznika kompatybilne z Cisco)</w:t>
            </w:r>
          </w:p>
          <w:p w14:paraId="34D089D4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Patchcordy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odpowiedniego typu o wymaganej długości do połączenia serwera z przełącznikiem w szafie.</w:t>
            </w:r>
          </w:p>
          <w:p w14:paraId="3F4458B1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Dodatkowo zainstalowane:</w:t>
            </w:r>
          </w:p>
          <w:p w14:paraId="3C0B4D80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- jedna karta dwuportowa FC 16Gb/s wraz z modułami oraz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patchcordami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.</w:t>
            </w:r>
          </w:p>
        </w:tc>
        <w:tc>
          <w:tcPr>
            <w:tcW w:w="1616" w:type="pct"/>
          </w:tcPr>
          <w:p w14:paraId="269C98AB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168F261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F5649B0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C55E19F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val="de-DE"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Dyski twarde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: Możliwość instalacji dysków SATA, SAS, SSD.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br/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Zainstalowane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dwa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dyski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o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pojemności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min. 480GB z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możliwością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konfiguracji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RAID 1.</w:t>
            </w:r>
          </w:p>
          <w:p w14:paraId="75BD4DD3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val="de-DE" w:eastAsia="pl-PL"/>
              </w:rPr>
            </w:pP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Zainstalowane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6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dysków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8TB z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możliwośćią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skonfigurowania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RAID5.</w:t>
            </w:r>
          </w:p>
          <w:p w14:paraId="7A5F9946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Kontroler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musi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mieć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podtrzymanie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>bateryjne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val="de-DE" w:eastAsia="pl-PL"/>
              </w:rPr>
              <w:t xml:space="preserve"> .</w:t>
            </w:r>
          </w:p>
        </w:tc>
        <w:tc>
          <w:tcPr>
            <w:tcW w:w="1616" w:type="pct"/>
          </w:tcPr>
          <w:p w14:paraId="40A41290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FD28598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2276BCC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D5F54FE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proofErr w:type="spellStart"/>
            <w:r w:rsidRPr="00993F43">
              <w:rPr>
                <w:rFonts w:ascii="Arial Narrow" w:hAnsi="Arial Narrow" w:cs="Arial"/>
                <w:lang w:val="de-DE" w:eastAsia="pl-PL"/>
              </w:rPr>
              <w:t>Wbudowane</w:t>
            </w:r>
            <w:proofErr w:type="spellEnd"/>
            <w:r w:rsidRPr="00993F43">
              <w:rPr>
                <w:rFonts w:ascii="Arial Narrow" w:hAnsi="Arial Narrow" w:cs="Arial"/>
                <w:lang w:val="de-DE" w:eastAsia="pl-PL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lang w:val="de-DE" w:eastAsia="pl-PL"/>
              </w:rPr>
              <w:t>porty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: min. 1 port USB 2.0 oraz port USB 3.0, port VGA</w:t>
            </w:r>
          </w:p>
        </w:tc>
        <w:tc>
          <w:tcPr>
            <w:tcW w:w="1616" w:type="pct"/>
          </w:tcPr>
          <w:p w14:paraId="23243A05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2B786AD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0A5BDF6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1963B54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val="de-DE" w:eastAsia="pl-PL"/>
              </w:rPr>
            </w:pPr>
            <w:r w:rsidRPr="00993F43">
              <w:rPr>
                <w:rFonts w:ascii="Arial Narrow" w:hAnsi="Arial Narrow" w:cs="Arial"/>
                <w:lang w:val="de-DE" w:eastAsia="pl-PL"/>
              </w:rPr>
              <w:t>Video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: Zintegrowana karta graficzna umożliwiająca wyświetlenie rozdzielczości </w:t>
            </w:r>
          </w:p>
        </w:tc>
        <w:tc>
          <w:tcPr>
            <w:tcW w:w="1616" w:type="pct"/>
          </w:tcPr>
          <w:p w14:paraId="6037AB67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2C20E3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5B6892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6B8124E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val="de-DE"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Wentylatory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: Redundantne Hot-Plug</w:t>
            </w:r>
          </w:p>
        </w:tc>
        <w:tc>
          <w:tcPr>
            <w:tcW w:w="1616" w:type="pct"/>
          </w:tcPr>
          <w:p w14:paraId="4F588A64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6AD91F4E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9A7754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84AC17D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 xml:space="preserve">Zasilacze: Min. dwa zasilacze Hot-Plug, każdy z dedykowanymi przewodami zasilającymi. Moc zasilaczy powinna zostać dopasowana do konfiguracji proponowanego serwera. </w:t>
            </w:r>
          </w:p>
        </w:tc>
        <w:tc>
          <w:tcPr>
            <w:tcW w:w="1616" w:type="pct"/>
          </w:tcPr>
          <w:p w14:paraId="3B208D4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4B952D39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692E1DB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BEF6566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Bezpieczeństwo: Moduł TPM 2.0</w:t>
            </w:r>
          </w:p>
        </w:tc>
        <w:tc>
          <w:tcPr>
            <w:tcW w:w="1616" w:type="pct"/>
          </w:tcPr>
          <w:p w14:paraId="7BFA477B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C2E18E4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4F4C125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CA26F53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Karta Zarządzania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</w:t>
            </w:r>
          </w:p>
          <w:p w14:paraId="6E95968C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Niezależna karta zarządzająca od zainstalowanego na serwerze systemu operacyjnego posiadającej dedykowany port RJ-45 Gigabit Ethernet umożliwiającej:</w:t>
            </w:r>
          </w:p>
          <w:p w14:paraId="7BBD5910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zdalny dostęp do graficznego interfejsu Web karty zarządzającej</w:t>
            </w:r>
          </w:p>
          <w:p w14:paraId="2A0EC3B5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szyfrowane połączenie (TLS) oraz autentykacje i autoryzację użytkownika</w:t>
            </w:r>
          </w:p>
          <w:p w14:paraId="1376CB33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możliwość podmontowania zdalnych wirtualnych napędów</w:t>
            </w:r>
          </w:p>
          <w:p w14:paraId="4F5E3234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wirtualną konsolę z dostępem do myszy, klawiatury</w:t>
            </w:r>
          </w:p>
          <w:p w14:paraId="6BB8C416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wsparcie dla IPv6</w:t>
            </w:r>
          </w:p>
          <w:p w14:paraId="2A477FF9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wsparcie dla SNMP; IPMI2.0, VLAN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tagging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, SSH</w:t>
            </w:r>
          </w:p>
          <w:p w14:paraId="1405303A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integracja z Active Directory</w:t>
            </w:r>
          </w:p>
          <w:p w14:paraId="2617E076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możliwość obsługi przez min. dwóch administratorów jednocześnie</w:t>
            </w:r>
          </w:p>
          <w:p w14:paraId="7D0ADBF7" w14:textId="77777777" w:rsidR="00DE0B59" w:rsidRPr="00993F43" w:rsidRDefault="00DE0B59" w:rsidP="009D500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Wsparcie dla automatycznej rejestracji DNS</w:t>
            </w:r>
          </w:p>
          <w:p w14:paraId="24A58F6A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Możliwość przywrócenia poprzednich wersji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firmware</w:t>
            </w:r>
            <w:proofErr w:type="spellEnd"/>
          </w:p>
        </w:tc>
        <w:tc>
          <w:tcPr>
            <w:tcW w:w="1616" w:type="pct"/>
          </w:tcPr>
          <w:p w14:paraId="65B2ECA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E07E83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F7DA238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1C50B73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Warunki gwarancji</w:t>
            </w: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</w:t>
            </w:r>
          </w:p>
          <w:p w14:paraId="7F54EABA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>36 miesięcy gwarancji producenta z czasem reakcji do następnego dnia roboczego od przyjęcia zgłoszenia poprzez ogólnopolską linię telefoniczną producenta lub zgłoszenie mailowe u producenta.</w:t>
            </w:r>
          </w:p>
          <w:p w14:paraId="77BDEB5D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 xml:space="preserve">Wymagane dołączenie do oferty oświadczenia Producenta potwierdzając, że Serwis urządzeń będzie realizowany </w:t>
            </w:r>
            <w:r w:rsidRPr="00993F43">
              <w:rPr>
                <w:rFonts w:ascii="Arial Narrow" w:hAnsi="Arial Narrow" w:cs="Arial"/>
                <w:lang w:eastAsia="pl-PL"/>
              </w:rPr>
              <w:lastRenderedPageBreak/>
              <w:t>bezpośrednio przez Producenta i/lub we współpracy z Autoryzowanym Partnerem Serwisowym Producenta.</w:t>
            </w:r>
          </w:p>
          <w:p w14:paraId="4BFB410D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Oświadczenie potwierdzające, że sprzęt pochodzi z oficjalnego kanału dystrybucyjnego producenta.</w:t>
            </w:r>
          </w:p>
          <w:p w14:paraId="00FB69B7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mikrokodu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 oraz sterowników. </w:t>
            </w:r>
          </w:p>
          <w:p w14:paraId="48134ABA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color w:val="000000"/>
                <w:lang w:eastAsia="pl-PL"/>
              </w:rPr>
              <w:t xml:space="preserve">Serwer musi być wyprodukowany zgodnie z normą ISO-9001 ora ISO-14001. Musi posiadać ważną deklaracje CE oraz wsparcie dla oferowanego systemu </w:t>
            </w:r>
            <w:proofErr w:type="spellStart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wirtualizacyjnego</w:t>
            </w:r>
            <w:proofErr w:type="spellEnd"/>
            <w:r w:rsidRPr="00993F43">
              <w:rPr>
                <w:rFonts w:ascii="Arial Narrow" w:hAnsi="Arial Narrow" w:cs="Arial"/>
                <w:color w:val="000000"/>
                <w:lang w:eastAsia="pl-PL"/>
              </w:rPr>
              <w:t>.</w:t>
            </w:r>
          </w:p>
        </w:tc>
        <w:tc>
          <w:tcPr>
            <w:tcW w:w="1616" w:type="pct"/>
          </w:tcPr>
          <w:p w14:paraId="0DD7774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BDCD09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0643E6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0BAC6A5" w14:textId="77777777" w:rsidR="00DE0B59" w:rsidRPr="00993F43" w:rsidRDefault="00DE0B59" w:rsidP="00757615">
            <w:pPr>
              <w:widowControl w:val="0"/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993F43">
              <w:rPr>
                <w:rFonts w:ascii="Arial Narrow" w:hAnsi="Arial Narrow" w:cs="Arial"/>
                <w:lang w:eastAsia="pl-PL"/>
              </w:rPr>
              <w:t>Macierz – 1 szt.</w:t>
            </w:r>
          </w:p>
        </w:tc>
        <w:tc>
          <w:tcPr>
            <w:tcW w:w="1616" w:type="pct"/>
          </w:tcPr>
          <w:p w14:paraId="46217045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54DC652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13A522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56E3EDE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Obudowa - gęstość upakowania : </w:t>
            </w:r>
          </w:p>
          <w:p w14:paraId="116E93EE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a. Możliwość zainstalowania w standardowej szafie RACK 19”</w:t>
            </w:r>
          </w:p>
          <w:p w14:paraId="5A2DDDA9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b. Urządzenie musi wykorzystywać półki dyskowe wysokiej gęstości upakowania - co najmniej 24 dyski na 2U wysokości dla dysków 2,5 cala oraz półki dyskowe zawierające co najmniej 12 dysków 3,5 cala na wysokości 2U.</w:t>
            </w:r>
          </w:p>
          <w:p w14:paraId="2C9D922F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c. Urządzenie musi wykorzystywać półki dyskowe wysokiej gęstości umożliwiające upakowanie co najmniej 90 dysków na maksymalnej wysokości 5U.</w:t>
            </w:r>
          </w:p>
          <w:p w14:paraId="33FDDD3B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d. Wysokość oferowanego rozwiązania – maksymalnie 2 RU</w:t>
            </w:r>
          </w:p>
        </w:tc>
        <w:tc>
          <w:tcPr>
            <w:tcW w:w="1616" w:type="pct"/>
          </w:tcPr>
          <w:p w14:paraId="4B444667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64C98B75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3BDF6A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9AC4DB9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Zarządzanie: </w:t>
            </w:r>
          </w:p>
          <w:p w14:paraId="322E58A5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a. Urządzenie musi umożliwiać zarządzanie za pomocą interfejsu Ethernet. </w:t>
            </w:r>
          </w:p>
          <w:p w14:paraId="370B92C0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b. Możliwość zarządzania całością dostępnych zasobów dyskowych z jednej konsoli administracyjnej.</w:t>
            </w:r>
          </w:p>
          <w:p w14:paraId="52099D4D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c. Funkcjonalność bezpośredniego monitoringu stanu w jakim w danym momencie macierz się znajduje.</w:t>
            </w:r>
          </w:p>
          <w:p w14:paraId="55E46CBC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d. Interfejs zarządzający GUI, CLI, oraz zapewnienie możliwości tworzenia skryptów użytkownika.</w:t>
            </w:r>
          </w:p>
        </w:tc>
        <w:tc>
          <w:tcPr>
            <w:tcW w:w="1616" w:type="pct"/>
          </w:tcPr>
          <w:p w14:paraId="3B6D224C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45A09A2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2F7FD25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EB72EAA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Ilość portów: </w:t>
            </w:r>
          </w:p>
          <w:p w14:paraId="7485E867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a. Wymagane jest nie mniej niż 4 porty 10Gb Ethernet Base-T oraz 8 portów 16Gb FC wyposażonych we wkładki SFP+ 16Gb SWL.</w:t>
            </w:r>
          </w:p>
        </w:tc>
        <w:tc>
          <w:tcPr>
            <w:tcW w:w="1616" w:type="pct"/>
          </w:tcPr>
          <w:p w14:paraId="1A75CD84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ECB304F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D306D08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45D3BC4C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Obsługa dysków:</w:t>
            </w:r>
          </w:p>
          <w:p w14:paraId="66EB9B21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a. musi obsługiwać dyski SAS:</w:t>
            </w:r>
          </w:p>
          <w:p w14:paraId="77AB33ED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- o prędkości obrotowej 10000 </w:t>
            </w:r>
            <w:proofErr w:type="spellStart"/>
            <w:r w:rsidRPr="00993F43">
              <w:rPr>
                <w:rFonts w:ascii="Arial Narrow" w:hAnsi="Arial Narrow" w:cs="Arial"/>
              </w:rPr>
              <w:t>obr</w:t>
            </w:r>
            <w:proofErr w:type="spellEnd"/>
            <w:r w:rsidRPr="00993F43">
              <w:rPr>
                <w:rFonts w:ascii="Arial Narrow" w:hAnsi="Arial Narrow" w:cs="Arial"/>
              </w:rPr>
              <w:t>./min. i pojemności 2.4TB;</w:t>
            </w:r>
          </w:p>
          <w:p w14:paraId="7DF3FD5C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- o prędkości obrotowej 7200 </w:t>
            </w:r>
            <w:proofErr w:type="spellStart"/>
            <w:r w:rsidRPr="00993F43">
              <w:rPr>
                <w:rFonts w:ascii="Arial Narrow" w:hAnsi="Arial Narrow" w:cs="Arial"/>
              </w:rPr>
              <w:t>obr</w:t>
            </w:r>
            <w:proofErr w:type="spellEnd"/>
            <w:r w:rsidRPr="00993F43">
              <w:rPr>
                <w:rFonts w:ascii="Arial Narrow" w:hAnsi="Arial Narrow" w:cs="Arial"/>
              </w:rPr>
              <w:t>./min. i pojemnościach 8TB, 12TB, 16TB, 20TB;</w:t>
            </w:r>
          </w:p>
          <w:p w14:paraId="144BB2C7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b. musi obsługiwać dyski SSD o pojemnościach 1.92 TB , 3.84 TB, 7.68 TB, 15.36 TB, 30.72 TB.</w:t>
            </w:r>
          </w:p>
          <w:p w14:paraId="3716359D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c. </w:t>
            </w:r>
            <w:r w:rsidRPr="00993F43">
              <w:rPr>
                <w:rFonts w:ascii="Arial Narrow" w:hAnsi="Arial Narrow" w:cs="Arial"/>
                <w:color w:val="000000"/>
              </w:rPr>
              <w:t xml:space="preserve">musi wspierać obsługę co najmniej 420 dysków na parę kontrolerów </w:t>
            </w:r>
            <w:r w:rsidRPr="00993F43">
              <w:rPr>
                <w:rFonts w:ascii="Arial Narrow" w:hAnsi="Arial Narrow" w:cs="Arial"/>
              </w:rPr>
              <w:t>z zastosowaniem dodatkowych półek</w:t>
            </w:r>
            <w:r w:rsidRPr="00993F43">
              <w:rPr>
                <w:rFonts w:ascii="Arial Narrow" w:hAnsi="Arial Narrow" w:cs="Arial"/>
                <w:color w:val="000000"/>
              </w:rPr>
              <w:t xml:space="preserve">. </w:t>
            </w:r>
            <w:r w:rsidRPr="00993F43">
              <w:rPr>
                <w:rFonts w:ascii="Arial Narrow" w:hAnsi="Arial Narrow" w:cs="Arial"/>
              </w:rPr>
              <w:t>Macierz musi umożliwiać rozbudowę o pojedyncze dyski fizyczne i pojedyncze półki rozszerzeń.</w:t>
            </w:r>
          </w:p>
          <w:p w14:paraId="6A13A026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 xml:space="preserve">d. </w:t>
            </w:r>
            <w:r w:rsidRPr="00993F43">
              <w:rPr>
                <w:rFonts w:ascii="Arial Narrow" w:hAnsi="Arial Narrow" w:cs="Arial"/>
                <w:color w:val="000000"/>
              </w:rPr>
              <w:t>musi umożliwiać konfigurację, która w jednym rozwiązaniu łączyć będzie półki rozszerzeń na dyski 2,5” z półkami na dyski 3,5”.</w:t>
            </w:r>
          </w:p>
        </w:tc>
        <w:tc>
          <w:tcPr>
            <w:tcW w:w="1616" w:type="pct"/>
          </w:tcPr>
          <w:p w14:paraId="5B8D8243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1BF1614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4093D1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1794E88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Pojemność dyskowa: </w:t>
            </w:r>
          </w:p>
          <w:p w14:paraId="05C69392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Macierz dyskowa musi być wyposażona w minimum:</w:t>
            </w:r>
          </w:p>
          <w:p w14:paraId="2E180B8D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lastRenderedPageBreak/>
              <w:t>8 dysków o pojemności 1.92TB SSD,</w:t>
            </w:r>
          </w:p>
          <w:p w14:paraId="6B7FECF2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8 dysków SAS o pojemności 2,4TB i prędkości obrotowej 10 tys. </w:t>
            </w:r>
            <w:proofErr w:type="spellStart"/>
            <w:r w:rsidRPr="00993F43">
              <w:rPr>
                <w:rFonts w:ascii="Arial Narrow" w:hAnsi="Arial Narrow" w:cs="Arial"/>
              </w:rPr>
              <w:t>obr</w:t>
            </w:r>
            <w:proofErr w:type="spellEnd"/>
            <w:r w:rsidRPr="00993F43">
              <w:rPr>
                <w:rFonts w:ascii="Arial Narrow" w:hAnsi="Arial Narrow" w:cs="Arial"/>
              </w:rPr>
              <w:t>/min</w:t>
            </w:r>
          </w:p>
          <w:p w14:paraId="25B2001E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 xml:space="preserve">8 dysków NL-SAS o pojemności 12TB i prędkości obrotowej 7,2 tys. </w:t>
            </w:r>
            <w:proofErr w:type="spellStart"/>
            <w:r w:rsidRPr="00993F43">
              <w:rPr>
                <w:rFonts w:ascii="Arial Narrow" w:hAnsi="Arial Narrow" w:cs="Arial"/>
              </w:rPr>
              <w:t>obr</w:t>
            </w:r>
            <w:proofErr w:type="spellEnd"/>
            <w:r w:rsidRPr="00993F43">
              <w:rPr>
                <w:rFonts w:ascii="Arial Narrow" w:hAnsi="Arial Narrow" w:cs="Arial"/>
              </w:rPr>
              <w:t>/min</w:t>
            </w:r>
          </w:p>
        </w:tc>
        <w:tc>
          <w:tcPr>
            <w:tcW w:w="1616" w:type="pct"/>
          </w:tcPr>
          <w:p w14:paraId="0511AA4E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4A93D43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ABEC96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440F026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Macierz musi zapewnić możliwość wymiany uszkodzonych dysków podczas pracy systemu (Hot-</w:t>
            </w:r>
            <w:proofErr w:type="spellStart"/>
            <w:r w:rsidRPr="00993F43">
              <w:rPr>
                <w:rFonts w:ascii="Arial Narrow" w:hAnsi="Arial Narrow" w:cs="Arial"/>
              </w:rPr>
              <w:t>Swap</w:t>
            </w:r>
            <w:proofErr w:type="spellEnd"/>
            <w:r w:rsidRPr="00993F43">
              <w:rPr>
                <w:rFonts w:ascii="Arial Narrow" w:hAnsi="Arial Narrow" w:cs="Arial"/>
              </w:rPr>
              <w:t>). Macierz musi umożliwiać stworzenie konfiguracji odpornej na awarię dwóch dysków. Przestrzeń zapasowa powinna być realizowana za pomocą przestrzeni zapasowej rozmieszczonej na wszystkich dyskach w ramach grupy RAID lub w formie dysku nadmiarowego.</w:t>
            </w:r>
          </w:p>
        </w:tc>
        <w:tc>
          <w:tcPr>
            <w:tcW w:w="1616" w:type="pct"/>
          </w:tcPr>
          <w:p w14:paraId="37A83206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8B1EFAE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4411920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706D9D9D" w14:textId="77777777" w:rsidR="00DE0B59" w:rsidRPr="00993F43" w:rsidRDefault="00DE0B59" w:rsidP="00757615">
            <w:pPr>
              <w:spacing w:after="0" w:line="276" w:lineRule="auto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Obsługa pamięci Cache:</w:t>
            </w:r>
          </w:p>
          <w:p w14:paraId="38448AB2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a. Macierz musi być wyposażona w minimum 64GB pamięci Cache. Macierz musi umożliwiać rozbudowę pamięci cache do 128GB w ramach klastra macierzy zarządzanego z jednego interfejsu GUI, CLI.</w:t>
            </w:r>
          </w:p>
        </w:tc>
        <w:tc>
          <w:tcPr>
            <w:tcW w:w="1616" w:type="pct"/>
          </w:tcPr>
          <w:p w14:paraId="105219BC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D6FC515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1D44AA6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E49C9C4" w14:textId="77777777" w:rsidR="00DE0B59" w:rsidRPr="00993F43" w:rsidRDefault="00DE0B59" w:rsidP="00757615">
            <w:pPr>
              <w:spacing w:after="0"/>
              <w:jc w:val="both"/>
              <w:rPr>
                <w:rStyle w:val="FontStyle15"/>
                <w:rFonts w:ascii="Arial Narrow" w:hAnsi="Arial Narrow" w:cs="Arial"/>
                <w:sz w:val="22"/>
                <w:szCs w:val="22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Wsparcie dla systemów operacyjnych: </w:t>
            </w:r>
          </w:p>
          <w:p w14:paraId="1FCE65AE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Macierz musi wspierać następujące systemy operacyjne i </w:t>
            </w:r>
            <w:proofErr w:type="spellStart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wirtualizatory</w:t>
            </w:r>
            <w:proofErr w:type="spellEnd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: MS Windows Server 2016,2019/2022, </w:t>
            </w:r>
            <w:proofErr w:type="spellStart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VMware</w:t>
            </w:r>
            <w:proofErr w:type="spellEnd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vSphere</w:t>
            </w:r>
            <w:proofErr w:type="spellEnd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 7.x/8.x, Red </w:t>
            </w:r>
            <w:proofErr w:type="spellStart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Hat</w:t>
            </w:r>
            <w:proofErr w:type="spellEnd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 Enterprise Linux 8.x/9.x</w:t>
            </w:r>
          </w:p>
        </w:tc>
        <w:tc>
          <w:tcPr>
            <w:tcW w:w="1616" w:type="pct"/>
          </w:tcPr>
          <w:p w14:paraId="734732AB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D9C4896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13E86CF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56A89A91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Funkcje niezawodnościowe: </w:t>
            </w:r>
          </w:p>
          <w:p w14:paraId="1D3E82EC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a. Wszystkie krytyczne komponenty urządzenia takie jak: kontrolery dyskowe, pamięć cache, zasilacze i wentylatory muszą być zdublowane tak, aby awaria pojedynczego elementu nie wpływała na funkcjonowanie całego systemu. </w:t>
            </w:r>
          </w:p>
          <w:p w14:paraId="02314DD6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b. Komponenty te muszą być wymienialne w trakcie pracy macierzy.</w:t>
            </w:r>
          </w:p>
          <w:p w14:paraId="3883C3C3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c. Urządzenie musi cechować brak pojedynczego punktu awarii.</w:t>
            </w:r>
          </w:p>
          <w:p w14:paraId="31F9F273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d. Wsparcie dla zasilania z dwóch niezależnych źródeł prądu poprzez nadmiarowe zasilacze typu Hot-</w:t>
            </w:r>
            <w:proofErr w:type="spellStart"/>
            <w:r w:rsidRPr="00993F43">
              <w:rPr>
                <w:rFonts w:ascii="Arial Narrow" w:hAnsi="Arial Narrow" w:cs="Arial"/>
              </w:rPr>
              <w:t>Swap</w:t>
            </w:r>
            <w:proofErr w:type="spellEnd"/>
            <w:r w:rsidRPr="00993F43">
              <w:rPr>
                <w:rFonts w:ascii="Arial Narrow" w:hAnsi="Arial Narrow" w:cs="Arial"/>
              </w:rPr>
              <w:t xml:space="preserve">. </w:t>
            </w:r>
          </w:p>
          <w:p w14:paraId="5CD6F1C1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e. Wentylatory typu Hot-</w:t>
            </w:r>
            <w:proofErr w:type="spellStart"/>
            <w:r w:rsidRPr="00993F43">
              <w:rPr>
                <w:rFonts w:ascii="Arial Narrow" w:hAnsi="Arial Narrow" w:cs="Arial"/>
              </w:rPr>
              <w:t>Swap</w:t>
            </w:r>
            <w:proofErr w:type="spellEnd"/>
            <w:r w:rsidRPr="00993F43">
              <w:rPr>
                <w:rFonts w:ascii="Arial Narrow" w:hAnsi="Arial Narrow" w:cs="Arial"/>
              </w:rPr>
              <w:t>.</w:t>
            </w:r>
          </w:p>
          <w:p w14:paraId="3D0559FF" w14:textId="77777777" w:rsidR="00DE0B59" w:rsidRPr="00993F43" w:rsidRDefault="00DE0B59" w:rsidP="0075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f. Wbudowane co najmniej dwa kontrolery RAID.</w:t>
            </w:r>
          </w:p>
          <w:p w14:paraId="115A602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g. Urządzenie musi posiadać pamięć typu Flash dla zapisu danych z pamięci cache na wypadek zaniku zasilania oraz system podtrzymania zasilania pozwalający na zapis danych z cache do pamięci typu Flash</w:t>
            </w:r>
          </w:p>
        </w:tc>
        <w:tc>
          <w:tcPr>
            <w:tcW w:w="1616" w:type="pct"/>
          </w:tcPr>
          <w:p w14:paraId="3537ED6D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21FFC2A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F99821A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F20F098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Funkcjonalności: </w:t>
            </w:r>
          </w:p>
          <w:p w14:paraId="1DBAC632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a. Musi istnieć funkcjonalność Cache dla procesu odczytu.</w:t>
            </w:r>
          </w:p>
          <w:p w14:paraId="215230E0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b. Musi istnieć funkcjonalność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Mirrored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Cache dla procesu zapisu.</w:t>
            </w:r>
          </w:p>
          <w:p w14:paraId="6929CA81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c. Możliwość wyłączenia cache dla poszczególnych wolumenów.</w:t>
            </w:r>
          </w:p>
          <w:p w14:paraId="034A9B7F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d. Funkcjonalność partycjonowania pamięci cache.</w:t>
            </w:r>
          </w:p>
          <w:p w14:paraId="603C0870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e. Funkcjonalność separacji przestrzeni dyskowych pomiędzy różnymi podłączonymi hostami.</w:t>
            </w:r>
          </w:p>
          <w:p w14:paraId="7A1C9E75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f. Funkcjonalność dynamicznego zwiększania i zmniejszania rozmiaru wolumenów.</w:t>
            </w:r>
          </w:p>
          <w:p w14:paraId="36F7E351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g. Funkcjonalność zarządzania ilością operacji wejścia / wyjścia wykonywanych na danym wolumenie – zarządzanie musi być możliwe zarówno poprzez określenie ilości operacji I/O na sekundę jak również przepustowości określonej w MB/s.</w:t>
            </w:r>
          </w:p>
          <w:p w14:paraId="5ED87B28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lastRenderedPageBreak/>
              <w:t xml:space="preserve">h. Urządzenie musi obsługiwać funkcjonalność ochrony przed skasowaniem lub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odmapowaniem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od hosta woluminu dyskowego, do którego były przesłane operacje wejścia/wyjścia w określonym przez użytkownika czasie.</w:t>
            </w:r>
          </w:p>
          <w:p w14:paraId="31F99A7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>i. Dostępne sterowniki do obsługi wielościeżkowego dostępu do wolumenów, awarii ścieżki i rozłożenia obciążenia po ścieżkach dostępu dla podłączanych systemów operacyjnych (jeżeli jest wymagana licencja, należy dostarczyć licencje na całość oferowanych zasobów).</w:t>
            </w:r>
          </w:p>
        </w:tc>
        <w:tc>
          <w:tcPr>
            <w:tcW w:w="1616" w:type="pct"/>
          </w:tcPr>
          <w:p w14:paraId="7EB57394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55F154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019936C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03990F8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Obsługa wirtualnych dysków logicznych: </w:t>
            </w:r>
          </w:p>
          <w:p w14:paraId="5B7B41F3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a. Minimalna ilość wspieranych wirtualnych dysków logicznych (LUN) dla całej (globalnej) puli dyskowej musi wynosić co najmniej 2000. Funkcjonalność LUN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Masking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i LUN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Mapping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>.</w:t>
            </w:r>
          </w:p>
          <w:p w14:paraId="229DE88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>b. Urządzenie musi umożliwiać stworzenie mirrorowanych LUN pomiędzy różnymi typami dysków, dla których awaria jednej kopii lustra musi być niezauważalna dla systemu hosta.</w:t>
            </w:r>
          </w:p>
        </w:tc>
        <w:tc>
          <w:tcPr>
            <w:tcW w:w="1616" w:type="pct"/>
          </w:tcPr>
          <w:p w14:paraId="439A669B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33BDD7C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BBF73B8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7AC74583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Funkcjonalność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thin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provisioning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: </w:t>
            </w:r>
          </w:p>
          <w:p w14:paraId="49C2B38B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Urządzenie musi obsługiwać funkcjonalność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thin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provisioning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dla wszystkich wolumenów. Musi istnieć możliwość wyłączenia tej funkcjonalności dla wybranych wolumenów. Należy dostarczyć licencję umożliwiającą korzystanie z funkcji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thin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provisioning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na całą oferowaną pojemność urządzenia.</w:t>
            </w:r>
          </w:p>
        </w:tc>
        <w:tc>
          <w:tcPr>
            <w:tcW w:w="1616" w:type="pct"/>
          </w:tcPr>
          <w:p w14:paraId="28EAD00A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45440C59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AACAD52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D820360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Kopie migawkowe: </w:t>
            </w:r>
          </w:p>
          <w:p w14:paraId="4FC83285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Macierz musi umożliwiać tworzenie wg ustalonego harmonogramu odpornych na zagrożenia cybernetyczne kopii wolumenów, których nie można zmienić ani usunąć w wyniku błędów użytkownika, złośliwych działań lub ataków oprogramowania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ransomware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16" w:type="pct"/>
          </w:tcPr>
          <w:p w14:paraId="149C24FF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4F2DA5C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5E9A97A2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BB811DE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</w:rPr>
              <w:t xml:space="preserve">Migracja </w:t>
            </w:r>
            <w:r w:rsidRPr="00993F43">
              <w:rPr>
                <w:rFonts w:ascii="Arial Narrow" w:hAnsi="Arial Narrow" w:cs="Arial"/>
                <w:color w:val="000000"/>
              </w:rPr>
              <w:t xml:space="preserve">wolumenów logicznych: </w:t>
            </w:r>
          </w:p>
          <w:p w14:paraId="0F9260B2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>Urządzenie musi mieć możliwość wykonania migracji wolumenów logicznych pomiędzy różnymi typami dysków wewnątrz macierzy bez zatrzymywania aplikacji korzystającej z tych wolumenów. Wymaga się, aby zasoby źródłowe podlegające migracji oraz zasoby do których są migrowane mogły być zabezpieczone różnymi poziomami RAID i egzystować na różnych technologicznie dyskach stałych (SAS, SSD, SATA).</w:t>
            </w:r>
          </w:p>
        </w:tc>
        <w:tc>
          <w:tcPr>
            <w:tcW w:w="1616" w:type="pct"/>
          </w:tcPr>
          <w:p w14:paraId="3C8CE9D1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24A90F5D" w14:textId="77777777" w:rsidTr="00DE0B59">
        <w:tblPrEx>
          <w:tblLook w:val="04A0" w:firstRow="1" w:lastRow="0" w:firstColumn="1" w:lastColumn="0" w:noHBand="0" w:noVBand="1"/>
        </w:tblPrEx>
        <w:trPr>
          <w:trHeight w:val="1633"/>
        </w:trPr>
        <w:tc>
          <w:tcPr>
            <w:tcW w:w="340" w:type="pct"/>
          </w:tcPr>
          <w:p w14:paraId="73AFB052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60C1CC5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Replikacja macierzy : </w:t>
            </w:r>
          </w:p>
          <w:p w14:paraId="09B88976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Urządzenie musi posiadać funkcjonalność replikacji danych przy użyciu synchronicznych oraz asynchronicznych transmisji danych przez łącza komunikacyjne IP oraz FC lub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FCoE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. Macierz musi przechowywać w pełni zsynchronizowaną kopię w odległości do 300km. Przy znacznie większej odległości, do 8000km, replikacje mogą działać asynchronicznie. Oba rodzaje replikacji muszą wspierać program Vmware Site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Recovery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Manager do odzyskiwania danych po awarii.  Jeśli na obsługę powyższej funkcjonalności wymagana jest dodatkowa licencja, jest ona wymagana w tym postępowaniu.</w:t>
            </w:r>
          </w:p>
        </w:tc>
        <w:tc>
          <w:tcPr>
            <w:tcW w:w="1616" w:type="pct"/>
          </w:tcPr>
          <w:p w14:paraId="0E170860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F25621A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04BF170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1E298B8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Wirtualizacja zasobów: </w:t>
            </w:r>
          </w:p>
          <w:p w14:paraId="5D09A162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 xml:space="preserve">Macierz musi mieć możliwość wirtualizacji zasobów znajdujących się na innych niż oferowane macierze dyskowe na potrzeby </w:t>
            </w:r>
            <w:r w:rsidRPr="00993F43">
              <w:rPr>
                <w:rFonts w:ascii="Arial Narrow" w:hAnsi="Arial Narrow" w:cs="Arial"/>
              </w:rPr>
              <w:lastRenderedPageBreak/>
              <w:t>migracji danych. Migracja musi się odbyć w trybie bezprzerwowym.</w:t>
            </w:r>
          </w:p>
        </w:tc>
        <w:tc>
          <w:tcPr>
            <w:tcW w:w="1616" w:type="pct"/>
          </w:tcPr>
          <w:p w14:paraId="5672DA16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B542D5E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831265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0986F23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Kompresja i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deduplikacja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danych: </w:t>
            </w:r>
          </w:p>
          <w:p w14:paraId="72EC4689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Macierz musi mieć możliwość kompresji i </w:t>
            </w:r>
            <w:proofErr w:type="spellStart"/>
            <w:r w:rsidRPr="00993F43">
              <w:rPr>
                <w:rFonts w:ascii="Arial Narrow" w:hAnsi="Arial Narrow" w:cs="Arial"/>
                <w:color w:val="000000"/>
              </w:rPr>
              <w:t>deduplikacji</w:t>
            </w:r>
            <w:proofErr w:type="spellEnd"/>
            <w:r w:rsidRPr="00993F43">
              <w:rPr>
                <w:rFonts w:ascii="Arial Narrow" w:hAnsi="Arial Narrow" w:cs="Arial"/>
                <w:color w:val="000000"/>
              </w:rPr>
              <w:t xml:space="preserve"> danych. Licencja na tą funkcjonalność musi być zawarta w cenie i musi obejmować zaoferowaną</w:t>
            </w:r>
            <w:r w:rsidRPr="00993F43">
              <w:rPr>
                <w:rFonts w:ascii="Arial Narrow" w:hAnsi="Arial Narrow" w:cs="Arial"/>
              </w:rPr>
              <w:t xml:space="preserve"> w ramach macierzy przestrzeń dyskową.</w:t>
            </w:r>
          </w:p>
        </w:tc>
        <w:tc>
          <w:tcPr>
            <w:tcW w:w="1616" w:type="pct"/>
          </w:tcPr>
          <w:p w14:paraId="55EE8AEB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576A34D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75D3A61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E955CCD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Macierz musi mieć funkcjonalność wykonywania pełnej kopii lokalnych wolumenów logicznych z wykorzystaniem jedynie kontrolerów macierzy. Licencja na wykonywanie kopii lokalnego wolumenu powinna umożliwiać utworzenie co najmniej </w:t>
            </w:r>
            <w:r w:rsidRPr="00993F43">
              <w:rPr>
                <w:rFonts w:ascii="Arial Narrow" w:hAnsi="Arial Narrow" w:cs="Arial"/>
              </w:rPr>
              <w:t>4000 kopii.</w:t>
            </w:r>
          </w:p>
        </w:tc>
        <w:tc>
          <w:tcPr>
            <w:tcW w:w="1616" w:type="pct"/>
          </w:tcPr>
          <w:p w14:paraId="7D6B3900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28B68D29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0363738E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954B301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</w:rPr>
              <w:t>Macierz musi mieć możliwość uruchomienia funkcjonalności szyfrowania danych na poziomie kontrolerów macierzowych.</w:t>
            </w:r>
            <w:r w:rsidRPr="00993F43">
              <w:rPr>
                <w:rFonts w:ascii="Arial Narrow" w:hAnsi="Arial Narrow" w:cs="Arial"/>
                <w:color w:val="FF0000"/>
              </w:rPr>
              <w:t xml:space="preserve"> </w:t>
            </w:r>
            <w:r w:rsidRPr="00993F43">
              <w:rPr>
                <w:rFonts w:ascii="Arial Narrow" w:hAnsi="Arial Narrow" w:cs="Arial"/>
              </w:rPr>
              <w:t>Jeśli na obsługę powyższej funkcjonalności wymagana jest dodatkowa licencja, nie jest ona wymagana w tym postępowaniu.</w:t>
            </w:r>
          </w:p>
        </w:tc>
        <w:tc>
          <w:tcPr>
            <w:tcW w:w="1616" w:type="pct"/>
          </w:tcPr>
          <w:p w14:paraId="514D976A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4FC4D04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E52149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DECD5A0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  <w:shd w:val="clear" w:color="auto" w:fill="FFFFFF"/>
              </w:rPr>
              <w:t>Macierz musi mieć m</w:t>
            </w:r>
            <w:r w:rsidRPr="00993F43">
              <w:rPr>
                <w:rFonts w:ascii="Arial Narrow" w:hAnsi="Arial Narrow" w:cs="Arial"/>
              </w:rPr>
              <w:t>ożliwość dodawania kolejnych półek dyskowych oraz dysków bez przerywania pracy macierzy, dla dowolnej konfiguracji macierzy</w:t>
            </w:r>
          </w:p>
        </w:tc>
        <w:tc>
          <w:tcPr>
            <w:tcW w:w="1616" w:type="pct"/>
          </w:tcPr>
          <w:p w14:paraId="3E7B230C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4D13D6D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E235B23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D6C0889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Macierz musi mieć </w:t>
            </w:r>
            <w:r w:rsidRPr="00993F43">
              <w:rPr>
                <w:rFonts w:ascii="Arial Narrow" w:hAnsi="Arial Narrow" w:cs="Arial"/>
              </w:rPr>
              <w:t>możliwość aktualizacji oprogramowania macierzy (</w:t>
            </w:r>
            <w:proofErr w:type="spellStart"/>
            <w:r w:rsidRPr="00993F43">
              <w:rPr>
                <w:rFonts w:ascii="Arial Narrow" w:hAnsi="Arial Narrow" w:cs="Arial"/>
              </w:rPr>
              <w:t>firmware</w:t>
            </w:r>
            <w:proofErr w:type="spellEnd"/>
            <w:r w:rsidRPr="00993F43">
              <w:rPr>
                <w:rFonts w:ascii="Arial Narrow" w:hAnsi="Arial Narrow" w:cs="Arial"/>
              </w:rPr>
              <w:t>) w trybie online.</w:t>
            </w:r>
          </w:p>
        </w:tc>
        <w:tc>
          <w:tcPr>
            <w:tcW w:w="1616" w:type="pct"/>
          </w:tcPr>
          <w:p w14:paraId="3C0632A2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C91D46E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A2E70DC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62ACA833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993F43">
              <w:rPr>
                <w:rFonts w:ascii="Arial Narrow" w:hAnsi="Arial Narrow" w:cs="Arial"/>
              </w:rPr>
              <w:t>Macierz musi umożliwiać tworzenie wolumenów o pojemności nie mniejszej niż 250 TB</w:t>
            </w:r>
          </w:p>
        </w:tc>
        <w:tc>
          <w:tcPr>
            <w:tcW w:w="1616" w:type="pct"/>
          </w:tcPr>
          <w:p w14:paraId="45AA97E4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15F8666D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418F4831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0D15D8A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>Do macierzy należy dołączyć przewody zasilające oraz 4 przewody światłowodowe o długości 5m.</w:t>
            </w:r>
          </w:p>
        </w:tc>
        <w:tc>
          <w:tcPr>
            <w:tcW w:w="1616" w:type="pct"/>
          </w:tcPr>
          <w:p w14:paraId="350B84F4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4E5EA4F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57E18A5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18462DD" w14:textId="77777777" w:rsidR="00DE0B59" w:rsidRPr="00993F43" w:rsidRDefault="00DE0B59" w:rsidP="00757615">
            <w:pPr>
              <w:spacing w:after="0" w:line="240" w:lineRule="auto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Macierz musi posiadać funkcjonalność optymalizacji wykorzystania dysków SSD/Flash poprzez automatyczną identyfikację najbardziej obciążonych fragmentów wolumenów w zarządzanych zasobach dyskowych oraz ich automatyczną migrację na dyski SSD/Flash. Macierz musi również automatycznie rozpoznawać obciążenie fragmentów wolumenów na dyskach SSD/Flash i automatycznie migrować z dysków SSD/Flash nieobciążone fragmenty wolumenów. Macierz musi posiadać możliwość wykorzystania mechanizmu optymalizacji umiejscowienia danych pomiędzy przynajmniej 3 rodzajami dysków – SSD/Flash, Enterprise (SAS 10k) oraz NL-SAS/SATA, jak również przy wykorzystaniu dwóch dowolnych z wyżej wymienionych typów. Opisany powyżej proces optymalizacji musi posiadać funkcję włączenia/wyłączenia na poziomie pojedynczego </w:t>
            </w:r>
            <w:r w:rsidRPr="00993F43">
              <w:rPr>
                <w:rFonts w:ascii="Arial Narrow" w:hAnsi="Arial Narrow" w:cs="Arial"/>
                <w:shd w:val="clear" w:color="auto" w:fill="FFFFFF"/>
              </w:rPr>
              <w:t xml:space="preserve">wolumenu. </w:t>
            </w:r>
            <w:r w:rsidRPr="00993F43">
              <w:rPr>
                <w:rFonts w:ascii="Arial Narrow" w:hAnsi="Arial Narrow" w:cs="Arial"/>
              </w:rPr>
              <w:t>Jeśli na obsługę powyższej funkcjonalności wymagana jest dodatkowa licencja, jest ona wymagana w tym postępowaniu.</w:t>
            </w:r>
          </w:p>
        </w:tc>
        <w:tc>
          <w:tcPr>
            <w:tcW w:w="1616" w:type="pct"/>
          </w:tcPr>
          <w:p w14:paraId="5198FB1A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5F5A0BF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35ADF0C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402B9D0F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Zaoferowana macierz musi posiadać możliwość implementacji klastra geograficznego. W ramach architektury klastra geograficznego musi być wspierane bezprzerwowe migrowanie maszyn wirtualnych pomiędzy ośrodkami. W przypadku awarii jednego z ośrodków nastąpi bezprzerwowe przełączenie do lokalizacji zapasowej. Powyższa funkcjonalność musi być realizowana niezależnie od systemu operacyjnego na poziomie przełączania ścieżek do urządzenia logicznego.</w:t>
            </w:r>
          </w:p>
        </w:tc>
        <w:tc>
          <w:tcPr>
            <w:tcW w:w="1616" w:type="pct"/>
          </w:tcPr>
          <w:p w14:paraId="67850AA1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26CA643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6B24AC8E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78FCB673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Dostarczone urządzenie musi mieć zainstalowane wszystkie najnowsze zestawy poprawek dotyczących dostarczanego sprzętu.</w:t>
            </w:r>
          </w:p>
        </w:tc>
        <w:tc>
          <w:tcPr>
            <w:tcW w:w="1616" w:type="pct"/>
          </w:tcPr>
          <w:p w14:paraId="4999A7E2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26FAFB8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3D73670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F44313E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  <w:bCs/>
              </w:rPr>
              <w:t>Oferowane produkty (urządzenia, sprzęty) w przedmiotowym postępowaniu o udzielenie zamówienia publicznego muszą spełniać wymagania norm CE tj. muszą spełniać wymogi niezbędne do oznaczenia produktów znakiem CE.</w:t>
            </w:r>
          </w:p>
        </w:tc>
        <w:tc>
          <w:tcPr>
            <w:tcW w:w="1616" w:type="pct"/>
          </w:tcPr>
          <w:p w14:paraId="18AC59BA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02118BCB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05904469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0A9D25DF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1616" w:type="pct"/>
          </w:tcPr>
          <w:p w14:paraId="4963506F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5BCDA7AE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62C9993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280C8A67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Urządzenie musi współpracować z siecią energetyczną o parametrach w przedziale 200V- 230V, 50 </w:t>
            </w:r>
            <w:proofErr w:type="spellStart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Hz</w:t>
            </w:r>
            <w:proofErr w:type="spellEnd"/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616" w:type="pct"/>
          </w:tcPr>
          <w:p w14:paraId="4C9DC64F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349F4696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7BA69606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40D65FE3" w14:textId="77777777" w:rsidR="00DE0B59" w:rsidRPr="00993F43" w:rsidRDefault="00DE0B59" w:rsidP="00757615">
            <w:pPr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  <w:color w:val="000000"/>
              </w:rPr>
              <w:t xml:space="preserve">Macierz dyskowa musi być objęta gwarancją świadczoną w </w:t>
            </w:r>
            <w:r w:rsidRPr="00993F43">
              <w:rPr>
                <w:rFonts w:ascii="Arial Narrow" w:hAnsi="Arial Narrow" w:cs="Arial"/>
              </w:rPr>
              <w:t xml:space="preserve">reżimie 9x5 przez okres 36 miesięcy z reakcją najpóźniej w następnym dniu roboczym od momentu zgłoszenia usterki. </w:t>
            </w:r>
          </w:p>
          <w:p w14:paraId="7B295D1B" w14:textId="77777777" w:rsidR="00DE0B59" w:rsidRPr="00993F43" w:rsidRDefault="00DE0B59" w:rsidP="0075761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  <w:color w:val="000000"/>
              </w:rPr>
              <w:t>Ze względu na 36 miesięczny okres Zamawiający wymaga, aby usługi serwisowe świadczone były wyłącznie przez producenta oferowanego sprzętu, nie dopuszcza się świadczenia serwisu przez autoryzowanych partnerów producenta.</w:t>
            </w:r>
          </w:p>
        </w:tc>
        <w:tc>
          <w:tcPr>
            <w:tcW w:w="1616" w:type="pct"/>
          </w:tcPr>
          <w:p w14:paraId="15F35F64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D864503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5D63B85D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55A4B9C0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color w:val="000000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>Zgłoszenia usterek muszą być akceptowane przez producenta zarówno drogą email jak również drogą telefoniczną (ogólnie dostępna linia telefoniczna producenta, kontakt w języku polskim, linia telefoniczna w polskiej strefie numeracyjnej - telefon stacjonarny. Nie dopuszcza się numerów specjalnych, komórkowych, o podwyższonej płatności itp.). Linia telefoniczna musi być czynna 24 godziny na dobę, 7 dni w tygodniu również w dni świąteczne.</w:t>
            </w:r>
            <w:r w:rsidRPr="00993F4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16" w:type="pct"/>
          </w:tcPr>
          <w:p w14:paraId="0A5BC44C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6BB8C527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3128724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18D73E15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</w:rPr>
            </w:pPr>
            <w:r w:rsidRPr="00993F43">
              <w:rPr>
                <w:rStyle w:val="FontStyle15"/>
                <w:rFonts w:ascii="Arial Narrow" w:hAnsi="Arial Narrow" w:cs="Arial"/>
                <w:sz w:val="22"/>
                <w:szCs w:val="22"/>
              </w:rPr>
              <w:t xml:space="preserve">Serwis gwarancyjny musi obejmować dostęp do poprawek i nowych wersji oprogramowania wbudowanego, które są elementem zamówienia przez cały okres obowiązywania gwarancji. </w:t>
            </w:r>
          </w:p>
        </w:tc>
        <w:tc>
          <w:tcPr>
            <w:tcW w:w="1616" w:type="pct"/>
          </w:tcPr>
          <w:p w14:paraId="764FBAA8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  <w:tr w:rsidR="00DE0B59" w:rsidRPr="00993F43" w14:paraId="71361B21" w14:textId="77777777" w:rsidTr="00DE0B59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0" w:type="pct"/>
          </w:tcPr>
          <w:p w14:paraId="2A704867" w14:textId="77777777" w:rsidR="00DE0B59" w:rsidRPr="00993F43" w:rsidRDefault="00DE0B59" w:rsidP="009D500F">
            <w:pPr>
              <w:numPr>
                <w:ilvl w:val="0"/>
                <w:numId w:val="20"/>
              </w:numPr>
              <w:spacing w:after="0"/>
              <w:ind w:hanging="578"/>
              <w:rPr>
                <w:rFonts w:ascii="Arial Narrow" w:hAnsi="Arial Narrow" w:cs="Arial"/>
              </w:rPr>
            </w:pPr>
          </w:p>
        </w:tc>
        <w:tc>
          <w:tcPr>
            <w:tcW w:w="3043" w:type="pct"/>
          </w:tcPr>
          <w:p w14:paraId="30966C2A" w14:textId="77777777" w:rsidR="00DE0B59" w:rsidRPr="00993F43" w:rsidRDefault="00DE0B59" w:rsidP="00757615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Wykonawca zobowiązany jest uruchomić dostarczoną infrastrukturę IT. Jeśli zajdzie potrzeba, wraz z dostarczonym sprzętem, Wykonawca zobowiązany jest dostarczyć niezbędne elementy np. urządzenia i wyposażenie - kable połączeniowe, elementy mocujące, uznane przez Wykonawcę za niezbędne i umożliwiające prawidłowe działanie całego Systemu. Dostarczony sprzęt musi zapewniać bezproblemową pracę po podłączeniu go do sieci informatycznej Zamawiającego.  </w:t>
            </w:r>
          </w:p>
          <w:p w14:paraId="15C04B72" w14:textId="77777777" w:rsidR="00DE0B59" w:rsidRPr="00993F43" w:rsidRDefault="00DE0B59" w:rsidP="00757615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Wykonawca jest zobowiązany dokonać montażu dostarczonego Sprzętu oraz oprogramowania w miejscach wskazanych przez Zamawiającego. Wszystkie elementy sprzętu serwerowego powinny zostać zamontowane w szafach serwerowych </w:t>
            </w:r>
            <w:proofErr w:type="spellStart"/>
            <w:r w:rsidRPr="00993F43">
              <w:rPr>
                <w:rFonts w:ascii="Arial Narrow" w:hAnsi="Arial Narrow" w:cs="Arial"/>
              </w:rPr>
              <w:t>rack</w:t>
            </w:r>
            <w:proofErr w:type="spellEnd"/>
            <w:r w:rsidRPr="00993F43">
              <w:rPr>
                <w:rFonts w:ascii="Arial Narrow" w:hAnsi="Arial Narrow" w:cs="Arial"/>
              </w:rPr>
              <w:t>, w sposób umożliwiający ich prawidłową wentylacje. Szczegóły dotyczące instalacji i uruchomienia sprzętu informatycznego zostaną ustalone w trakcie instalacji.</w:t>
            </w:r>
          </w:p>
          <w:p w14:paraId="0D1B1322" w14:textId="77777777" w:rsidR="00DE0B59" w:rsidRPr="00993F43" w:rsidRDefault="00DE0B59" w:rsidP="00757615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3F43">
              <w:rPr>
                <w:rFonts w:ascii="Arial Narrow" w:hAnsi="Arial Narrow" w:cs="Arial"/>
              </w:rPr>
              <w:t xml:space="preserve">Po zakończonym montażu Wykonawca przekaże Zamawiającemu wszystkie hasła dostępowe do kont „super użytkowników” oraz dokumentację do wszystkich oferowanych urządzeń, oprogramowania narzędziowego (systemowego, kopii zapasowych itd.) wraz z dokumentami potwierdzającymi nabycia dla Zamawiającego licencji oraz nośnikami danych zawierającymi </w:t>
            </w:r>
            <w:r w:rsidRPr="00993F43">
              <w:rPr>
                <w:rFonts w:ascii="Arial Narrow" w:hAnsi="Arial Narrow" w:cs="Arial"/>
              </w:rPr>
              <w:lastRenderedPageBreak/>
              <w:t>zainstalowane oprogramowanie (o ile dostarcza je producent). Wykonawca wykona również instruktaże użytkowe dla wskazanego przez Zamawiającego administratora, z zakresu konfiguracji, obsługi i prawidłowej eksploatacji zainstalowanego sprzętu ze szczególnym uwzględnieniem obsługi i zaawansowanego zarządzania dostarczonym środowiskiem, w środowisku Zamawiającego.</w:t>
            </w:r>
          </w:p>
          <w:p w14:paraId="62B9B419" w14:textId="77777777" w:rsidR="00DE0B59" w:rsidRPr="00993F43" w:rsidRDefault="00DE0B59" w:rsidP="00757615">
            <w:pPr>
              <w:spacing w:after="4"/>
              <w:jc w:val="both"/>
              <w:rPr>
                <w:rFonts w:ascii="Arial Narrow" w:hAnsi="Arial Narrow" w:cs="Arial"/>
                <w:bCs/>
              </w:rPr>
            </w:pPr>
            <w:r w:rsidRPr="00993F43">
              <w:rPr>
                <w:rFonts w:ascii="Arial Narrow" w:hAnsi="Arial Narrow" w:cs="Arial"/>
                <w:bCs/>
              </w:rPr>
              <w:t>Zamawiający wymaga, aby Wykonawca realizując opisane usługi uwzględniał uwarunkowania środowiska aktualnie pracującego u Zamawiającego uwzględniając przy tym:</w:t>
            </w:r>
          </w:p>
          <w:p w14:paraId="093F1E7E" w14:textId="77777777" w:rsidR="00DE0B59" w:rsidRPr="00993F43" w:rsidRDefault="00DE0B59" w:rsidP="009D500F">
            <w:pPr>
              <w:pStyle w:val="Akapitzlist"/>
              <w:numPr>
                <w:ilvl w:val="0"/>
                <w:numId w:val="21"/>
              </w:numPr>
              <w:suppressAutoHyphens w:val="0"/>
              <w:spacing w:after="4" w:line="260" w:lineRule="auto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posiadane środowisko domenowe,</w:t>
            </w:r>
          </w:p>
          <w:p w14:paraId="55818178" w14:textId="77777777" w:rsidR="00DE0B59" w:rsidRPr="00993F43" w:rsidRDefault="00DE0B59" w:rsidP="009D500F">
            <w:pPr>
              <w:pStyle w:val="Akapitzlist"/>
              <w:numPr>
                <w:ilvl w:val="0"/>
                <w:numId w:val="21"/>
              </w:numPr>
              <w:suppressAutoHyphens w:val="0"/>
              <w:spacing w:after="4" w:line="260" w:lineRule="auto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posiadaną konfigurację sieci wraz z segmentacją VLAN, oraz strefą DMZ,</w:t>
            </w:r>
          </w:p>
          <w:p w14:paraId="6450AD30" w14:textId="77777777" w:rsidR="00DE0B59" w:rsidRPr="00993F43" w:rsidRDefault="00DE0B59" w:rsidP="009D500F">
            <w:pPr>
              <w:pStyle w:val="Akapitzlist"/>
              <w:numPr>
                <w:ilvl w:val="0"/>
                <w:numId w:val="21"/>
              </w:numPr>
              <w:suppressAutoHyphens w:val="0"/>
              <w:spacing w:after="4" w:line="260" w:lineRule="auto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posiadaną konfiguracją baz danych i backupów,</w:t>
            </w:r>
          </w:p>
          <w:p w14:paraId="0610E70D" w14:textId="77777777" w:rsidR="00DE0B59" w:rsidRPr="00993F43" w:rsidRDefault="00DE0B59" w:rsidP="009D500F">
            <w:pPr>
              <w:pStyle w:val="Akapitzlist"/>
              <w:numPr>
                <w:ilvl w:val="0"/>
                <w:numId w:val="21"/>
              </w:numPr>
              <w:suppressAutoHyphens w:val="0"/>
              <w:spacing w:after="4" w:line="260" w:lineRule="auto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konfigurację stacji roboczych.</w:t>
            </w:r>
          </w:p>
          <w:p w14:paraId="517CA4AE" w14:textId="77777777" w:rsidR="00DE0B59" w:rsidRPr="00993F43" w:rsidRDefault="00DE0B59" w:rsidP="00757615">
            <w:pPr>
              <w:pStyle w:val="Standard"/>
              <w:spacing w:after="0" w:line="24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Wymagania w zakresie instalacji i konfiguracji macierzy i serwera:</w:t>
            </w:r>
          </w:p>
          <w:p w14:paraId="35C68193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Montaż serwera w posiadanej szafie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rack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 42U  w pomieszczeniu udostępnionym przez Zamawiającego.</w:t>
            </w:r>
          </w:p>
          <w:p w14:paraId="1B65C07E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Podłączenie dostarczanego sprzętu do listew zasilających PDU.</w:t>
            </w:r>
          </w:p>
          <w:p w14:paraId="29965E51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Aktualizacja oprogramowania układowego wszystkich dostarczanych komponentów.</w:t>
            </w:r>
          </w:p>
          <w:p w14:paraId="08AD1A47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Konfiguracja i podłączenie do  przełączników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lan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, konfiguracja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vlan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 , podłączenie do sieci Szpitalnej  LAN + (rekonfiguracja posiadanych przełączników).</w:t>
            </w:r>
          </w:p>
          <w:p w14:paraId="73D5C8E4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Konfiguracja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zoning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-u na przełącznikach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fc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6B88CE62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Konfiguracja RAID serwera.</w:t>
            </w:r>
          </w:p>
          <w:p w14:paraId="7A6273AB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Konfiguracja macierzy,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raid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 grup,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wolmenów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, mapowania do hostów zgodnie z ustaleniami z Zamawiającym.</w:t>
            </w:r>
          </w:p>
          <w:p w14:paraId="2DFC60E2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Instalacja i konfiguracja systemu operacyjnego.</w:t>
            </w:r>
          </w:p>
          <w:p w14:paraId="461D7805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Konfiguracja systemu zdalnego zarządzania.</w:t>
            </w:r>
          </w:p>
          <w:p w14:paraId="73924150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Wykonawca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zmigruje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 posiadane maszyny wirtualne na nowo dostarczane środowisko – maszyny wskaże Wykonawca na etapie wdrożenia. Dla części maszyn należy wykonać </w:t>
            </w:r>
            <w:proofErr w:type="spellStart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upgrade</w:t>
            </w:r>
            <w:proofErr w:type="spellEnd"/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 xml:space="preserve"> systemu operacyjnego. Należy uwzględnić ponowną generację licencji dla posiadanych modułów systemu medycznego HIS ESKULAP oraz PACS MEDIDOK.</w:t>
            </w:r>
          </w:p>
          <w:p w14:paraId="4CE090AC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Wykonawca po zainstalowaniu i skonfigurowaniu sprzętu i oprogramowania będzie miał obowiązek przeprowadzenia instruktażu dla administratorów Zamawiającego w zakresie konfiguracji i zarządzania dostarczonego sprzętu oraz oprogramowania.</w:t>
            </w:r>
          </w:p>
          <w:p w14:paraId="5E1B0501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Konfiguracja środowiska z posiadanym systemem backupowym.</w:t>
            </w:r>
          </w:p>
          <w:p w14:paraId="4D9BCE21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Opracowanie polityki backupu.</w:t>
            </w:r>
          </w:p>
          <w:p w14:paraId="6D3FAEDD" w14:textId="77777777" w:rsidR="00DE0B59" w:rsidRPr="00993F43" w:rsidRDefault="00DE0B59" w:rsidP="009D500F">
            <w:pPr>
              <w:pStyle w:val="Akapitzlist"/>
              <w:numPr>
                <w:ilvl w:val="0"/>
                <w:numId w:val="22"/>
              </w:numPr>
              <w:suppressAutoHyphens w:val="0"/>
              <w:spacing w:after="4"/>
              <w:ind w:right="38"/>
              <w:contextualSpacing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  <w:sz w:val="22"/>
                <w:szCs w:val="22"/>
              </w:rPr>
              <w:t>Wymagane jest wykonanie testowego backupu oraz odtworzenia z weryfikacją prawidłowości działania systemów odtworzonych.</w:t>
            </w:r>
          </w:p>
          <w:p w14:paraId="3F243D2F" w14:textId="77777777" w:rsidR="00DE0B59" w:rsidRPr="00993F43" w:rsidRDefault="00DE0B59" w:rsidP="00757615">
            <w:pPr>
              <w:spacing w:after="4" w:line="240" w:lineRule="auto"/>
              <w:ind w:right="38"/>
              <w:jc w:val="both"/>
              <w:rPr>
                <w:rStyle w:val="FontStyle15"/>
                <w:rFonts w:ascii="Arial Narrow" w:hAnsi="Arial Narrow" w:cs="Arial"/>
                <w:bCs/>
                <w:sz w:val="22"/>
                <w:szCs w:val="22"/>
              </w:rPr>
            </w:pPr>
            <w:r w:rsidRPr="00993F43">
              <w:rPr>
                <w:rFonts w:ascii="Arial Narrow" w:hAnsi="Arial Narrow" w:cs="Arial"/>
                <w:bCs/>
              </w:rPr>
              <w:lastRenderedPageBreak/>
              <w:t xml:space="preserve">Wymagane jest, aby Wykonawca posiadał autoryzację producenta systemu medycznego, z którego obecnie korzysta Zamawiający tj. Eskulap oraz </w:t>
            </w:r>
            <w:proofErr w:type="spellStart"/>
            <w:r w:rsidRPr="00993F43">
              <w:rPr>
                <w:rFonts w:ascii="Arial Narrow" w:hAnsi="Arial Narrow" w:cs="Arial"/>
                <w:bCs/>
              </w:rPr>
              <w:t>Medidok</w:t>
            </w:r>
            <w:proofErr w:type="spellEnd"/>
            <w:r w:rsidRPr="00993F43">
              <w:rPr>
                <w:rFonts w:ascii="Arial Narrow" w:hAnsi="Arial Narrow" w:cs="Arial"/>
                <w:bCs/>
              </w:rPr>
              <w:t xml:space="preserve"> lub zrealizował przedmiot zamówienia w obszarze dotyczącym systemu medycznego Eskulap oraz </w:t>
            </w:r>
            <w:proofErr w:type="spellStart"/>
            <w:r w:rsidRPr="00993F43">
              <w:rPr>
                <w:rFonts w:ascii="Arial Narrow" w:hAnsi="Arial Narrow" w:cs="Arial"/>
                <w:bCs/>
              </w:rPr>
              <w:t>Medidok</w:t>
            </w:r>
            <w:proofErr w:type="spellEnd"/>
            <w:r w:rsidRPr="00993F43">
              <w:rPr>
                <w:rFonts w:ascii="Arial Narrow" w:hAnsi="Arial Narrow" w:cs="Arial"/>
                <w:bCs/>
              </w:rPr>
              <w:t xml:space="preserve"> nie naruszając postanowień licencyjnych i gwarancyjnych dla systemu medycznego Eskulap oraz </w:t>
            </w:r>
            <w:proofErr w:type="spellStart"/>
            <w:r w:rsidRPr="00993F43">
              <w:rPr>
                <w:rFonts w:ascii="Arial Narrow" w:hAnsi="Arial Narrow" w:cs="Arial"/>
                <w:bCs/>
              </w:rPr>
              <w:t>Medidok</w:t>
            </w:r>
            <w:proofErr w:type="spellEnd"/>
            <w:r w:rsidRPr="00993F43">
              <w:rPr>
                <w:rFonts w:ascii="Arial Narrow" w:hAnsi="Arial Narrow" w:cs="Arial"/>
                <w:bCs/>
              </w:rPr>
              <w:t xml:space="preserve"> i gwarantował jego poprawne działanie po zakończeniu prac wynikających z opisu przedmiotu zamówienia.</w:t>
            </w:r>
          </w:p>
        </w:tc>
        <w:tc>
          <w:tcPr>
            <w:tcW w:w="1616" w:type="pct"/>
          </w:tcPr>
          <w:p w14:paraId="3E738806" w14:textId="77777777" w:rsidR="00DE0B59" w:rsidRPr="00993F43" w:rsidRDefault="00DE0B59" w:rsidP="00757615">
            <w:pPr>
              <w:spacing w:after="0"/>
              <w:rPr>
                <w:rFonts w:ascii="Arial Narrow" w:hAnsi="Arial Narrow" w:cs="Arial"/>
                <w:b/>
                <w:bCs/>
                <w:lang w:eastAsia="pl-PL"/>
              </w:rPr>
            </w:pPr>
          </w:p>
        </w:tc>
      </w:tr>
    </w:tbl>
    <w:p w14:paraId="43BBAFBB" w14:textId="77777777" w:rsidR="009D500F" w:rsidRPr="00455AB5" w:rsidRDefault="009D500F" w:rsidP="009D500F">
      <w:pPr>
        <w:rPr>
          <w:rFonts w:ascii="Arial" w:hAnsi="Arial" w:cs="Arial"/>
          <w:sz w:val="20"/>
          <w:szCs w:val="20"/>
        </w:rPr>
      </w:pPr>
    </w:p>
    <w:p w14:paraId="6E95DF7C" w14:textId="77777777" w:rsidR="009D500F" w:rsidRPr="009D500F" w:rsidRDefault="009D500F" w:rsidP="009D500F">
      <w:pPr>
        <w:pStyle w:val="Akapitzlist"/>
        <w:ind w:left="0"/>
        <w:jc w:val="both"/>
        <w:rPr>
          <w:rFonts w:ascii="Arial Narrow" w:hAnsi="Arial Narrow" w:cs="Arial"/>
          <w:b/>
          <w:bCs/>
          <w:lang w:bidi="pl-PL"/>
        </w:rPr>
      </w:pPr>
    </w:p>
    <w:bookmarkEnd w:id="1"/>
    <w:bookmarkEnd w:id="2"/>
    <w:p w14:paraId="1BA58997" w14:textId="77777777" w:rsidR="00757615" w:rsidRPr="009D500F" w:rsidRDefault="00757615" w:rsidP="00A26646">
      <w:pPr>
        <w:rPr>
          <w:rFonts w:ascii="Arial Narrow" w:hAnsi="Arial Narrow" w:cs="Arial"/>
        </w:rPr>
      </w:pPr>
    </w:p>
    <w:sectPr w:rsidR="00757615" w:rsidRPr="009D500F" w:rsidSect="007C0261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B2FE" w14:textId="77777777" w:rsidR="000166B9" w:rsidRDefault="000166B9" w:rsidP="00ED3F4A">
      <w:pPr>
        <w:spacing w:after="0" w:line="240" w:lineRule="auto"/>
      </w:pPr>
      <w:r>
        <w:separator/>
      </w:r>
    </w:p>
  </w:endnote>
  <w:endnote w:type="continuationSeparator" w:id="0">
    <w:p w14:paraId="22AB5F18" w14:textId="77777777" w:rsidR="000166B9" w:rsidRDefault="000166B9" w:rsidP="00ED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0079" w14:textId="77777777" w:rsidR="00757615" w:rsidRDefault="00757615" w:rsidP="00CD08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9FCA" w14:textId="77777777" w:rsidR="000166B9" w:rsidRDefault="000166B9" w:rsidP="00ED3F4A">
      <w:pPr>
        <w:spacing w:after="0" w:line="240" w:lineRule="auto"/>
      </w:pPr>
      <w:r>
        <w:separator/>
      </w:r>
    </w:p>
  </w:footnote>
  <w:footnote w:type="continuationSeparator" w:id="0">
    <w:p w14:paraId="557D722F" w14:textId="77777777" w:rsidR="000166B9" w:rsidRDefault="000166B9" w:rsidP="00ED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95D6" w14:textId="4DAC3349" w:rsidR="00757615" w:rsidRDefault="00757615" w:rsidP="00A91053">
    <w:pPr>
      <w:pStyle w:val="Akapitzlist"/>
      <w:suppressAutoHyphens w:val="0"/>
      <w:spacing w:line="276" w:lineRule="auto"/>
      <w:ind w:left="0"/>
      <w:jc w:val="both"/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noProof/>
        <w:color w:val="7F7F7F"/>
        <w:sz w:val="18"/>
        <w:szCs w:val="18"/>
        <w:lang w:eastAsia="pl-PL"/>
      </w:rPr>
      <w:drawing>
        <wp:inline distT="0" distB="0" distL="0" distR="0" wp14:anchorId="14095275" wp14:editId="53786AF6">
          <wp:extent cx="492379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71CFA8" w14:textId="77777777" w:rsidR="00757615" w:rsidRDefault="00757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hint="default"/>
        <w:b/>
        <w:bCs/>
      </w:rPr>
    </w:lvl>
  </w:abstractNum>
  <w:abstractNum w:abstractNumId="1" w15:restartNumberingAfterBreak="0">
    <w:nsid w:val="00000027"/>
    <w:multiLevelType w:val="singleLevel"/>
    <w:tmpl w:val="0000002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" w15:restartNumberingAfterBreak="0">
    <w:nsid w:val="0000002A"/>
    <w:multiLevelType w:val="singleLevel"/>
    <w:tmpl w:val="C0DE94F8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1D02772"/>
    <w:multiLevelType w:val="hybridMultilevel"/>
    <w:tmpl w:val="E242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4CB"/>
    <w:multiLevelType w:val="hybridMultilevel"/>
    <w:tmpl w:val="3AE01402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254E2"/>
    <w:multiLevelType w:val="hybridMultilevel"/>
    <w:tmpl w:val="835CF794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B7433"/>
    <w:multiLevelType w:val="hybridMultilevel"/>
    <w:tmpl w:val="2890857C"/>
    <w:lvl w:ilvl="0" w:tplc="B91008B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586"/>
    <w:multiLevelType w:val="hybridMultilevel"/>
    <w:tmpl w:val="7002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153A6"/>
    <w:multiLevelType w:val="hybridMultilevel"/>
    <w:tmpl w:val="840A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643B"/>
    <w:multiLevelType w:val="hybridMultilevel"/>
    <w:tmpl w:val="EEF4A36E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122D0D3A"/>
    <w:multiLevelType w:val="multilevel"/>
    <w:tmpl w:val="736C5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Nagwek5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4F81BD" w:themeColor="accent1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3DE654F"/>
    <w:multiLevelType w:val="hybridMultilevel"/>
    <w:tmpl w:val="9C62F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333F1"/>
    <w:multiLevelType w:val="hybridMultilevel"/>
    <w:tmpl w:val="E27417B8"/>
    <w:lvl w:ilvl="0" w:tplc="726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50468"/>
    <w:multiLevelType w:val="hybridMultilevel"/>
    <w:tmpl w:val="4CC8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7756"/>
    <w:multiLevelType w:val="hybridMultilevel"/>
    <w:tmpl w:val="1D9A244C"/>
    <w:lvl w:ilvl="0" w:tplc="E1BC8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22126"/>
    <w:multiLevelType w:val="hybridMultilevel"/>
    <w:tmpl w:val="7E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94F94"/>
    <w:multiLevelType w:val="hybridMultilevel"/>
    <w:tmpl w:val="BAEC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AF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108C7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009E5"/>
    <w:multiLevelType w:val="multilevel"/>
    <w:tmpl w:val="7C9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3F914F13"/>
    <w:multiLevelType w:val="hybridMultilevel"/>
    <w:tmpl w:val="AE9A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215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5A19"/>
    <w:multiLevelType w:val="hybridMultilevel"/>
    <w:tmpl w:val="FD649A50"/>
    <w:lvl w:ilvl="0" w:tplc="1840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E02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olor w:val="auto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05720"/>
    <w:multiLevelType w:val="hybridMultilevel"/>
    <w:tmpl w:val="78388096"/>
    <w:lvl w:ilvl="0" w:tplc="726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946AB"/>
    <w:multiLevelType w:val="hybridMultilevel"/>
    <w:tmpl w:val="72D6E4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2E4A0B"/>
    <w:multiLevelType w:val="multilevel"/>
    <w:tmpl w:val="91C26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C057DE"/>
    <w:multiLevelType w:val="hybridMultilevel"/>
    <w:tmpl w:val="62CC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37F06"/>
    <w:multiLevelType w:val="hybridMultilevel"/>
    <w:tmpl w:val="CBAE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0C3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E5C17"/>
    <w:multiLevelType w:val="multilevel"/>
    <w:tmpl w:val="75FCA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D81932"/>
    <w:multiLevelType w:val="hybridMultilevel"/>
    <w:tmpl w:val="8D0456E8"/>
    <w:name w:val="WW8Num232222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7"/>
  </w:num>
  <w:num w:numId="7">
    <w:abstractNumId w:val="3"/>
  </w:num>
  <w:num w:numId="8">
    <w:abstractNumId w:val="12"/>
  </w:num>
  <w:num w:numId="9">
    <w:abstractNumId w:val="20"/>
  </w:num>
  <w:num w:numId="10">
    <w:abstractNumId w:val="27"/>
  </w:num>
  <w:num w:numId="11">
    <w:abstractNumId w:val="16"/>
  </w:num>
  <w:num w:numId="12">
    <w:abstractNumId w:val="10"/>
  </w:num>
  <w:num w:numId="13">
    <w:abstractNumId w:val="26"/>
  </w:num>
  <w:num w:numId="14">
    <w:abstractNumId w:val="24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29"/>
  </w:num>
  <w:num w:numId="20">
    <w:abstractNumId w:val="6"/>
  </w:num>
  <w:num w:numId="21">
    <w:abstractNumId w:val="23"/>
  </w:num>
  <w:num w:numId="22">
    <w:abstractNumId w:val="13"/>
  </w:num>
  <w:num w:numId="23">
    <w:abstractNumId w:val="19"/>
  </w:num>
  <w:num w:numId="24">
    <w:abstractNumId w:val="21"/>
  </w:num>
  <w:num w:numId="25">
    <w:abstractNumId w:val="28"/>
  </w:num>
  <w:num w:numId="26">
    <w:abstractNumId w:val="18"/>
  </w:num>
  <w:num w:numId="27">
    <w:abstractNumId w:val="9"/>
  </w:num>
  <w:num w:numId="2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48"/>
    <w:rsid w:val="000012EB"/>
    <w:rsid w:val="000166B9"/>
    <w:rsid w:val="00017B1A"/>
    <w:rsid w:val="00021E24"/>
    <w:rsid w:val="00032CA4"/>
    <w:rsid w:val="00033865"/>
    <w:rsid w:val="000346F7"/>
    <w:rsid w:val="00040176"/>
    <w:rsid w:val="00054B1E"/>
    <w:rsid w:val="00081E15"/>
    <w:rsid w:val="00084317"/>
    <w:rsid w:val="00086700"/>
    <w:rsid w:val="00094902"/>
    <w:rsid w:val="000A4921"/>
    <w:rsid w:val="000B71D6"/>
    <w:rsid w:val="000E0A7A"/>
    <w:rsid w:val="000E3CFC"/>
    <w:rsid w:val="000E420F"/>
    <w:rsid w:val="000E6E5B"/>
    <w:rsid w:val="000F4141"/>
    <w:rsid w:val="00104D49"/>
    <w:rsid w:val="00107D55"/>
    <w:rsid w:val="00107D5A"/>
    <w:rsid w:val="00110813"/>
    <w:rsid w:val="00120172"/>
    <w:rsid w:val="00122F04"/>
    <w:rsid w:val="00134C67"/>
    <w:rsid w:val="00144383"/>
    <w:rsid w:val="00147622"/>
    <w:rsid w:val="00155EE4"/>
    <w:rsid w:val="001569BD"/>
    <w:rsid w:val="00156ECE"/>
    <w:rsid w:val="00160F6A"/>
    <w:rsid w:val="00165910"/>
    <w:rsid w:val="00173DF8"/>
    <w:rsid w:val="00197D4A"/>
    <w:rsid w:val="001B0948"/>
    <w:rsid w:val="001B2ECA"/>
    <w:rsid w:val="001B4DA9"/>
    <w:rsid w:val="001C48A2"/>
    <w:rsid w:val="001D24B1"/>
    <w:rsid w:val="001E0A32"/>
    <w:rsid w:val="001E5B1D"/>
    <w:rsid w:val="001E679D"/>
    <w:rsid w:val="00200484"/>
    <w:rsid w:val="00211F08"/>
    <w:rsid w:val="00212203"/>
    <w:rsid w:val="002170AF"/>
    <w:rsid w:val="002259C2"/>
    <w:rsid w:val="00235BA3"/>
    <w:rsid w:val="00252899"/>
    <w:rsid w:val="00257449"/>
    <w:rsid w:val="002623F4"/>
    <w:rsid w:val="00297E9A"/>
    <w:rsid w:val="002A730C"/>
    <w:rsid w:val="002C0CF0"/>
    <w:rsid w:val="002C1815"/>
    <w:rsid w:val="002C3341"/>
    <w:rsid w:val="002C463A"/>
    <w:rsid w:val="002D4BBB"/>
    <w:rsid w:val="003021DA"/>
    <w:rsid w:val="00303EC4"/>
    <w:rsid w:val="003118A1"/>
    <w:rsid w:val="003247B6"/>
    <w:rsid w:val="003260EA"/>
    <w:rsid w:val="0036595B"/>
    <w:rsid w:val="00366950"/>
    <w:rsid w:val="00375E4C"/>
    <w:rsid w:val="00376ED2"/>
    <w:rsid w:val="0038421A"/>
    <w:rsid w:val="003A386F"/>
    <w:rsid w:val="003B6823"/>
    <w:rsid w:val="003E052E"/>
    <w:rsid w:val="003E3989"/>
    <w:rsid w:val="003F1144"/>
    <w:rsid w:val="004033F3"/>
    <w:rsid w:val="00406CD2"/>
    <w:rsid w:val="0041493D"/>
    <w:rsid w:val="004453C2"/>
    <w:rsid w:val="00447512"/>
    <w:rsid w:val="00456223"/>
    <w:rsid w:val="00476226"/>
    <w:rsid w:val="00482148"/>
    <w:rsid w:val="004C067F"/>
    <w:rsid w:val="004C17CF"/>
    <w:rsid w:val="004D54A0"/>
    <w:rsid w:val="004D71F6"/>
    <w:rsid w:val="004F1A68"/>
    <w:rsid w:val="00500C95"/>
    <w:rsid w:val="00502383"/>
    <w:rsid w:val="00502445"/>
    <w:rsid w:val="00506044"/>
    <w:rsid w:val="0051248B"/>
    <w:rsid w:val="00521CDE"/>
    <w:rsid w:val="00543A7A"/>
    <w:rsid w:val="0054529D"/>
    <w:rsid w:val="005611BD"/>
    <w:rsid w:val="00566224"/>
    <w:rsid w:val="00571903"/>
    <w:rsid w:val="00580F8F"/>
    <w:rsid w:val="00582BD4"/>
    <w:rsid w:val="005941DF"/>
    <w:rsid w:val="00594B09"/>
    <w:rsid w:val="005A6ACA"/>
    <w:rsid w:val="005A7847"/>
    <w:rsid w:val="005B1CCA"/>
    <w:rsid w:val="005B24E0"/>
    <w:rsid w:val="005B6C65"/>
    <w:rsid w:val="005C1443"/>
    <w:rsid w:val="00600759"/>
    <w:rsid w:val="0060275A"/>
    <w:rsid w:val="00606D2C"/>
    <w:rsid w:val="006109B0"/>
    <w:rsid w:val="00611C38"/>
    <w:rsid w:val="00615F73"/>
    <w:rsid w:val="00616215"/>
    <w:rsid w:val="006247A4"/>
    <w:rsid w:val="00627014"/>
    <w:rsid w:val="006455B3"/>
    <w:rsid w:val="0065453B"/>
    <w:rsid w:val="00657D2C"/>
    <w:rsid w:val="006726A4"/>
    <w:rsid w:val="00683AF5"/>
    <w:rsid w:val="00694326"/>
    <w:rsid w:val="006C25E3"/>
    <w:rsid w:val="006C55F6"/>
    <w:rsid w:val="006D4ACC"/>
    <w:rsid w:val="006E0314"/>
    <w:rsid w:val="006E1D2D"/>
    <w:rsid w:val="006E36E8"/>
    <w:rsid w:val="006F2D3B"/>
    <w:rsid w:val="007006C4"/>
    <w:rsid w:val="0071182D"/>
    <w:rsid w:val="00713877"/>
    <w:rsid w:val="00716AC7"/>
    <w:rsid w:val="00717010"/>
    <w:rsid w:val="00734655"/>
    <w:rsid w:val="00740E0C"/>
    <w:rsid w:val="0074395F"/>
    <w:rsid w:val="007559BA"/>
    <w:rsid w:val="0075617E"/>
    <w:rsid w:val="00757615"/>
    <w:rsid w:val="0076586C"/>
    <w:rsid w:val="0077490D"/>
    <w:rsid w:val="00780686"/>
    <w:rsid w:val="00796AD3"/>
    <w:rsid w:val="007A128C"/>
    <w:rsid w:val="007A678D"/>
    <w:rsid w:val="007B1F9D"/>
    <w:rsid w:val="007C0261"/>
    <w:rsid w:val="007C165B"/>
    <w:rsid w:val="007D153D"/>
    <w:rsid w:val="007D1F77"/>
    <w:rsid w:val="007D3ED3"/>
    <w:rsid w:val="007D5A45"/>
    <w:rsid w:val="007E43C3"/>
    <w:rsid w:val="007F4842"/>
    <w:rsid w:val="00803DE6"/>
    <w:rsid w:val="0080684E"/>
    <w:rsid w:val="008068A4"/>
    <w:rsid w:val="00807A6F"/>
    <w:rsid w:val="0081185E"/>
    <w:rsid w:val="00816BE3"/>
    <w:rsid w:val="008311F3"/>
    <w:rsid w:val="0083305E"/>
    <w:rsid w:val="00840ACB"/>
    <w:rsid w:val="00840E57"/>
    <w:rsid w:val="00841DF8"/>
    <w:rsid w:val="00854408"/>
    <w:rsid w:val="00856BDE"/>
    <w:rsid w:val="008629DB"/>
    <w:rsid w:val="00865DE5"/>
    <w:rsid w:val="008B7865"/>
    <w:rsid w:val="008C51AB"/>
    <w:rsid w:val="008C6AC0"/>
    <w:rsid w:val="008D17A5"/>
    <w:rsid w:val="008D6404"/>
    <w:rsid w:val="008E0BC2"/>
    <w:rsid w:val="008F563C"/>
    <w:rsid w:val="0090518D"/>
    <w:rsid w:val="009311ED"/>
    <w:rsid w:val="00932333"/>
    <w:rsid w:val="00932D5A"/>
    <w:rsid w:val="009366D9"/>
    <w:rsid w:val="00937704"/>
    <w:rsid w:val="00944760"/>
    <w:rsid w:val="00950407"/>
    <w:rsid w:val="0096201E"/>
    <w:rsid w:val="00974F66"/>
    <w:rsid w:val="009907EA"/>
    <w:rsid w:val="00993F43"/>
    <w:rsid w:val="009A0948"/>
    <w:rsid w:val="009A23CF"/>
    <w:rsid w:val="009B75CD"/>
    <w:rsid w:val="009C1EEE"/>
    <w:rsid w:val="009C387A"/>
    <w:rsid w:val="009C4BEE"/>
    <w:rsid w:val="009C533B"/>
    <w:rsid w:val="009C7175"/>
    <w:rsid w:val="009D0061"/>
    <w:rsid w:val="009D084C"/>
    <w:rsid w:val="009D500F"/>
    <w:rsid w:val="009E2BCC"/>
    <w:rsid w:val="009E41BA"/>
    <w:rsid w:val="00A00E65"/>
    <w:rsid w:val="00A04769"/>
    <w:rsid w:val="00A06F8E"/>
    <w:rsid w:val="00A075AE"/>
    <w:rsid w:val="00A12180"/>
    <w:rsid w:val="00A13353"/>
    <w:rsid w:val="00A16D2B"/>
    <w:rsid w:val="00A20402"/>
    <w:rsid w:val="00A234BF"/>
    <w:rsid w:val="00A23FFE"/>
    <w:rsid w:val="00A246A0"/>
    <w:rsid w:val="00A24FBB"/>
    <w:rsid w:val="00A26646"/>
    <w:rsid w:val="00A4059C"/>
    <w:rsid w:val="00A44961"/>
    <w:rsid w:val="00A56B06"/>
    <w:rsid w:val="00A72502"/>
    <w:rsid w:val="00A74878"/>
    <w:rsid w:val="00A91053"/>
    <w:rsid w:val="00A9108F"/>
    <w:rsid w:val="00A919DC"/>
    <w:rsid w:val="00A91AF2"/>
    <w:rsid w:val="00A95FBC"/>
    <w:rsid w:val="00A96697"/>
    <w:rsid w:val="00AB553F"/>
    <w:rsid w:val="00AC0B22"/>
    <w:rsid w:val="00AC1BFF"/>
    <w:rsid w:val="00AD44FB"/>
    <w:rsid w:val="00AD7FB2"/>
    <w:rsid w:val="00AE0688"/>
    <w:rsid w:val="00AF6415"/>
    <w:rsid w:val="00B05C10"/>
    <w:rsid w:val="00B22114"/>
    <w:rsid w:val="00B24874"/>
    <w:rsid w:val="00B24A16"/>
    <w:rsid w:val="00B277A7"/>
    <w:rsid w:val="00B3347E"/>
    <w:rsid w:val="00B41AC3"/>
    <w:rsid w:val="00B5066B"/>
    <w:rsid w:val="00B6775D"/>
    <w:rsid w:val="00B8433A"/>
    <w:rsid w:val="00B861C5"/>
    <w:rsid w:val="00B87F54"/>
    <w:rsid w:val="00B90CCE"/>
    <w:rsid w:val="00BA5D34"/>
    <w:rsid w:val="00BB2A31"/>
    <w:rsid w:val="00BB794E"/>
    <w:rsid w:val="00BC1F09"/>
    <w:rsid w:val="00BD005F"/>
    <w:rsid w:val="00BD0758"/>
    <w:rsid w:val="00BF66FB"/>
    <w:rsid w:val="00BF6EFE"/>
    <w:rsid w:val="00C3545B"/>
    <w:rsid w:val="00C35DD5"/>
    <w:rsid w:val="00C42A00"/>
    <w:rsid w:val="00C55079"/>
    <w:rsid w:val="00C55265"/>
    <w:rsid w:val="00C60E49"/>
    <w:rsid w:val="00C71C15"/>
    <w:rsid w:val="00C77AE5"/>
    <w:rsid w:val="00C817E0"/>
    <w:rsid w:val="00CB1B09"/>
    <w:rsid w:val="00CD0860"/>
    <w:rsid w:val="00CD14A0"/>
    <w:rsid w:val="00CF747B"/>
    <w:rsid w:val="00D10581"/>
    <w:rsid w:val="00D170C2"/>
    <w:rsid w:val="00D213A5"/>
    <w:rsid w:val="00D21B01"/>
    <w:rsid w:val="00D21E95"/>
    <w:rsid w:val="00D278C9"/>
    <w:rsid w:val="00D32B72"/>
    <w:rsid w:val="00D354AB"/>
    <w:rsid w:val="00D3712A"/>
    <w:rsid w:val="00D479A4"/>
    <w:rsid w:val="00D635B8"/>
    <w:rsid w:val="00D74215"/>
    <w:rsid w:val="00D77885"/>
    <w:rsid w:val="00D77F0B"/>
    <w:rsid w:val="00D8078B"/>
    <w:rsid w:val="00D83312"/>
    <w:rsid w:val="00D93763"/>
    <w:rsid w:val="00D96339"/>
    <w:rsid w:val="00DB66C2"/>
    <w:rsid w:val="00DD6448"/>
    <w:rsid w:val="00DE0B59"/>
    <w:rsid w:val="00DE7A0E"/>
    <w:rsid w:val="00DF19A0"/>
    <w:rsid w:val="00E00F52"/>
    <w:rsid w:val="00E0259F"/>
    <w:rsid w:val="00E123BB"/>
    <w:rsid w:val="00E20E83"/>
    <w:rsid w:val="00E2125E"/>
    <w:rsid w:val="00E26275"/>
    <w:rsid w:val="00E31BAC"/>
    <w:rsid w:val="00E32AAF"/>
    <w:rsid w:val="00E46ADA"/>
    <w:rsid w:val="00E46B04"/>
    <w:rsid w:val="00E56F7E"/>
    <w:rsid w:val="00E5773D"/>
    <w:rsid w:val="00E603E9"/>
    <w:rsid w:val="00E66831"/>
    <w:rsid w:val="00E6783E"/>
    <w:rsid w:val="00E7026B"/>
    <w:rsid w:val="00E7374A"/>
    <w:rsid w:val="00E802E0"/>
    <w:rsid w:val="00E87D2D"/>
    <w:rsid w:val="00ED3F4A"/>
    <w:rsid w:val="00EF52D9"/>
    <w:rsid w:val="00EF782C"/>
    <w:rsid w:val="00F03A03"/>
    <w:rsid w:val="00F16503"/>
    <w:rsid w:val="00F24493"/>
    <w:rsid w:val="00F26279"/>
    <w:rsid w:val="00F31728"/>
    <w:rsid w:val="00F433F1"/>
    <w:rsid w:val="00F46F08"/>
    <w:rsid w:val="00F51F4F"/>
    <w:rsid w:val="00F55508"/>
    <w:rsid w:val="00F6592A"/>
    <w:rsid w:val="00F7277A"/>
    <w:rsid w:val="00F748AB"/>
    <w:rsid w:val="00F77129"/>
    <w:rsid w:val="00F774FB"/>
    <w:rsid w:val="00F95EB5"/>
    <w:rsid w:val="00FB3166"/>
    <w:rsid w:val="00FB365E"/>
    <w:rsid w:val="00FD1114"/>
    <w:rsid w:val="00FD22DF"/>
    <w:rsid w:val="00FE4FA9"/>
    <w:rsid w:val="00FE61A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2FA05"/>
  <w15:docId w15:val="{C88E568D-267F-48E4-829E-AAA46C1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71C1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3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266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77F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247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b/>
      <w:bCs/>
      <w:sz w:val="24"/>
      <w:szCs w:val="24"/>
      <w:lang w:eastAsia="zh-CN"/>
    </w:rPr>
  </w:style>
  <w:style w:type="paragraph" w:styleId="Nagwek5">
    <w:name w:val="heading 5"/>
    <w:basedOn w:val="Normalny"/>
    <w:link w:val="Nagwek5Znak"/>
    <w:autoRedefine/>
    <w:unhideWhenUsed/>
    <w:qFormat/>
    <w:locked/>
    <w:rsid w:val="00C35DD5"/>
    <w:pPr>
      <w:keepNext/>
      <w:keepLines/>
      <w:numPr>
        <w:ilvl w:val="3"/>
        <w:numId w:val="4"/>
      </w:numPr>
      <w:spacing w:before="200" w:after="0" w:line="240" w:lineRule="auto"/>
      <w:ind w:left="1440"/>
      <w:outlineLvl w:val="4"/>
    </w:pPr>
    <w:rPr>
      <w:rFonts w:ascii="Arial" w:eastAsia="Times New Roman" w:hAnsi="Arial" w:cs="Arial"/>
      <w:b/>
      <w:bCs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C4BEE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A2664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021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2D4BB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locked/>
    <w:rsid w:val="00104D49"/>
    <w:rPr>
      <w:rFonts w:cs="Calibri"/>
      <w:b/>
      <w:bCs/>
      <w:sz w:val="24"/>
      <w:szCs w:val="24"/>
      <w:lang w:eastAsia="zh-CN"/>
    </w:rPr>
  </w:style>
  <w:style w:type="character" w:customStyle="1" w:styleId="Heading7Char">
    <w:name w:val="Heading 7 Char"/>
    <w:uiPriority w:val="99"/>
    <w:semiHidden/>
    <w:locked/>
    <w:rsid w:val="00E26275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A678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7A67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3F4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D3F4A"/>
    <w:rPr>
      <w:sz w:val="20"/>
      <w:szCs w:val="20"/>
    </w:rPr>
  </w:style>
  <w:style w:type="character" w:styleId="Odwoanieprzypisukocowego">
    <w:name w:val="endnote reference"/>
    <w:uiPriority w:val="99"/>
    <w:semiHidden/>
    <w:rsid w:val="00ED3F4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125E"/>
  </w:style>
  <w:style w:type="paragraph" w:styleId="Stopka">
    <w:name w:val="footer"/>
    <w:basedOn w:val="Normalny"/>
    <w:link w:val="Stopka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125E"/>
  </w:style>
  <w:style w:type="paragraph" w:styleId="Tekstpodstawowy3">
    <w:name w:val="Body Text 3"/>
    <w:basedOn w:val="Normalny"/>
    <w:link w:val="Tekstpodstawowy3Znak"/>
    <w:uiPriority w:val="99"/>
    <w:rsid w:val="00E2125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2125E"/>
    <w:rPr>
      <w:sz w:val="16"/>
      <w:szCs w:val="16"/>
    </w:rPr>
  </w:style>
  <w:style w:type="paragraph" w:customStyle="1" w:styleId="Default">
    <w:name w:val="Default"/>
    <w:uiPriority w:val="99"/>
    <w:rsid w:val="00C60E4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sw tekst,L1,Bulleted list,lp1,Preambuła,Colorful Shading - Accent 31,Light List - Accent 51,Akapit z listą5,normalny tekst,CW_Lista,Akapit z listą3,Obiekt,BulletC,NOW"/>
    <w:basedOn w:val="Normalny"/>
    <w:link w:val="AkapitzlistZnak"/>
    <w:uiPriority w:val="34"/>
    <w:qFormat/>
    <w:rsid w:val="000E3CFC"/>
    <w:pPr>
      <w:suppressAutoHyphens/>
      <w:spacing w:after="0" w:line="240" w:lineRule="auto"/>
      <w:ind w:left="720"/>
    </w:pPr>
    <w:rPr>
      <w:rFonts w:eastAsia="Times New Roman"/>
      <w:sz w:val="24"/>
      <w:szCs w:val="24"/>
      <w:lang w:eastAsia="zh-CN"/>
    </w:rPr>
  </w:style>
  <w:style w:type="character" w:styleId="Hipercze">
    <w:name w:val="Hyperlink"/>
    <w:uiPriority w:val="99"/>
    <w:rsid w:val="003B6823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24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awypunktowana">
    <w:name w:val="Lista wypunktowana"/>
    <w:basedOn w:val="Normalny"/>
    <w:uiPriority w:val="99"/>
    <w:rsid w:val="003247B6"/>
    <w:pPr>
      <w:tabs>
        <w:tab w:val="left" w:pos="720"/>
      </w:tabs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b/>
      <w:bCs/>
      <w:i/>
      <w:iCs/>
      <w:color w:val="3366FF"/>
      <w:sz w:val="20"/>
      <w:szCs w:val="20"/>
      <w:lang w:eastAsia="zh-CN"/>
    </w:rPr>
  </w:style>
  <w:style w:type="character" w:customStyle="1" w:styleId="Nagwek1Znak">
    <w:name w:val="Nagłówek 1 Znak"/>
    <w:link w:val="Nagwek1"/>
    <w:uiPriority w:val="99"/>
    <w:locked/>
    <w:rsid w:val="00C71C15"/>
    <w:rPr>
      <w:rFonts w:ascii="Arial" w:hAnsi="Arial" w:cs="Arial"/>
      <w:b/>
      <w:bCs/>
      <w:kern w:val="32"/>
      <w:sz w:val="23"/>
      <w:szCs w:val="32"/>
      <w:lang w:eastAsia="en-US"/>
    </w:rPr>
  </w:style>
  <w:style w:type="paragraph" w:customStyle="1" w:styleId="Akapitzlist1">
    <w:name w:val="Akapit z listą1"/>
    <w:basedOn w:val="Normalny"/>
    <w:uiPriority w:val="99"/>
    <w:rsid w:val="009B75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75CD"/>
    <w:rPr>
      <w:rFonts w:cs="Calibri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rsid w:val="009B75CD"/>
  </w:style>
  <w:style w:type="character" w:styleId="Uwydatnienie">
    <w:name w:val="Emphasis"/>
    <w:uiPriority w:val="99"/>
    <w:qFormat/>
    <w:locked/>
    <w:rsid w:val="009B75CD"/>
    <w:rPr>
      <w:i/>
      <w:iCs/>
    </w:rPr>
  </w:style>
  <w:style w:type="character" w:styleId="Pogrubienie">
    <w:name w:val="Strong"/>
    <w:uiPriority w:val="99"/>
    <w:qFormat/>
    <w:locked/>
    <w:rsid w:val="009B75C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locked/>
    <w:rsid w:val="009B75CD"/>
    <w:rPr>
      <w:rFonts w:eastAsia="Times New Roman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uiPriority w:val="99"/>
    <w:rsid w:val="009B75CD"/>
  </w:style>
  <w:style w:type="character" w:customStyle="1" w:styleId="Nagwek7Znak">
    <w:name w:val="Nagłówek 7 Znak"/>
    <w:link w:val="Nagwek7"/>
    <w:uiPriority w:val="99"/>
    <w:locked/>
    <w:rsid w:val="009C4BEE"/>
    <w:rPr>
      <w:sz w:val="24"/>
      <w:szCs w:val="24"/>
      <w:lang w:val="pl-PL" w:eastAsia="en-US"/>
    </w:rPr>
  </w:style>
  <w:style w:type="character" w:styleId="Odwoaniedokomentarza">
    <w:name w:val="annotation reference"/>
    <w:uiPriority w:val="99"/>
    <w:semiHidden/>
    <w:rsid w:val="009C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4BEE"/>
    <w:pPr>
      <w:spacing w:after="0" w:line="240" w:lineRule="auto"/>
    </w:pPr>
    <w:rPr>
      <w:rFonts w:ascii="Wingdings" w:hAnsi="Wingdings" w:cs="Wingdings"/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locked/>
    <w:rsid w:val="00E26275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9C4BEE"/>
    <w:rPr>
      <w:rFonts w:ascii="Wingdings" w:hAnsi="Wingdings" w:cs="Wingdings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4BE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26275"/>
    <w:rPr>
      <w:rFonts w:ascii="Wingdings" w:hAnsi="Wingdings" w:cs="Wingdings"/>
      <w:b/>
      <w:bCs/>
      <w:sz w:val="20"/>
      <w:szCs w:val="20"/>
      <w:lang w:val="en-US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C4BEE"/>
    <w:rPr>
      <w:rFonts w:ascii="Wingdings" w:hAnsi="Wingdings" w:cs="Wingdings"/>
      <w:b/>
      <w:bCs/>
      <w:lang w:val="en-US" w:eastAsia="en-US"/>
    </w:rPr>
  </w:style>
  <w:style w:type="character" w:customStyle="1" w:styleId="ZnakZnak">
    <w:name w:val="Znak Znak"/>
    <w:uiPriority w:val="99"/>
    <w:rsid w:val="009C4BEE"/>
    <w:rPr>
      <w:rFonts w:ascii="Segoe UI" w:hAnsi="Segoe UI" w:cs="Segoe UI"/>
      <w:sz w:val="18"/>
      <w:szCs w:val="18"/>
      <w:lang w:val="en-US" w:eastAsia="en-US"/>
    </w:rPr>
  </w:style>
  <w:style w:type="character" w:styleId="UyteHipercze">
    <w:name w:val="FollowedHyperlink"/>
    <w:uiPriority w:val="99"/>
    <w:rsid w:val="00A96697"/>
    <w:rPr>
      <w:color w:val="800080"/>
      <w:u w:val="single"/>
    </w:rPr>
  </w:style>
  <w:style w:type="character" w:styleId="Numerstrony">
    <w:name w:val="page number"/>
    <w:basedOn w:val="Domylnaczcionkaakapitu"/>
    <w:uiPriority w:val="99"/>
    <w:rsid w:val="00A96697"/>
  </w:style>
  <w:style w:type="character" w:customStyle="1" w:styleId="FontStyle52">
    <w:name w:val="Font Style52"/>
    <w:uiPriority w:val="99"/>
    <w:rsid w:val="0076586C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76586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Domynie">
    <w:name w:val="Domy徑nie"/>
    <w:uiPriority w:val="99"/>
    <w:rsid w:val="0076586C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  <w:style w:type="table" w:styleId="Tabela-Siatka">
    <w:name w:val="Table Grid"/>
    <w:basedOn w:val="Standardowy"/>
    <w:uiPriority w:val="59"/>
    <w:locked/>
    <w:rsid w:val="00375E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semiHidden/>
    <w:locked/>
    <w:rsid w:val="000E6E5B"/>
    <w:rPr>
      <w:rFonts w:ascii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D77F0B"/>
    <w:pPr>
      <w:widowControl w:val="0"/>
      <w:autoSpaceDE w:val="0"/>
      <w:autoSpaceDN w:val="0"/>
      <w:spacing w:after="0" w:line="230" w:lineRule="exact"/>
      <w:ind w:left="64"/>
    </w:pPr>
    <w:rPr>
      <w:rFonts w:ascii="Helvetica" w:eastAsia="Times New Roman" w:hAnsi="Helvetica" w:cs="Helvetica"/>
      <w:lang w:val="en-US"/>
    </w:rPr>
  </w:style>
  <w:style w:type="character" w:customStyle="1" w:styleId="ZnakZnak1">
    <w:name w:val="Znak Znak1"/>
    <w:uiPriority w:val="99"/>
    <w:rsid w:val="00D74215"/>
    <w:rPr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D7421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6592A"/>
  </w:style>
  <w:style w:type="character" w:customStyle="1" w:styleId="Teksttreci295pt">
    <w:name w:val="Tekst treści (2) + 9;5 pt"/>
    <w:rsid w:val="00F7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B3347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34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35DD5"/>
    <w:rPr>
      <w:rFonts w:ascii="Arial" w:eastAsia="Times New Roman" w:hAnsi="Arial" w:cs="Arial"/>
      <w:b/>
      <w:bCs/>
      <w:sz w:val="22"/>
      <w:szCs w:val="22"/>
      <w:lang w:eastAsia="ja-JP"/>
    </w:rPr>
  </w:style>
  <w:style w:type="character" w:customStyle="1" w:styleId="Nagwek8Znak">
    <w:name w:val="Nagłówek 8 Znak"/>
    <w:basedOn w:val="Domylnaczcionkaakapitu"/>
    <w:link w:val="Nagwek8"/>
    <w:rsid w:val="00A2664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A2664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qFormat/>
    <w:rsid w:val="009D500F"/>
    <w:pPr>
      <w:suppressAutoHyphens/>
      <w:spacing w:after="160" w:line="252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5">
    <w:name w:val="Font Style15"/>
    <w:rsid w:val="009D500F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2024-06-19T09:55:00Z</cp:lastPrinted>
  <dcterms:created xsi:type="dcterms:W3CDTF">2024-06-19T09:54:00Z</dcterms:created>
  <dcterms:modified xsi:type="dcterms:W3CDTF">2024-06-20T10:14:00Z</dcterms:modified>
</cp:coreProperties>
</file>