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5584" w14:textId="6782B746" w:rsidR="00DF332F" w:rsidRPr="002A07A1" w:rsidRDefault="00DF332F" w:rsidP="003F300F">
      <w:pPr>
        <w:spacing w:after="40" w:line="280" w:lineRule="atLeas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2A07A1">
        <w:rPr>
          <w:rFonts w:ascii="Arial" w:hAnsi="Arial" w:cs="Arial"/>
          <w:b/>
          <w:bCs/>
          <w:i/>
          <w:iCs/>
          <w:sz w:val="20"/>
          <w:szCs w:val="20"/>
        </w:rPr>
        <w:t>Załącznik nr 4 SWZ</w:t>
      </w:r>
    </w:p>
    <w:p w14:paraId="5E196797" w14:textId="77777777" w:rsidR="00DF332F" w:rsidRPr="002A07A1" w:rsidRDefault="00DF332F" w:rsidP="003F300F">
      <w:pPr>
        <w:spacing w:after="40" w:line="280" w:lineRule="atLeas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FA8065E" w14:textId="77777777" w:rsidR="00DF332F" w:rsidRPr="002A07A1" w:rsidRDefault="00DF332F" w:rsidP="003F300F">
      <w:pPr>
        <w:spacing w:after="40" w:line="280" w:lineRule="atLeast"/>
        <w:jc w:val="both"/>
        <w:rPr>
          <w:rFonts w:ascii="Arial" w:hAnsi="Arial" w:cs="Arial"/>
          <w:sz w:val="20"/>
          <w:szCs w:val="20"/>
        </w:rPr>
      </w:pPr>
    </w:p>
    <w:p w14:paraId="3C08F6F3" w14:textId="07616BB3" w:rsidR="00DF332F" w:rsidRPr="002A07A1" w:rsidRDefault="00DF332F" w:rsidP="003F300F">
      <w:pPr>
        <w:spacing w:after="4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A07A1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3F6D783C" w14:textId="77777777" w:rsidR="003F300F" w:rsidRPr="002A07A1" w:rsidRDefault="003F300F" w:rsidP="003F300F">
      <w:pPr>
        <w:spacing w:after="4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F6A7F6" w14:textId="3EDE51B0" w:rsidR="00DF332F" w:rsidRPr="002A07A1" w:rsidRDefault="00DF332F" w:rsidP="003F300F">
      <w:pPr>
        <w:numPr>
          <w:ilvl w:val="0"/>
          <w:numId w:val="1"/>
        </w:numPr>
        <w:spacing w:after="40"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Przedmiotem zamówienia jest opracowanie koncepcji przebudowy oraz kompletnej wielobranżowej dokumentacji projektowej budowlane</w:t>
      </w:r>
      <w:r w:rsidR="00564FE5" w:rsidRPr="002A07A1">
        <w:rPr>
          <w:rFonts w:ascii="Arial" w:hAnsi="Arial" w:cs="Arial"/>
          <w:sz w:val="20"/>
          <w:szCs w:val="20"/>
        </w:rPr>
        <w:t xml:space="preserve"> i </w:t>
      </w:r>
      <w:r w:rsidRPr="002A07A1">
        <w:rPr>
          <w:rFonts w:ascii="Arial" w:hAnsi="Arial" w:cs="Arial"/>
          <w:sz w:val="20"/>
          <w:szCs w:val="20"/>
        </w:rPr>
        <w:t>wykonawczej  wraz z uzyskaniem wymaganych przepisami prawa uzgodnień i pozwoleń oraz świadczeniem usługi nadzoru autorskiego dla zadania</w:t>
      </w:r>
      <w:r w:rsidR="00564FE5" w:rsidRPr="002A07A1">
        <w:rPr>
          <w:rFonts w:ascii="Arial" w:hAnsi="Arial" w:cs="Arial"/>
          <w:sz w:val="20"/>
          <w:szCs w:val="20"/>
        </w:rPr>
        <w:t>:</w:t>
      </w:r>
      <w:r w:rsidRPr="002A07A1">
        <w:rPr>
          <w:rFonts w:ascii="Arial" w:hAnsi="Arial" w:cs="Arial"/>
          <w:sz w:val="20"/>
          <w:szCs w:val="20"/>
        </w:rPr>
        <w:t xml:space="preserve"> </w:t>
      </w:r>
      <w:r w:rsidR="00564FE5" w:rsidRPr="002A07A1">
        <w:rPr>
          <w:rFonts w:ascii="Arial" w:hAnsi="Arial" w:cs="Arial"/>
          <w:sz w:val="20"/>
          <w:szCs w:val="20"/>
        </w:rPr>
        <w:t>przebudowa hangaru jachtowego Twierdzy Wisłoujście w Gdańsku wraz przyległymi obiektami jako całorocznego kompleksu wystawienniczego pełniącego również funkcje obsługi ruchu turystycznego, edukacyjne i gastronomiczne oraz zaplecza socjalnego</w:t>
      </w:r>
      <w:r w:rsidRPr="002A07A1">
        <w:rPr>
          <w:rFonts w:ascii="Arial" w:hAnsi="Arial" w:cs="Arial"/>
          <w:sz w:val="20"/>
          <w:szCs w:val="20"/>
        </w:rPr>
        <w:t>.</w:t>
      </w:r>
    </w:p>
    <w:p w14:paraId="031238C8" w14:textId="77777777" w:rsidR="00724C47" w:rsidRPr="002A07A1" w:rsidRDefault="00DF332F" w:rsidP="003F300F">
      <w:pPr>
        <w:spacing w:after="40" w:line="280" w:lineRule="atLeast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2A07A1">
        <w:rPr>
          <w:rFonts w:ascii="Arial" w:hAnsi="Arial" w:cs="Arial"/>
          <w:sz w:val="20"/>
          <w:szCs w:val="20"/>
          <w:u w:val="single"/>
        </w:rPr>
        <w:t>Opis inwestycji:</w:t>
      </w:r>
    </w:p>
    <w:p w14:paraId="1796607C" w14:textId="4CEFDF1F" w:rsidR="00DF332F" w:rsidRPr="002A07A1" w:rsidRDefault="00564FE5" w:rsidP="003F300F">
      <w:pPr>
        <w:spacing w:after="40" w:line="28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 xml:space="preserve">Hangar jachtowy wraz z przyległymi obiektami </w:t>
      </w:r>
      <w:r w:rsidR="00DF332F" w:rsidRPr="002A07A1">
        <w:rPr>
          <w:rFonts w:ascii="Arial" w:hAnsi="Arial" w:cs="Arial"/>
          <w:sz w:val="20"/>
          <w:szCs w:val="20"/>
        </w:rPr>
        <w:t xml:space="preserve"> usytuowane jest w </w:t>
      </w:r>
      <w:r w:rsidRPr="002A07A1">
        <w:rPr>
          <w:rFonts w:ascii="Arial" w:hAnsi="Arial" w:cs="Arial"/>
          <w:sz w:val="20"/>
          <w:szCs w:val="20"/>
        </w:rPr>
        <w:t xml:space="preserve">obiekcie Twierdza Wisłoujscie, </w:t>
      </w:r>
      <w:r w:rsidRPr="002A07A1">
        <w:rPr>
          <w:rFonts w:ascii="Arial" w:hAnsi="Arial" w:cs="Arial"/>
          <w:bCs/>
          <w:sz w:val="20"/>
          <w:szCs w:val="20"/>
          <w:lang w:eastAsia="pl-PL"/>
        </w:rPr>
        <w:t>ul. Stara Twierdza 1, 80-551 Gdańsk</w:t>
      </w:r>
      <w:r w:rsidR="00DF332F" w:rsidRPr="002A07A1">
        <w:rPr>
          <w:rFonts w:ascii="Arial" w:hAnsi="Arial" w:cs="Arial"/>
          <w:sz w:val="20"/>
          <w:szCs w:val="20"/>
        </w:rPr>
        <w:t xml:space="preserve"> 80-843 Gdańsk. </w:t>
      </w:r>
      <w:r w:rsidR="00724C47" w:rsidRPr="002A07A1">
        <w:rPr>
          <w:rFonts w:ascii="Arial" w:hAnsi="Arial" w:cs="Arial"/>
          <w:sz w:val="20"/>
          <w:szCs w:val="20"/>
        </w:rPr>
        <w:t>Hangar Wraz z przyległymi przybudówkami z</w:t>
      </w:r>
      <w:r w:rsidR="00DF332F" w:rsidRPr="002A07A1">
        <w:rPr>
          <w:rFonts w:ascii="Arial" w:hAnsi="Arial" w:cs="Arial"/>
          <w:sz w:val="20"/>
          <w:szCs w:val="20"/>
        </w:rPr>
        <w:t xml:space="preserve">ajmuje powierzchnię </w:t>
      </w:r>
      <w:r w:rsidR="00724C47" w:rsidRPr="002A07A1">
        <w:rPr>
          <w:rFonts w:ascii="Arial" w:hAnsi="Arial" w:cs="Arial"/>
          <w:sz w:val="20"/>
          <w:szCs w:val="20"/>
        </w:rPr>
        <w:t>około 700</w:t>
      </w:r>
      <w:r w:rsidR="00DF332F" w:rsidRPr="002A07A1">
        <w:rPr>
          <w:rFonts w:ascii="Arial" w:hAnsi="Arial" w:cs="Arial"/>
          <w:sz w:val="20"/>
          <w:szCs w:val="20"/>
        </w:rPr>
        <w:t xml:space="preserve"> m</w:t>
      </w:r>
      <w:r w:rsidR="00DF332F" w:rsidRPr="002A07A1">
        <w:rPr>
          <w:rFonts w:ascii="Arial" w:hAnsi="Arial" w:cs="Arial"/>
          <w:sz w:val="20"/>
          <w:szCs w:val="20"/>
          <w:vertAlign w:val="superscript"/>
        </w:rPr>
        <w:t>2</w:t>
      </w:r>
      <w:r w:rsidR="00DF332F" w:rsidRPr="002A07A1">
        <w:rPr>
          <w:rFonts w:ascii="Arial" w:hAnsi="Arial" w:cs="Arial"/>
          <w:sz w:val="20"/>
          <w:szCs w:val="20"/>
        </w:rPr>
        <w:t>.</w:t>
      </w:r>
    </w:p>
    <w:p w14:paraId="47A04600" w14:textId="77777777" w:rsidR="00DF332F" w:rsidRPr="002A07A1" w:rsidRDefault="00DF332F" w:rsidP="003F300F">
      <w:pPr>
        <w:numPr>
          <w:ilvl w:val="0"/>
          <w:numId w:val="1"/>
        </w:numPr>
        <w:spacing w:after="40"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Zakres zamówienia obejmuje:</w:t>
      </w:r>
    </w:p>
    <w:p w14:paraId="6AAA5A1F" w14:textId="77777777" w:rsidR="00DF332F" w:rsidRPr="002A07A1" w:rsidRDefault="00DF332F" w:rsidP="003F300F">
      <w:pPr>
        <w:numPr>
          <w:ilvl w:val="0"/>
          <w:numId w:val="2"/>
        </w:numPr>
        <w:spacing w:after="40" w:line="280" w:lineRule="atLeast"/>
        <w:ind w:left="567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2A07A1">
        <w:rPr>
          <w:rFonts w:ascii="Arial" w:hAnsi="Arial" w:cs="Arial"/>
          <w:sz w:val="20"/>
          <w:szCs w:val="20"/>
          <w:u w:val="single"/>
        </w:rPr>
        <w:t>Inwentaryzację stanu istniejącego.</w:t>
      </w:r>
    </w:p>
    <w:p w14:paraId="24503539" w14:textId="5B615788" w:rsidR="00DF332F" w:rsidRPr="002A07A1" w:rsidRDefault="00DF332F" w:rsidP="003F300F">
      <w:pPr>
        <w:numPr>
          <w:ilvl w:val="0"/>
          <w:numId w:val="2"/>
        </w:numPr>
        <w:spacing w:after="40" w:line="28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  <w:u w:val="single"/>
        </w:rPr>
        <w:t>Projekt koncepcyjny</w:t>
      </w:r>
      <w:r w:rsidRPr="002A07A1">
        <w:rPr>
          <w:rFonts w:ascii="Arial" w:hAnsi="Arial" w:cs="Arial"/>
          <w:sz w:val="20"/>
          <w:szCs w:val="20"/>
        </w:rPr>
        <w:t xml:space="preserve"> </w:t>
      </w:r>
      <w:bookmarkStart w:id="0" w:name="_Hlk93927456"/>
      <w:r w:rsidRPr="002A07A1">
        <w:rPr>
          <w:rFonts w:ascii="Arial" w:hAnsi="Arial" w:cs="Arial"/>
          <w:sz w:val="20"/>
          <w:szCs w:val="20"/>
        </w:rPr>
        <w:t xml:space="preserve">(5 egzemplarzy w wersji papierowej, wersja elektroniczna </w:t>
      </w:r>
      <w:r w:rsidR="00724C47" w:rsidRPr="002A07A1">
        <w:rPr>
          <w:rFonts w:ascii="Arial" w:hAnsi="Arial" w:cs="Arial"/>
          <w:sz w:val="20"/>
          <w:szCs w:val="20"/>
        </w:rPr>
        <w:t xml:space="preserve">(skan wersji papierowej </w:t>
      </w:r>
      <w:r w:rsidRPr="002A07A1">
        <w:rPr>
          <w:rFonts w:ascii="Arial" w:hAnsi="Arial" w:cs="Arial"/>
          <w:sz w:val="20"/>
          <w:szCs w:val="20"/>
        </w:rPr>
        <w:t>pdf i format edytowalny</w:t>
      </w:r>
      <w:r w:rsidR="00724C47" w:rsidRPr="002A07A1">
        <w:rPr>
          <w:rFonts w:ascii="Arial" w:hAnsi="Arial" w:cs="Arial"/>
          <w:sz w:val="20"/>
          <w:szCs w:val="20"/>
        </w:rPr>
        <w:t>, np. *.dwg, *.xlsx, *.docx, *.ath i pozostałe</w:t>
      </w:r>
      <w:r w:rsidRPr="002A07A1">
        <w:rPr>
          <w:rFonts w:ascii="Arial" w:hAnsi="Arial" w:cs="Arial"/>
          <w:sz w:val="20"/>
          <w:szCs w:val="20"/>
        </w:rPr>
        <w:t>)</w:t>
      </w:r>
      <w:bookmarkEnd w:id="0"/>
      <w:r w:rsidRPr="002A07A1">
        <w:rPr>
          <w:rFonts w:ascii="Arial" w:hAnsi="Arial" w:cs="Arial"/>
          <w:sz w:val="20"/>
          <w:szCs w:val="20"/>
        </w:rPr>
        <w:t>:</w:t>
      </w:r>
    </w:p>
    <w:p w14:paraId="34169D01" w14:textId="77777777" w:rsidR="00DF332F" w:rsidRPr="002A07A1" w:rsidRDefault="00DF332F" w:rsidP="003F300F">
      <w:pPr>
        <w:numPr>
          <w:ilvl w:val="0"/>
          <w:numId w:val="3"/>
        </w:numPr>
        <w:spacing w:after="40" w:line="280" w:lineRule="atLeast"/>
        <w:ind w:left="851" w:hanging="283"/>
        <w:jc w:val="both"/>
        <w:rPr>
          <w:rFonts w:ascii="Arial" w:hAnsi="Arial" w:cs="Arial"/>
          <w:sz w:val="20"/>
          <w:szCs w:val="20"/>
        </w:rPr>
      </w:pPr>
      <w:bookmarkStart w:id="1" w:name="_Hlk63761321"/>
      <w:r w:rsidRPr="002A07A1">
        <w:rPr>
          <w:rFonts w:ascii="Arial" w:hAnsi="Arial" w:cs="Arial"/>
          <w:sz w:val="20"/>
          <w:szCs w:val="20"/>
        </w:rPr>
        <w:t>wykonanie koncepcji adaptacji i modernizacji pomieszczeń,</w:t>
      </w:r>
    </w:p>
    <w:p w14:paraId="62920C46" w14:textId="77777777" w:rsidR="00DF332F" w:rsidRPr="002A07A1" w:rsidRDefault="00DF332F" w:rsidP="003F300F">
      <w:pPr>
        <w:numPr>
          <w:ilvl w:val="0"/>
          <w:numId w:val="3"/>
        </w:numPr>
        <w:spacing w:after="40" w:line="280" w:lineRule="atLeast"/>
        <w:ind w:left="851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wizualizacje,</w:t>
      </w:r>
    </w:p>
    <w:bookmarkEnd w:id="1"/>
    <w:p w14:paraId="165C2039" w14:textId="77777777" w:rsidR="00DF332F" w:rsidRPr="002A07A1" w:rsidRDefault="00DF332F" w:rsidP="003F300F">
      <w:pPr>
        <w:numPr>
          <w:ilvl w:val="0"/>
          <w:numId w:val="3"/>
        </w:numPr>
        <w:spacing w:after="40" w:line="280" w:lineRule="atLeast"/>
        <w:ind w:left="851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przekroje,</w:t>
      </w:r>
    </w:p>
    <w:p w14:paraId="674CE1ED" w14:textId="77777777" w:rsidR="00DF332F" w:rsidRPr="002A07A1" w:rsidRDefault="00DF332F" w:rsidP="003F300F">
      <w:pPr>
        <w:numPr>
          <w:ilvl w:val="0"/>
          <w:numId w:val="3"/>
        </w:numPr>
        <w:spacing w:after="40" w:line="280" w:lineRule="atLeast"/>
        <w:ind w:left="851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zestawienie podstawowych danych technicznych,</w:t>
      </w:r>
    </w:p>
    <w:p w14:paraId="0B843C49" w14:textId="1CBF29EB" w:rsidR="00DF332F" w:rsidRPr="002A07A1" w:rsidRDefault="00DF332F" w:rsidP="003F300F">
      <w:pPr>
        <w:numPr>
          <w:ilvl w:val="0"/>
          <w:numId w:val="3"/>
        </w:numPr>
        <w:spacing w:after="40" w:line="280" w:lineRule="atLeast"/>
        <w:ind w:left="851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uzyskanie dla uzgodnionej z Zamawiającym koncepcji pozytywnej opinii Pomorskiego Wojewódzkiego Konserwatora Zabytków, rzeczoznawcy ds. pożarowych.</w:t>
      </w:r>
    </w:p>
    <w:p w14:paraId="6B09614F" w14:textId="6CE95DD6" w:rsidR="00DF332F" w:rsidRPr="002A07A1" w:rsidRDefault="00DF332F" w:rsidP="003F300F">
      <w:pPr>
        <w:numPr>
          <w:ilvl w:val="0"/>
          <w:numId w:val="2"/>
        </w:numPr>
        <w:spacing w:after="40" w:line="28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  <w:u w:val="single"/>
        </w:rPr>
        <w:t>Projekt budowlany</w:t>
      </w:r>
      <w:r w:rsidRPr="002A07A1">
        <w:rPr>
          <w:rFonts w:ascii="Arial" w:hAnsi="Arial" w:cs="Arial"/>
          <w:sz w:val="20"/>
          <w:szCs w:val="20"/>
        </w:rPr>
        <w:t xml:space="preserve"> </w:t>
      </w:r>
      <w:r w:rsidR="00724C47" w:rsidRPr="002A07A1">
        <w:rPr>
          <w:rFonts w:ascii="Arial" w:hAnsi="Arial" w:cs="Arial"/>
          <w:sz w:val="20"/>
          <w:szCs w:val="20"/>
        </w:rPr>
        <w:t>(5 egzemplarzy w wersji papierowej, wersja elektroniczna (skan wersji papierowej pdf i format edytowalny, np. *.dwg, *.xlsx, *.docx, *.ath i pozostałe)</w:t>
      </w:r>
      <w:r w:rsidRPr="002A07A1">
        <w:rPr>
          <w:rFonts w:ascii="Arial" w:hAnsi="Arial" w:cs="Arial"/>
          <w:sz w:val="20"/>
          <w:szCs w:val="20"/>
        </w:rPr>
        <w:t xml:space="preserve"> - po ostatecznej akceptacji koncepcji architektonicznej:</w:t>
      </w:r>
    </w:p>
    <w:p w14:paraId="61E6F4A8" w14:textId="77777777" w:rsidR="00DF332F" w:rsidRPr="002A07A1" w:rsidRDefault="00DF332F" w:rsidP="003F300F">
      <w:pPr>
        <w:numPr>
          <w:ilvl w:val="0"/>
          <w:numId w:val="4"/>
        </w:numPr>
        <w:spacing w:after="40" w:line="280" w:lineRule="atLeast"/>
        <w:ind w:left="851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część rysunkowa i opisowa zgodnie z wymaganiami właściwych przepisów dotyczących formy projektu budowlanego,</w:t>
      </w:r>
    </w:p>
    <w:p w14:paraId="7444ACAA" w14:textId="764D70B3" w:rsidR="00DF332F" w:rsidRPr="002A07A1" w:rsidRDefault="00DF332F" w:rsidP="003F300F">
      <w:pPr>
        <w:numPr>
          <w:ilvl w:val="0"/>
          <w:numId w:val="4"/>
        </w:numPr>
        <w:spacing w:after="40" w:line="280" w:lineRule="atLeast"/>
        <w:ind w:left="851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 xml:space="preserve">uzyskanie wszelkich uzgodnień niezbędnych do opracowania pełnej dokumentacji technicznej i późniejszej realizacji projektu (w tym uzgodnienie z Narodowym Instytutem Muzealnictwa i Ochrony Zbiorów i </w:t>
      </w:r>
      <w:r w:rsidR="0038278D">
        <w:rPr>
          <w:rFonts w:ascii="Arial" w:hAnsi="Arial" w:cs="Arial"/>
          <w:sz w:val="20"/>
          <w:szCs w:val="20"/>
        </w:rPr>
        <w:t>gestorami mediów</w:t>
      </w:r>
      <w:r w:rsidRPr="002A07A1">
        <w:rPr>
          <w:rFonts w:ascii="Arial" w:hAnsi="Arial" w:cs="Arial"/>
          <w:sz w:val="20"/>
          <w:szCs w:val="20"/>
        </w:rPr>
        <w:t>),</w:t>
      </w:r>
    </w:p>
    <w:p w14:paraId="09A0FB95" w14:textId="77777777" w:rsidR="00DF332F" w:rsidRPr="002A07A1" w:rsidRDefault="00DF332F" w:rsidP="003F300F">
      <w:pPr>
        <w:numPr>
          <w:ilvl w:val="0"/>
          <w:numId w:val="4"/>
        </w:numPr>
        <w:spacing w:after="40" w:line="280" w:lineRule="atLeast"/>
        <w:ind w:left="851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uzyskanie pozwolenia na budowę.</w:t>
      </w:r>
    </w:p>
    <w:p w14:paraId="7FE0467C" w14:textId="530D56B5" w:rsidR="00DF332F" w:rsidRPr="002A07A1" w:rsidRDefault="00DF332F" w:rsidP="003F300F">
      <w:pPr>
        <w:numPr>
          <w:ilvl w:val="0"/>
          <w:numId w:val="2"/>
        </w:numPr>
        <w:spacing w:after="40" w:line="28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  <w:u w:val="single"/>
        </w:rPr>
        <w:t>Projekt wykonawczy</w:t>
      </w:r>
      <w:r w:rsidRPr="002A07A1">
        <w:rPr>
          <w:rFonts w:ascii="Arial" w:hAnsi="Arial" w:cs="Arial"/>
          <w:sz w:val="20"/>
          <w:szCs w:val="20"/>
        </w:rPr>
        <w:t xml:space="preserve"> </w:t>
      </w:r>
      <w:r w:rsidR="00724C47" w:rsidRPr="002A07A1">
        <w:rPr>
          <w:rFonts w:ascii="Arial" w:hAnsi="Arial" w:cs="Arial"/>
          <w:sz w:val="20"/>
          <w:szCs w:val="20"/>
        </w:rPr>
        <w:t>(5 egzemplarzy w wersji papierowej, wersja elektroniczna (skan wersji papierowej pdf i format edytowalny, np. *.dwg, *.xlsx, *.docx, *.ath i pozostałe)</w:t>
      </w:r>
      <w:r w:rsidRPr="002A07A1">
        <w:rPr>
          <w:rFonts w:ascii="Arial" w:hAnsi="Arial" w:cs="Arial"/>
          <w:sz w:val="20"/>
          <w:szCs w:val="20"/>
        </w:rPr>
        <w:t>:</w:t>
      </w:r>
    </w:p>
    <w:p w14:paraId="59FD0E90" w14:textId="1D986FE8" w:rsidR="00DF332F" w:rsidRPr="002A07A1" w:rsidRDefault="00DF332F" w:rsidP="003F300F">
      <w:pPr>
        <w:numPr>
          <w:ilvl w:val="0"/>
          <w:numId w:val="5"/>
        </w:numPr>
        <w:spacing w:after="40" w:line="280" w:lineRule="atLeast"/>
        <w:ind w:left="851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wielobranżowy projekt wykonawczy obejmujący m.in. szczegółowy zakres robót oraz wszystkie elementy i detale</w:t>
      </w:r>
      <w:r w:rsidR="009F0EF0">
        <w:rPr>
          <w:rFonts w:ascii="Arial" w:hAnsi="Arial" w:cs="Arial"/>
          <w:sz w:val="20"/>
          <w:szCs w:val="20"/>
        </w:rPr>
        <w:t xml:space="preserve"> (wielobranżowy projekt wykonawczy musi obejmować wszystkie branże występujące w budynku, między innymi architektoniczną, konstrukcyjną, instalacje elektryczne, instalacje niskoprądowe – SAP, kontrola dostępu, monitoring, system antywłamaniowy</w:t>
      </w:r>
      <w:r w:rsidR="00701265">
        <w:rPr>
          <w:rFonts w:ascii="Arial" w:hAnsi="Arial" w:cs="Arial"/>
          <w:sz w:val="20"/>
          <w:szCs w:val="20"/>
        </w:rPr>
        <w:t>, wewnętrzna sieć internetowa, systemy bramek i pozostałe, instalacje wodno-kanalizacyjne, instalacje wentylacyjno-klimatyzacyjne, instalacje grzewcze, instalacja gruntowej pompy ciepła, zagospodarowanie terenu, mała architektura, oświetlenie zewnętrzne, ścieżka zwiedzania U-boota, przyłącza i pozostałe nie wymienione</w:t>
      </w:r>
      <w:r w:rsidR="007411D5">
        <w:rPr>
          <w:rFonts w:ascii="Arial" w:hAnsi="Arial" w:cs="Arial"/>
          <w:sz w:val="20"/>
          <w:szCs w:val="20"/>
        </w:rPr>
        <w:t>),</w:t>
      </w:r>
    </w:p>
    <w:p w14:paraId="5C248C8B" w14:textId="77777777" w:rsidR="00DF332F" w:rsidRPr="002A07A1" w:rsidRDefault="00DF332F" w:rsidP="003F300F">
      <w:pPr>
        <w:numPr>
          <w:ilvl w:val="0"/>
          <w:numId w:val="5"/>
        </w:numPr>
        <w:spacing w:after="40" w:line="280" w:lineRule="atLeast"/>
        <w:ind w:left="851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specyfikacje techniczne wykonania i odbioru robót budowlanych,</w:t>
      </w:r>
    </w:p>
    <w:p w14:paraId="01308F5C" w14:textId="77777777" w:rsidR="00DF332F" w:rsidRPr="002A07A1" w:rsidRDefault="00DF332F" w:rsidP="003F300F">
      <w:pPr>
        <w:numPr>
          <w:ilvl w:val="0"/>
          <w:numId w:val="5"/>
        </w:numPr>
        <w:spacing w:after="40" w:line="280" w:lineRule="atLeast"/>
        <w:ind w:left="851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przedmiar,</w:t>
      </w:r>
    </w:p>
    <w:p w14:paraId="3EF86E40" w14:textId="77777777" w:rsidR="00DF332F" w:rsidRPr="002A07A1" w:rsidRDefault="00DF332F" w:rsidP="003F300F">
      <w:pPr>
        <w:numPr>
          <w:ilvl w:val="0"/>
          <w:numId w:val="5"/>
        </w:numPr>
        <w:spacing w:after="40" w:line="280" w:lineRule="atLeast"/>
        <w:ind w:left="851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kosztorys inwestorski.</w:t>
      </w:r>
    </w:p>
    <w:p w14:paraId="4FAEA404" w14:textId="77777777" w:rsidR="00DF332F" w:rsidRPr="002A07A1" w:rsidRDefault="00DF332F" w:rsidP="003F300F">
      <w:pPr>
        <w:numPr>
          <w:ilvl w:val="0"/>
          <w:numId w:val="2"/>
        </w:numPr>
        <w:spacing w:after="40" w:line="280" w:lineRule="atLeast"/>
        <w:ind w:left="567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2A07A1">
        <w:rPr>
          <w:rFonts w:ascii="Arial" w:hAnsi="Arial" w:cs="Arial"/>
          <w:sz w:val="20"/>
          <w:szCs w:val="20"/>
          <w:u w:val="single"/>
        </w:rPr>
        <w:t>Nadzór autorski</w:t>
      </w:r>
      <w:r w:rsidRPr="002A07A1">
        <w:rPr>
          <w:rFonts w:ascii="Arial" w:hAnsi="Arial" w:cs="Arial"/>
          <w:sz w:val="20"/>
          <w:szCs w:val="20"/>
        </w:rPr>
        <w:t xml:space="preserve"> - w okresie realizacji robót budowlanych wykonywanych na podstawie dokumentacji projektowej będącej przedmiotem umowy oraz w okresie gwarancji jakości i rękojmi na te roboty   </w:t>
      </w:r>
    </w:p>
    <w:p w14:paraId="499E75A6" w14:textId="5CD987E2" w:rsidR="00DF332F" w:rsidRPr="002A07A1" w:rsidRDefault="00DF332F" w:rsidP="003F300F">
      <w:pPr>
        <w:numPr>
          <w:ilvl w:val="0"/>
          <w:numId w:val="7"/>
        </w:numPr>
        <w:spacing w:after="40" w:line="280" w:lineRule="atLeast"/>
        <w:ind w:left="851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lastRenderedPageBreak/>
        <w:t>przewidywana ilość wizyt na budowie – 20.</w:t>
      </w:r>
    </w:p>
    <w:p w14:paraId="54714E7D" w14:textId="36024486" w:rsidR="009F0EF0" w:rsidRDefault="009F0EF0" w:rsidP="009F0EF0">
      <w:pPr>
        <w:numPr>
          <w:ilvl w:val="0"/>
          <w:numId w:val="1"/>
        </w:numPr>
        <w:spacing w:after="40" w:line="260" w:lineRule="atLeast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bookmarkStart w:id="2" w:name="_Hlk70499423"/>
      <w:r w:rsidRPr="00763002">
        <w:rPr>
          <w:rFonts w:ascii="Arial" w:hAnsi="Arial" w:cs="Arial"/>
          <w:sz w:val="20"/>
          <w:szCs w:val="20"/>
          <w:lang w:eastAsia="pl-PL"/>
        </w:rPr>
        <w:t>Zamawiający wymaga, aby projekt</w:t>
      </w:r>
      <w:r>
        <w:rPr>
          <w:rFonts w:ascii="Arial" w:hAnsi="Arial" w:cs="Arial"/>
          <w:sz w:val="20"/>
          <w:szCs w:val="20"/>
          <w:lang w:eastAsia="pl-PL"/>
        </w:rPr>
        <w:t>y</w:t>
      </w:r>
      <w:r w:rsidRPr="00763002">
        <w:rPr>
          <w:rFonts w:ascii="Arial" w:hAnsi="Arial" w:cs="Arial"/>
          <w:sz w:val="20"/>
          <w:szCs w:val="20"/>
          <w:lang w:eastAsia="pl-PL"/>
        </w:rPr>
        <w:t xml:space="preserve"> był</w:t>
      </w:r>
      <w:r>
        <w:rPr>
          <w:rFonts w:ascii="Arial" w:hAnsi="Arial" w:cs="Arial"/>
          <w:sz w:val="20"/>
          <w:szCs w:val="20"/>
          <w:lang w:eastAsia="pl-PL"/>
        </w:rPr>
        <w:t>y</w:t>
      </w:r>
      <w:r w:rsidRPr="00763002">
        <w:rPr>
          <w:rFonts w:ascii="Arial" w:hAnsi="Arial" w:cs="Arial"/>
          <w:sz w:val="20"/>
          <w:szCs w:val="20"/>
          <w:lang w:eastAsia="pl-PL"/>
        </w:rPr>
        <w:t xml:space="preserve"> zgodn</w:t>
      </w:r>
      <w:r>
        <w:rPr>
          <w:rFonts w:ascii="Arial" w:hAnsi="Arial" w:cs="Arial"/>
          <w:sz w:val="20"/>
          <w:szCs w:val="20"/>
          <w:lang w:eastAsia="pl-PL"/>
        </w:rPr>
        <w:t>e</w:t>
      </w:r>
      <w:r w:rsidRPr="00763002">
        <w:rPr>
          <w:rFonts w:ascii="Arial" w:hAnsi="Arial" w:cs="Arial"/>
          <w:sz w:val="20"/>
          <w:szCs w:val="20"/>
          <w:lang w:eastAsia="pl-PL"/>
        </w:rPr>
        <w:t xml:space="preserve"> z rozporządzeni</w:t>
      </w:r>
      <w:r>
        <w:rPr>
          <w:rFonts w:ascii="Arial" w:hAnsi="Arial" w:cs="Arial"/>
          <w:sz w:val="20"/>
          <w:szCs w:val="20"/>
          <w:lang w:eastAsia="pl-PL"/>
        </w:rPr>
        <w:t>ami:</w:t>
      </w:r>
    </w:p>
    <w:p w14:paraId="19DCE927" w14:textId="77777777" w:rsidR="009F0EF0" w:rsidRDefault="009F0EF0" w:rsidP="009F0EF0">
      <w:pPr>
        <w:pStyle w:val="Akapitzlist"/>
        <w:numPr>
          <w:ilvl w:val="1"/>
          <w:numId w:val="1"/>
        </w:numPr>
        <w:spacing w:after="40" w:line="260" w:lineRule="atLeast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18711E">
        <w:rPr>
          <w:rFonts w:ascii="Arial" w:hAnsi="Arial" w:cs="Arial"/>
          <w:sz w:val="20"/>
          <w:szCs w:val="20"/>
          <w:lang w:eastAsia="pl-PL"/>
        </w:rPr>
        <w:t>Ministra Kultury i Dziedzictwa Narodowego z dnia 2 września 2014 r</w:t>
      </w:r>
      <w:r>
        <w:rPr>
          <w:rFonts w:ascii="Arial" w:hAnsi="Arial" w:cs="Arial"/>
          <w:sz w:val="20"/>
          <w:szCs w:val="20"/>
          <w:lang w:eastAsia="pl-PL"/>
        </w:rPr>
        <w:t>oku</w:t>
      </w:r>
      <w:r w:rsidRPr="0018711E">
        <w:rPr>
          <w:rFonts w:ascii="Arial" w:hAnsi="Arial" w:cs="Arial"/>
          <w:sz w:val="20"/>
          <w:szCs w:val="20"/>
          <w:lang w:eastAsia="pl-PL"/>
        </w:rPr>
        <w:t xml:space="preserve"> w sprawie zabezpieczania zbiorów muzeum przed pożarem, kradzieżą i innym niebezpieczeństwem grożącym ich zniszczeniem lub utratą.</w:t>
      </w:r>
    </w:p>
    <w:p w14:paraId="4AE94B8B" w14:textId="77777777" w:rsidR="009F0EF0" w:rsidRPr="0018711E" w:rsidRDefault="009F0EF0" w:rsidP="009F0EF0">
      <w:pPr>
        <w:pStyle w:val="Akapitzlist"/>
        <w:numPr>
          <w:ilvl w:val="1"/>
          <w:numId w:val="1"/>
        </w:numPr>
        <w:spacing w:after="40" w:line="260" w:lineRule="atLeast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Ministra Rozwoju i Technologii z dnia 20 grudnia 2021 roku w sprawie szczegółowego zakresu i formy dokumentacji projektowej, specyfikacji technicznych wykonania i odbioru robót budowlanych oraz programu funkcjonalno-użytkowego.</w:t>
      </w:r>
    </w:p>
    <w:bookmarkEnd w:id="2"/>
    <w:p w14:paraId="7CB29CFE" w14:textId="77777777" w:rsidR="00DF332F" w:rsidRPr="002A07A1" w:rsidRDefault="00DF332F" w:rsidP="003F300F">
      <w:pPr>
        <w:pStyle w:val="Akapitzlist"/>
        <w:numPr>
          <w:ilvl w:val="0"/>
          <w:numId w:val="1"/>
        </w:numPr>
        <w:spacing w:after="40" w:line="28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 xml:space="preserve">Dokumentacja stanowiąca przedmiot zamówienia winna odpowiadać przepisom prawa i odnośnym normom, a także wymaganiom technicznym obowiązujących w dniu przekazania przedmiotu zamówienia Zamawiającemu. Dokumentacja stanowiąca przedmiot zamówienia winna spełniać wymogi określone w prawie zamówień publicznych dla opisu przedmiotu zamówienia na roboty budowlane oraz uwzględniać inne wymogi określone w prawie zamówień publicznych dla realizacji inwestycji. Dokumentacja musi umożliwiać ogłoszenie i przeprowadzenie postępowania o udzielenie zamówienia publicznego w sposób zgodny z przepisami i złożenie oferty dla wykonania zadania inwestycyjnego objętego dokumentacją. Dokumentacja musi umożliwiać wykonanie inwestycji w pełnym zakresie, zgodnie z przepisami, normami, zasadami sztuki budowlanej oraz zasadami wiedzy technicznej, bez wad, a także w sposób nadający się do eksploatacji. Na podstawie dokumentacji projektowej będzie możliwe uzyskanie przez Zamawiającego odpowiednio: pozwolenia na budowę/przebudowę lub w przypadku, gdy nie jest wymagane pozwolenie na budowę- dokonanie skutecznego zgłoszenia robót. </w:t>
      </w:r>
    </w:p>
    <w:p w14:paraId="6B3DB98D" w14:textId="77777777" w:rsidR="00DF332F" w:rsidRPr="002A07A1" w:rsidRDefault="00DF332F" w:rsidP="003F300F">
      <w:pPr>
        <w:pStyle w:val="Akapitzlist"/>
        <w:numPr>
          <w:ilvl w:val="0"/>
          <w:numId w:val="1"/>
        </w:numPr>
        <w:spacing w:after="40" w:line="28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 xml:space="preserve">Zamawiający nie dopuszcza wskazywania w opracowanej dokumentacji projektowej znaków towarowych, patentów lub pochodzenia, źródła lub szczególnego procesu, który charakteryzuje produkty lub usługi dostarczane przez konkretnego Wykonawcę. Jedynym wyjątkiem od tej zasady jest przypadek, w którym takie wskazanie jest uzasadnione specyfiką przedmiotu zamówienia i nie ma możliwości opisania przedmiotu zamówienia za pomocą dostatecznie dokładnych określeń a wykonawca uzyskał uprzednio pisemną zgodę zamawiającego na takie wskazanie. W przypadku wyrażenia przez zamawiającego pisemnej zgody na takie wskazanie, wykonawca jest zobowiązany opisać w dokumentacji specyfikę przedmiotu zamówienia powodującą konieczność takiego wskazania oraz użyć przy wskazaniu słów „lub równoważne”. W takim przypadku obowiązkiem wykonawcy jest określenie szczegółowych cech i parametrów, które umożliwią dopuszczenie towarów i urządzeń innych producentów jako równoważnych. W przypadku, gdy Wykonawca używa w opracowanej dokumentacji projektowej odniesień do norm, ocen technicznych, specyfikacji technicznych i systemów referencji technicznych, o których mowa w art. 101 ust. 1 pkt 2 oraz ust. 3 ustawy z dnia 11 września 2019 roku – prawo zamówień publicznych (Dz. U. 2019 poz. 2019 z późniejszymi zmianami, dalej jako Ustawa Pzp) Wykonawca jest zobowiązany wskazać, że należy je rozumieć jako przykładowe i że dopuszcza rozwiązania równoważne opisywanym. Wykonawca wskazuje, że ww. odniesieniu towarzyszą wyrazy „lub równoważne”. Wykonawca jest zobowiązany określić szczegółowe warunki, które umożliwią dopuszczenie innych rozwiązań jako równoważnych. </w:t>
      </w:r>
    </w:p>
    <w:p w14:paraId="3A044B09" w14:textId="77777777" w:rsidR="00DF332F" w:rsidRPr="002A07A1" w:rsidRDefault="00DF332F" w:rsidP="003F300F">
      <w:pPr>
        <w:pStyle w:val="Akapitzlist"/>
        <w:numPr>
          <w:ilvl w:val="0"/>
          <w:numId w:val="1"/>
        </w:numPr>
        <w:spacing w:after="40" w:line="28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Wykonawca zobowiązany jest do przejęcia na siebie pełnej odpowiedzialności za wszelkie skutki finansowe mogące powstać z roszczeń posiadaczy praw autorskich i praw zależnych wynikających z ustawy z dnia 4 lutego 1994 r. o prawie autorskim i prawach pokrewnych wynikających z działań Wykonawcy.</w:t>
      </w:r>
    </w:p>
    <w:p w14:paraId="51BF7900" w14:textId="77777777" w:rsidR="00DF332F" w:rsidRPr="002A07A1" w:rsidRDefault="00DF332F" w:rsidP="003F300F">
      <w:pPr>
        <w:pStyle w:val="Akapitzlist"/>
        <w:numPr>
          <w:ilvl w:val="0"/>
          <w:numId w:val="1"/>
        </w:numPr>
        <w:spacing w:after="40" w:line="28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 xml:space="preserve">Wykonawca w ramach niniejszego zamówienia jest zobowiązany do: </w:t>
      </w:r>
    </w:p>
    <w:p w14:paraId="3991E1F2" w14:textId="1EE4D513" w:rsidR="00DF332F" w:rsidRPr="002A07A1" w:rsidRDefault="00DF332F" w:rsidP="003F300F">
      <w:pPr>
        <w:pStyle w:val="Akapitzlist"/>
        <w:numPr>
          <w:ilvl w:val="2"/>
          <w:numId w:val="1"/>
        </w:numPr>
        <w:spacing w:after="40" w:line="28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 xml:space="preserve">Bieżącej współpracy z Zamawiającym, na każdym etapie wykonania zadania będącego przedmiotem niniejszej umowy, </w:t>
      </w:r>
    </w:p>
    <w:p w14:paraId="2C95DECD" w14:textId="2CB90C15" w:rsidR="00DF332F" w:rsidRPr="002A07A1" w:rsidRDefault="00DF332F" w:rsidP="003F300F">
      <w:pPr>
        <w:pStyle w:val="Akapitzlist"/>
        <w:numPr>
          <w:ilvl w:val="2"/>
          <w:numId w:val="1"/>
        </w:numPr>
        <w:spacing w:after="40" w:line="28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 xml:space="preserve">Wykonawca w trakcie prac projektowych zobowiązany jest do organizowania okresowych spotkań w siedzibie Zamawiającego lub telekonferencji w terminie obustronnie ustalonym z Zamawiającym, w celu: </w:t>
      </w:r>
    </w:p>
    <w:p w14:paraId="0C9128CE" w14:textId="3A1079B6" w:rsidR="00DF332F" w:rsidRPr="002A07A1" w:rsidRDefault="00DF332F" w:rsidP="003F300F">
      <w:pPr>
        <w:pStyle w:val="Akapitzlist"/>
        <w:numPr>
          <w:ilvl w:val="0"/>
          <w:numId w:val="9"/>
        </w:numPr>
        <w:spacing w:after="40" w:line="280" w:lineRule="atLeast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 xml:space="preserve">przedstawienia sprawozdania z zaawansowania prac w tym uzgodnień z właściwymi instytucjami; </w:t>
      </w:r>
    </w:p>
    <w:p w14:paraId="37D72181" w14:textId="72ABC34E" w:rsidR="00DF332F" w:rsidRPr="002A07A1" w:rsidRDefault="00DF332F" w:rsidP="003F300F">
      <w:pPr>
        <w:pStyle w:val="Akapitzlist"/>
        <w:numPr>
          <w:ilvl w:val="0"/>
          <w:numId w:val="9"/>
        </w:numPr>
        <w:spacing w:after="40" w:line="280" w:lineRule="atLeast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lastRenderedPageBreak/>
        <w:t xml:space="preserve">przedstawienie problemów wymagających rozstrzygnięcia. Jeżeli zajdzie taka potrzeba Wykonawca zobowiązany jest przygotować do celów konsultacyjnych prezentację multimedialną przedstawiającą zakres uzgadnianej dokumentacji. Pierwsze spotkanie powinno się odbyć nie później niż 3 tygodnie od daty podpisania umowy. </w:t>
      </w:r>
    </w:p>
    <w:p w14:paraId="532D3451" w14:textId="77777777" w:rsidR="00DF332F" w:rsidRPr="002A07A1" w:rsidRDefault="00DF332F" w:rsidP="003F300F">
      <w:pPr>
        <w:spacing w:after="40" w:line="28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• Terminy spotkań oraz ich tematyka (w tym materiały robocze) będą przekazywane Zamawiającemu oraz stronom zainteresowanym z 5- dniowym wyprzedzeniem.</w:t>
      </w:r>
    </w:p>
    <w:p w14:paraId="083CFB32" w14:textId="77777777" w:rsidR="00DF332F" w:rsidRPr="002A07A1" w:rsidRDefault="00DF332F" w:rsidP="003F300F">
      <w:pPr>
        <w:spacing w:after="40" w:line="28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 xml:space="preserve"> • Sporządzania protokołów z ustaleń podjętych na ww. spotkaniach i na każdym następnym przedstawiania zakresu wykonania ustaleń z poprzedniego. </w:t>
      </w:r>
    </w:p>
    <w:p w14:paraId="267D52A1" w14:textId="77777777" w:rsidR="00DF332F" w:rsidRPr="002A07A1" w:rsidRDefault="00DF332F" w:rsidP="003F300F">
      <w:pPr>
        <w:spacing w:after="40" w:line="28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 xml:space="preserve">• Przedłożenia Zamawiającemu w terminie 3 tygodni od daty zawarcia umowy orientacyjnego harmonogramu prac projektowych, uwzględniającego poniższe terminy: </w:t>
      </w:r>
    </w:p>
    <w:p w14:paraId="30D7BD6F" w14:textId="0D9413E9" w:rsidR="00DF332F" w:rsidRPr="002A07A1" w:rsidRDefault="00DF332F" w:rsidP="003F300F">
      <w:pPr>
        <w:pStyle w:val="Akapitzlist"/>
        <w:numPr>
          <w:ilvl w:val="0"/>
          <w:numId w:val="10"/>
        </w:numPr>
        <w:spacing w:after="40" w:line="280" w:lineRule="atLeast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 xml:space="preserve">opracowania wstępnego projektu zagospodarowania terenu, umożliwiającego prezentację propozycji i założeń realizacji inwestycji; </w:t>
      </w:r>
    </w:p>
    <w:p w14:paraId="5F8B2815" w14:textId="35BFA090" w:rsidR="00DF332F" w:rsidRPr="002A07A1" w:rsidRDefault="00DF332F" w:rsidP="003F300F">
      <w:pPr>
        <w:pStyle w:val="Akapitzlist"/>
        <w:numPr>
          <w:ilvl w:val="0"/>
          <w:numId w:val="10"/>
        </w:numPr>
        <w:spacing w:after="40" w:line="280" w:lineRule="atLeast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 xml:space="preserve">opracowania mapy do celów projektowych; </w:t>
      </w:r>
    </w:p>
    <w:p w14:paraId="788DA8E2" w14:textId="1EB6E8C4" w:rsidR="00DF332F" w:rsidRPr="002A07A1" w:rsidRDefault="00DF332F" w:rsidP="003F300F">
      <w:pPr>
        <w:pStyle w:val="Akapitzlist"/>
        <w:numPr>
          <w:ilvl w:val="0"/>
          <w:numId w:val="10"/>
        </w:numPr>
        <w:spacing w:after="40" w:line="280" w:lineRule="atLeast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 xml:space="preserve">przekazania opracowanej mapy do zatwierdzenia w zasobach geodezyjnych; </w:t>
      </w:r>
    </w:p>
    <w:p w14:paraId="6D94DE95" w14:textId="794CDC5E" w:rsidR="00DF332F" w:rsidRPr="002A07A1" w:rsidRDefault="00DF332F" w:rsidP="003F300F">
      <w:pPr>
        <w:pStyle w:val="Akapitzlist"/>
        <w:numPr>
          <w:ilvl w:val="0"/>
          <w:numId w:val="10"/>
        </w:numPr>
        <w:spacing w:after="40" w:line="280" w:lineRule="atLeast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 xml:space="preserve">przekazania dokumentacji projektowej do uzgodnień branżowych; − przekazania dokumentacji projektowej do uzgodnienia końcowego; </w:t>
      </w:r>
    </w:p>
    <w:p w14:paraId="032BFD55" w14:textId="75230210" w:rsidR="00DF332F" w:rsidRPr="002A07A1" w:rsidRDefault="00DF332F" w:rsidP="003F300F">
      <w:pPr>
        <w:pStyle w:val="Akapitzlist"/>
        <w:numPr>
          <w:ilvl w:val="2"/>
          <w:numId w:val="11"/>
        </w:numPr>
        <w:spacing w:after="40" w:line="28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 xml:space="preserve">Koszty związane z opracowaniem materiałów roboczych, przeznaczonych do zaopiniowania, uzgodnienia, weryfikacji lub prezentacji na spotkaniach należy wkalkulować w ofertę ryczałtową. </w:t>
      </w:r>
    </w:p>
    <w:p w14:paraId="49A25B74" w14:textId="2EE99A35" w:rsidR="00DF332F" w:rsidRPr="002A07A1" w:rsidRDefault="00DF332F" w:rsidP="003F300F">
      <w:pPr>
        <w:pStyle w:val="Akapitzlist"/>
        <w:numPr>
          <w:ilvl w:val="2"/>
          <w:numId w:val="11"/>
        </w:numPr>
        <w:spacing w:after="40" w:line="28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Wykonawca zobowiązany jest do brania udziału w przygotowaniu odpowiedzi na pytania oferentów w postępowaniu przetargowym na realizację zadań. Wykonawca zobowiązuje się do nieodpłatnego i niezwłocznego udzielenia wyjaśnień na ewentualne zapytania Wykonawców, złożone w toku przetargu na realizację zadania na podstawie wykonanej dokumentacji projektowo- budowlanej, a  także zajmowania stanowiska w przypadku złożenia odwołania. Wykonawca ma obowiązek udzielić odpowiedzi w ciągu dwóch dni od dnia przekazania pytań przez Zamawiającego.</w:t>
      </w:r>
    </w:p>
    <w:p w14:paraId="749B461C" w14:textId="25E93348" w:rsidR="00DF332F" w:rsidRPr="002A07A1" w:rsidRDefault="00DF332F" w:rsidP="003F300F">
      <w:pPr>
        <w:pStyle w:val="Akapitzlist"/>
        <w:numPr>
          <w:ilvl w:val="2"/>
          <w:numId w:val="11"/>
        </w:numPr>
        <w:spacing w:after="40" w:line="28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 xml:space="preserve">Po zakończeniu opracowania dokumentacji projektowej Wykonawca jest zobowiązany przedłożyć oświadczenie o kompletności i zgodności przedmiarów robót z rozwiązaniami technicznymi. </w:t>
      </w:r>
    </w:p>
    <w:p w14:paraId="03DD9045" w14:textId="1EC08E63" w:rsidR="00DF332F" w:rsidRPr="002A07A1" w:rsidRDefault="00DF332F" w:rsidP="003F300F">
      <w:pPr>
        <w:pStyle w:val="Akapitzlist"/>
        <w:numPr>
          <w:ilvl w:val="2"/>
          <w:numId w:val="11"/>
        </w:numPr>
        <w:spacing w:after="40" w:line="28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 xml:space="preserve">W zakresie przedmiotu zamówienia jest również dokonanie przez wykonawcę wszelkich poprawek, uzupełnień, modyfikacji w dokumentacji, których wykonanie będzie wymagane dla uzyskania pozytywnej oceny i przyjęcia dokumentacji przez instytucje dokonujące oceny i kwalifikacji, także w przypadku, gdy konieczność wprowadzenia takich poprawek, uzupełnień, modyfikacji wystąpi po przyjęciu przez Zamawiającego przedmiotu zamówienia i zapłaci za jego wykonanie. Wszystkie ustalenia będą dokonywane wyłącznie na piśmie. Zamawiający zastrzega sobie prawo wglądu do prac nad opracowaniem, w trakcie jego sporządzania. </w:t>
      </w:r>
    </w:p>
    <w:p w14:paraId="65F4505A" w14:textId="77777777" w:rsidR="00DF332F" w:rsidRPr="002A07A1" w:rsidRDefault="00DF332F" w:rsidP="003F300F">
      <w:pPr>
        <w:pStyle w:val="Akapitzlist"/>
        <w:numPr>
          <w:ilvl w:val="0"/>
          <w:numId w:val="1"/>
        </w:numPr>
        <w:spacing w:after="40" w:line="280" w:lineRule="atLeast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2A07A1">
        <w:rPr>
          <w:rFonts w:ascii="Arial" w:hAnsi="Arial" w:cs="Arial"/>
          <w:b/>
          <w:bCs/>
          <w:sz w:val="20"/>
          <w:szCs w:val="20"/>
        </w:rPr>
        <w:t xml:space="preserve">Nadzór autorski. </w:t>
      </w:r>
    </w:p>
    <w:p w14:paraId="68BB69C1" w14:textId="77777777" w:rsidR="00DF332F" w:rsidRPr="002A07A1" w:rsidRDefault="00DF332F" w:rsidP="003F300F">
      <w:pPr>
        <w:spacing w:after="40" w:line="28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 xml:space="preserve">Zamawiający wymaga, aby Wykonawca zobowiązał się przyjmując do wykonania niniejsze zamówienie do świadczenia usług nadzoru autorskiego na etapie realizacji zadania oraz w okresie rękojmi i gwarancji jakości. </w:t>
      </w:r>
    </w:p>
    <w:p w14:paraId="78D501E1" w14:textId="77777777" w:rsidR="00DF332F" w:rsidRPr="002A07A1" w:rsidRDefault="00DF332F" w:rsidP="003F300F">
      <w:pPr>
        <w:spacing w:after="40" w:line="28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 xml:space="preserve">W ramach nadzoru autorskiego wykonawca zobowiązany jest na wezwanie Zamawiającego do: </w:t>
      </w:r>
    </w:p>
    <w:p w14:paraId="1EB5FCBE" w14:textId="7F6C40DD" w:rsidR="00DF332F" w:rsidRPr="002A07A1" w:rsidRDefault="003F300F" w:rsidP="003F300F">
      <w:pPr>
        <w:pStyle w:val="Akapitzlist"/>
        <w:numPr>
          <w:ilvl w:val="0"/>
          <w:numId w:val="12"/>
        </w:numPr>
        <w:spacing w:after="40" w:line="28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s</w:t>
      </w:r>
      <w:r w:rsidR="00DF332F" w:rsidRPr="002A07A1">
        <w:rPr>
          <w:rFonts w:ascii="Arial" w:hAnsi="Arial" w:cs="Arial"/>
          <w:sz w:val="20"/>
          <w:szCs w:val="20"/>
        </w:rPr>
        <w:t xml:space="preserve">twierdzenia w toku wykonywania robót budowlanych zgodności ich realizacji z projektem w zakresie wskazanym przez Zamawiającego, </w:t>
      </w:r>
    </w:p>
    <w:p w14:paraId="46ADBCFF" w14:textId="083CCE0F" w:rsidR="00DF332F" w:rsidRPr="002A07A1" w:rsidRDefault="003F300F" w:rsidP="003F300F">
      <w:pPr>
        <w:pStyle w:val="Akapitzlist"/>
        <w:numPr>
          <w:ilvl w:val="0"/>
          <w:numId w:val="12"/>
        </w:numPr>
        <w:spacing w:after="40" w:line="28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u</w:t>
      </w:r>
      <w:r w:rsidR="00DF332F" w:rsidRPr="002A07A1">
        <w:rPr>
          <w:rFonts w:ascii="Arial" w:hAnsi="Arial" w:cs="Arial"/>
          <w:sz w:val="20"/>
          <w:szCs w:val="20"/>
        </w:rPr>
        <w:t xml:space="preserve">zgadniania wprowadzania rozwiązań zamiennych w stosunku do przewidzianych w projekcie zgłaszanych przez wykonawcę lub zamawiającego, </w:t>
      </w:r>
    </w:p>
    <w:p w14:paraId="1238506A" w14:textId="3854DBA1" w:rsidR="00DF332F" w:rsidRPr="002A07A1" w:rsidRDefault="003F300F" w:rsidP="003F300F">
      <w:pPr>
        <w:pStyle w:val="Akapitzlist"/>
        <w:numPr>
          <w:ilvl w:val="0"/>
          <w:numId w:val="12"/>
        </w:numPr>
        <w:spacing w:after="40" w:line="28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w</w:t>
      </w:r>
      <w:r w:rsidR="00DF332F" w:rsidRPr="002A07A1">
        <w:rPr>
          <w:rFonts w:ascii="Arial" w:hAnsi="Arial" w:cs="Arial"/>
          <w:sz w:val="20"/>
          <w:szCs w:val="20"/>
        </w:rPr>
        <w:t xml:space="preserve">yjaśnienia wątpliwości powstałych w toku realizacji zadania, </w:t>
      </w:r>
    </w:p>
    <w:p w14:paraId="1571BAD1" w14:textId="37D105C3" w:rsidR="00DF332F" w:rsidRPr="002A07A1" w:rsidRDefault="003F300F" w:rsidP="003F300F">
      <w:pPr>
        <w:pStyle w:val="Akapitzlist"/>
        <w:numPr>
          <w:ilvl w:val="0"/>
          <w:numId w:val="12"/>
        </w:numPr>
        <w:spacing w:after="40" w:line="28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c</w:t>
      </w:r>
      <w:r w:rsidR="00DF332F" w:rsidRPr="002A07A1">
        <w:rPr>
          <w:rFonts w:ascii="Arial" w:hAnsi="Arial" w:cs="Arial"/>
          <w:sz w:val="20"/>
          <w:szCs w:val="20"/>
        </w:rPr>
        <w:t xml:space="preserve">zuwania by zakres wprowadzonych zmian nie spowodował istotnej zmiany zatwierdzonego projektu budowlanego wymagającej uzyskania nowego pozwolenia na budowę, </w:t>
      </w:r>
    </w:p>
    <w:p w14:paraId="4718A244" w14:textId="137403B8" w:rsidR="00DF332F" w:rsidRPr="002A07A1" w:rsidRDefault="003F300F" w:rsidP="003F300F">
      <w:pPr>
        <w:pStyle w:val="Akapitzlist"/>
        <w:numPr>
          <w:ilvl w:val="0"/>
          <w:numId w:val="12"/>
        </w:numPr>
        <w:spacing w:after="40" w:line="28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b</w:t>
      </w:r>
      <w:r w:rsidR="00DF332F" w:rsidRPr="002A07A1">
        <w:rPr>
          <w:rFonts w:ascii="Arial" w:hAnsi="Arial" w:cs="Arial"/>
          <w:sz w:val="20"/>
          <w:szCs w:val="20"/>
        </w:rPr>
        <w:t>rania udziału w naradach technicznych, w odbiorze częściowym i ostatecznym, co na potrzeby wynagrodzenia jest traktowane jako pobyt na budowie.</w:t>
      </w:r>
    </w:p>
    <w:p w14:paraId="1715E957" w14:textId="2D049DB4" w:rsidR="00DF332F" w:rsidRPr="002A07A1" w:rsidRDefault="00DF332F" w:rsidP="003F300F">
      <w:pPr>
        <w:spacing w:after="40" w:line="28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 xml:space="preserve">W ofercie należy podać wartość 1 nadzoru autorskiego. </w:t>
      </w:r>
    </w:p>
    <w:p w14:paraId="3EA571E4" w14:textId="44CF3BF6" w:rsidR="00DF332F" w:rsidRPr="002A07A1" w:rsidRDefault="00DF332F" w:rsidP="003F300F">
      <w:pPr>
        <w:spacing w:after="40" w:line="28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Oszacowano wstępnie liczbę nadzorów: 20.</w:t>
      </w:r>
    </w:p>
    <w:p w14:paraId="6C0F1603" w14:textId="2522D843" w:rsidR="00DF332F" w:rsidRPr="002A07A1" w:rsidRDefault="00DF332F" w:rsidP="003F300F">
      <w:pPr>
        <w:spacing w:after="40" w:line="28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lastRenderedPageBreak/>
        <w:t>Zamawiający zastrzega sobie możliwość zmiany ilości pobytów w ramach nadzoru autorskiego w uzasadnionych przypadkach. Wynagrodzenie zostanie ustalone jako iloczyn faktycznej ilości nadzorów. Wynagrodzenie zostanie ustalone jako iloczyn faktycznej ilości nadzorów autorskich i ceny jednostkowej podanej w ofercie.</w:t>
      </w:r>
    </w:p>
    <w:p w14:paraId="19CC574B" w14:textId="77777777" w:rsidR="00DF332F" w:rsidRPr="002A07A1" w:rsidRDefault="00DF332F" w:rsidP="003F300F">
      <w:pPr>
        <w:spacing w:after="40" w:line="280" w:lineRule="atLeast"/>
        <w:jc w:val="both"/>
        <w:rPr>
          <w:rFonts w:ascii="Arial" w:hAnsi="Arial" w:cs="Arial"/>
          <w:sz w:val="20"/>
          <w:szCs w:val="20"/>
        </w:rPr>
      </w:pPr>
    </w:p>
    <w:p w14:paraId="4F3DA8CB" w14:textId="77777777" w:rsidR="00DF332F" w:rsidRPr="002A07A1" w:rsidRDefault="00DF332F" w:rsidP="003F300F">
      <w:pPr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Załączniki do OPZ:</w:t>
      </w:r>
    </w:p>
    <w:p w14:paraId="7C0E53B4" w14:textId="42DE18AA" w:rsidR="00DF332F" w:rsidRPr="002A07A1" w:rsidRDefault="00680273" w:rsidP="003F300F">
      <w:pPr>
        <w:pStyle w:val="Akapitzlist"/>
        <w:numPr>
          <w:ilvl w:val="0"/>
          <w:numId w:val="8"/>
        </w:numPr>
        <w:spacing w:after="40" w:line="28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2A07A1">
        <w:rPr>
          <w:rFonts w:ascii="Arial" w:hAnsi="Arial" w:cs="Arial"/>
          <w:sz w:val="20"/>
          <w:szCs w:val="20"/>
        </w:rPr>
        <w:t>Program Funkcjonalno - Użytkowy</w:t>
      </w:r>
    </w:p>
    <w:p w14:paraId="4CAE0CE3" w14:textId="77777777" w:rsidR="00DF332F" w:rsidRPr="003F300F" w:rsidRDefault="00DF332F" w:rsidP="003F300F">
      <w:pPr>
        <w:spacing w:after="40"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4997F5AF" w14:textId="77777777" w:rsidR="006951F5" w:rsidRPr="003F300F" w:rsidRDefault="006951F5" w:rsidP="003F300F">
      <w:pPr>
        <w:spacing w:after="40" w:line="280" w:lineRule="atLeast"/>
        <w:rPr>
          <w:rFonts w:ascii="Arial" w:hAnsi="Arial" w:cs="Arial"/>
          <w:sz w:val="20"/>
          <w:szCs w:val="20"/>
        </w:rPr>
      </w:pPr>
    </w:p>
    <w:sectPr w:rsidR="006951F5" w:rsidRPr="003F300F" w:rsidSect="000F5C2D">
      <w:footerReference w:type="default" r:id="rId7"/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E9A3" w14:textId="77777777" w:rsidR="00C91A61" w:rsidRDefault="00C91A61" w:rsidP="000F5C2D">
      <w:pPr>
        <w:spacing w:after="0" w:line="240" w:lineRule="auto"/>
      </w:pPr>
      <w:r>
        <w:separator/>
      </w:r>
    </w:p>
  </w:endnote>
  <w:endnote w:type="continuationSeparator" w:id="0">
    <w:p w14:paraId="38775E1C" w14:textId="77777777" w:rsidR="00C91A61" w:rsidRDefault="00C91A61" w:rsidP="000F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71737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FAD2B30" w14:textId="26299968" w:rsidR="000F5C2D" w:rsidRPr="000F5C2D" w:rsidRDefault="000F5C2D" w:rsidP="000F5C2D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F5C2D">
          <w:rPr>
            <w:rFonts w:ascii="Arial" w:hAnsi="Arial" w:cs="Arial"/>
            <w:sz w:val="16"/>
            <w:szCs w:val="16"/>
          </w:rPr>
          <w:fldChar w:fldCharType="begin"/>
        </w:r>
        <w:r w:rsidRPr="000F5C2D">
          <w:rPr>
            <w:rFonts w:ascii="Arial" w:hAnsi="Arial" w:cs="Arial"/>
            <w:sz w:val="16"/>
            <w:szCs w:val="16"/>
          </w:rPr>
          <w:instrText>PAGE   \* MERGEFORMAT</w:instrText>
        </w:r>
        <w:r w:rsidRPr="000F5C2D">
          <w:rPr>
            <w:rFonts w:ascii="Arial" w:hAnsi="Arial" w:cs="Arial"/>
            <w:sz w:val="16"/>
            <w:szCs w:val="16"/>
          </w:rPr>
          <w:fldChar w:fldCharType="separate"/>
        </w:r>
        <w:r w:rsidRPr="000F5C2D">
          <w:rPr>
            <w:rFonts w:ascii="Arial" w:hAnsi="Arial" w:cs="Arial"/>
            <w:sz w:val="16"/>
            <w:szCs w:val="16"/>
          </w:rPr>
          <w:t>2</w:t>
        </w:r>
        <w:r w:rsidRPr="000F5C2D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033F" w14:textId="77777777" w:rsidR="00C91A61" w:rsidRDefault="00C91A61" w:rsidP="000F5C2D">
      <w:pPr>
        <w:spacing w:after="0" w:line="240" w:lineRule="auto"/>
      </w:pPr>
      <w:r>
        <w:separator/>
      </w:r>
    </w:p>
  </w:footnote>
  <w:footnote w:type="continuationSeparator" w:id="0">
    <w:p w14:paraId="7D42339D" w14:textId="77777777" w:rsidR="00C91A61" w:rsidRDefault="00C91A61" w:rsidP="000F5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66D"/>
    <w:multiLevelType w:val="hybridMultilevel"/>
    <w:tmpl w:val="8EC0F804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7497"/>
    <w:multiLevelType w:val="hybridMultilevel"/>
    <w:tmpl w:val="32BCE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3EB4"/>
    <w:multiLevelType w:val="hybridMultilevel"/>
    <w:tmpl w:val="979CB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30EA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ADC0666">
      <w:numFmt w:val="bullet"/>
      <w:lvlText w:val="•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3A99"/>
    <w:multiLevelType w:val="hybridMultilevel"/>
    <w:tmpl w:val="61A8E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6570"/>
    <w:multiLevelType w:val="hybridMultilevel"/>
    <w:tmpl w:val="945AB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4775F"/>
    <w:multiLevelType w:val="hybridMultilevel"/>
    <w:tmpl w:val="9DFA0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B5088"/>
    <w:multiLevelType w:val="hybridMultilevel"/>
    <w:tmpl w:val="5780387C"/>
    <w:lvl w:ilvl="0" w:tplc="2130A8F2">
      <w:start w:val="8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A2B6F"/>
    <w:multiLevelType w:val="hybridMultilevel"/>
    <w:tmpl w:val="FB70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65E58"/>
    <w:multiLevelType w:val="hybridMultilevel"/>
    <w:tmpl w:val="CD84C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F7F74"/>
    <w:multiLevelType w:val="hybridMultilevel"/>
    <w:tmpl w:val="B3BE161A"/>
    <w:lvl w:ilvl="0" w:tplc="2130A8F2">
      <w:start w:val="8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81ABF"/>
    <w:multiLevelType w:val="hybridMultilevel"/>
    <w:tmpl w:val="901CE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B5CE9"/>
    <w:multiLevelType w:val="hybridMultilevel"/>
    <w:tmpl w:val="5F26B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2F"/>
    <w:rsid w:val="000F5C2D"/>
    <w:rsid w:val="002A07A1"/>
    <w:rsid w:val="002D6AE8"/>
    <w:rsid w:val="0038278D"/>
    <w:rsid w:val="003F300F"/>
    <w:rsid w:val="00564FE5"/>
    <w:rsid w:val="00680273"/>
    <w:rsid w:val="006951F5"/>
    <w:rsid w:val="00701265"/>
    <w:rsid w:val="00724C47"/>
    <w:rsid w:val="007411D5"/>
    <w:rsid w:val="0084168D"/>
    <w:rsid w:val="009F0EF0"/>
    <w:rsid w:val="00C77CC9"/>
    <w:rsid w:val="00C91A61"/>
    <w:rsid w:val="00D468A7"/>
    <w:rsid w:val="00DF332F"/>
    <w:rsid w:val="00F6564C"/>
    <w:rsid w:val="00F66DEC"/>
    <w:rsid w:val="00F8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06AB"/>
  <w15:chartTrackingRefBased/>
  <w15:docId w15:val="{ADE26839-6446-41CE-8A8B-14008DAC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5,Γράφημα,zwykły tekst,Preambuła,T_SZ_List Paragraph,normalny tekst,Akapit z listą BS,Kolorowa lista — akcent 11,Colorful List Accent 1,List Paragraph1,BulletC,Obiekt,Bulleted list,lp1"/>
    <w:basedOn w:val="Normalny"/>
    <w:link w:val="AkapitzlistZnak"/>
    <w:uiPriority w:val="34"/>
    <w:qFormat/>
    <w:rsid w:val="00DF33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5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C2D"/>
  </w:style>
  <w:style w:type="paragraph" w:styleId="Stopka">
    <w:name w:val="footer"/>
    <w:basedOn w:val="Normalny"/>
    <w:link w:val="StopkaZnak"/>
    <w:uiPriority w:val="99"/>
    <w:unhideWhenUsed/>
    <w:rsid w:val="000F5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C2D"/>
  </w:style>
  <w:style w:type="character" w:customStyle="1" w:styleId="AkapitzlistZnak">
    <w:name w:val="Akapit z listą Znak"/>
    <w:aliases w:val="CW_Lista Znak,Wypunktowanie Znak,L1 Znak,Numerowanie Znak,Akapit z listą5 Znak,Γράφημα Znak,zwykły tekst Znak,Preambuła Znak,T_SZ_List Paragraph Znak,normalny tekst Znak,Akapit z listą BS Znak,Kolorowa lista — akcent 11 Znak,lp1 Znak"/>
    <w:link w:val="Akapitzlist"/>
    <w:uiPriority w:val="34"/>
    <w:qFormat/>
    <w:rsid w:val="009F0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1588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Tomasz Wierzchowski</cp:lastModifiedBy>
  <cp:revision>10</cp:revision>
  <cp:lastPrinted>2022-01-24T14:04:00Z</cp:lastPrinted>
  <dcterms:created xsi:type="dcterms:W3CDTF">2022-01-18T13:07:00Z</dcterms:created>
  <dcterms:modified xsi:type="dcterms:W3CDTF">2022-03-08T09:39:00Z</dcterms:modified>
</cp:coreProperties>
</file>