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4C979" w14:textId="170C9AE9" w:rsidR="0083050A" w:rsidRDefault="0083050A" w:rsidP="0083050A">
      <w:pPr>
        <w:spacing w:line="480" w:lineRule="auto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ZNAK SPRAWY: ZP/PR/18/2023</w:t>
      </w:r>
      <w:r>
        <w:rPr>
          <w:rFonts w:ascii="Verdana" w:hAnsi="Verdana"/>
          <w:b/>
          <w:sz w:val="18"/>
          <w:szCs w:val="18"/>
        </w:rPr>
        <w:tab/>
      </w:r>
      <w:bookmarkStart w:id="0" w:name="_GoBack"/>
      <w:bookmarkEnd w:id="0"/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Załącznik nr 3</w:t>
      </w:r>
    </w:p>
    <w:p w14:paraId="51022BCE" w14:textId="77777777" w:rsidR="0083050A" w:rsidRDefault="0083050A" w:rsidP="0083050A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Wykonawca:</w:t>
      </w:r>
    </w:p>
    <w:p w14:paraId="5B57599F" w14:textId="77777777" w:rsidR="0083050A" w:rsidRDefault="0083050A" w:rsidP="0083050A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Nazwa: ……………………………………..</w:t>
      </w:r>
    </w:p>
    <w:p w14:paraId="41161628" w14:textId="77777777" w:rsidR="0083050A" w:rsidRDefault="0083050A" w:rsidP="0083050A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Adres: ………………………………………..</w:t>
      </w:r>
    </w:p>
    <w:p w14:paraId="075CDDDE" w14:textId="77777777" w:rsidR="0083050A" w:rsidRDefault="0083050A" w:rsidP="0083050A">
      <w:pPr>
        <w:pStyle w:val="Bezodstpw"/>
        <w:spacing w:line="360" w:lineRule="auto"/>
        <w:jc w:val="center"/>
        <w:rPr>
          <w:rFonts w:ascii="Verdana" w:hAnsi="Verdana"/>
          <w:b/>
        </w:rPr>
      </w:pPr>
    </w:p>
    <w:p w14:paraId="10B83F41" w14:textId="4E1D4D95" w:rsidR="0083050A" w:rsidRDefault="0083050A" w:rsidP="0083050A">
      <w:pPr>
        <w:pStyle w:val="Bezodstpw"/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TABELA OCENY TECHNICZNEJ - defibrylatory</w:t>
      </w:r>
    </w:p>
    <w:p w14:paraId="075F5D89" w14:textId="77777777" w:rsidR="0083050A" w:rsidRDefault="0083050A" w:rsidP="0083050A">
      <w:pPr>
        <w:pStyle w:val="Bezodstpw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Dla postępowania pn.:</w:t>
      </w:r>
    </w:p>
    <w:p w14:paraId="7093F7BB" w14:textId="641CB5EC" w:rsidR="0083050A" w:rsidRDefault="0083050A" w:rsidP="0083050A">
      <w:pPr>
        <w:pStyle w:val="Bezodstpw"/>
        <w:spacing w:line="276" w:lineRule="auto"/>
        <w:jc w:val="center"/>
        <w:rPr>
          <w:rFonts w:ascii="Verdana" w:eastAsia="Times New Roman" w:hAnsi="Verdana"/>
          <w:b/>
          <w:lang w:eastAsia="pl-PL"/>
        </w:rPr>
      </w:pPr>
      <w:r>
        <w:rPr>
          <w:rFonts w:ascii="Verdana" w:eastAsia="Times New Roman" w:hAnsi="Verdana"/>
          <w:b/>
          <w:lang w:eastAsia="pl-PL"/>
        </w:rPr>
        <w:t>„Zakup dziesięciu ambulansów medycznych typu C oraz wyposażenia medycznego – 3 części"</w:t>
      </w:r>
      <w:r w:rsidR="004C6EBB">
        <w:rPr>
          <w:rFonts w:ascii="Verdana" w:eastAsia="Times New Roman" w:hAnsi="Verdana"/>
          <w:b/>
          <w:lang w:eastAsia="pl-PL"/>
        </w:rPr>
        <w:t xml:space="preserve"> – Część 3 – dostawa 8 defibrylatorów</w:t>
      </w:r>
    </w:p>
    <w:p w14:paraId="5400B168" w14:textId="77777777" w:rsidR="0083050A" w:rsidRDefault="0083050A" w:rsidP="0083050A">
      <w:pPr>
        <w:pStyle w:val="Bezodstpw"/>
        <w:spacing w:line="276" w:lineRule="auto"/>
        <w:jc w:val="center"/>
        <w:rPr>
          <w:rFonts w:ascii="Verdana" w:eastAsia="Times New Roman" w:hAnsi="Verdana"/>
          <w:b/>
          <w:lang w:eastAsia="pl-PL"/>
        </w:rPr>
      </w:pPr>
    </w:p>
    <w:p w14:paraId="7793AC27" w14:textId="436B46DB" w:rsidR="0083050A" w:rsidRDefault="0083050A" w:rsidP="0083050A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Oferujemy defibrylatory:</w:t>
      </w:r>
    </w:p>
    <w:p w14:paraId="774051AB" w14:textId="4435A9FC" w:rsidR="0083050A" w:rsidRDefault="0083050A" w:rsidP="0083050A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Producent …………………………………………………………………………………………………………………………………………….</w:t>
      </w:r>
    </w:p>
    <w:p w14:paraId="798A16E9" w14:textId="41EDC5AB" w:rsidR="0083050A" w:rsidRDefault="0083050A" w:rsidP="0083050A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Model oferowanego defibrylatora………………………………………………………………………………………………………..</w:t>
      </w:r>
    </w:p>
    <w:p w14:paraId="419DEA58" w14:textId="70E8E917" w:rsidR="0083050A" w:rsidRDefault="0083050A" w:rsidP="0083050A">
      <w:pPr>
        <w:pStyle w:val="Nagwek"/>
        <w:tabs>
          <w:tab w:val="left" w:pos="708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Rok produkcji defibrylatora………………………………………………………………………………………………………………...</w:t>
      </w:r>
    </w:p>
    <w:p w14:paraId="20892B6F" w14:textId="77777777" w:rsidR="0083050A" w:rsidRDefault="0083050A" w:rsidP="0083050A">
      <w:pPr>
        <w:spacing w:line="288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49540DFA" w14:textId="50F86E60" w:rsidR="0083050A" w:rsidRDefault="0083050A" w:rsidP="0083050A">
      <w:pPr>
        <w:spacing w:line="288" w:lineRule="auto"/>
        <w:jc w:val="center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 xml:space="preserve">Tabela minimalnych wymagań techniczno – użytkowych dla 1 szt. </w:t>
      </w:r>
      <w:r w:rsidR="00BD607F">
        <w:rPr>
          <w:rFonts w:ascii="Verdana" w:hAnsi="Verdana" w:cs="Verdana"/>
          <w:b/>
          <w:bCs/>
          <w:sz w:val="18"/>
          <w:szCs w:val="18"/>
          <w:u w:val="single"/>
        </w:rPr>
        <w:t>D</w:t>
      </w:r>
      <w:r>
        <w:rPr>
          <w:rFonts w:ascii="Verdana" w:hAnsi="Verdana" w:cs="Verdana"/>
          <w:b/>
          <w:bCs/>
          <w:sz w:val="18"/>
          <w:szCs w:val="18"/>
          <w:u w:val="single"/>
        </w:rPr>
        <w:t>efibrylatora</w:t>
      </w:r>
    </w:p>
    <w:p w14:paraId="3EF28FA9" w14:textId="77777777" w:rsidR="00BD607F" w:rsidRDefault="00BD607F" w:rsidP="0083050A">
      <w:pPr>
        <w:spacing w:line="288" w:lineRule="auto"/>
        <w:jc w:val="center"/>
        <w:rPr>
          <w:rFonts w:ascii="Verdana" w:hAnsi="Verdana" w:cs="Verdana"/>
          <w:b/>
          <w:bCs/>
          <w:sz w:val="18"/>
          <w:szCs w:val="18"/>
          <w:u w:val="single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35"/>
        <w:gridCol w:w="3697"/>
        <w:gridCol w:w="1406"/>
        <w:gridCol w:w="3650"/>
      </w:tblGrid>
      <w:tr w:rsidR="008F6436" w14:paraId="4ECE831E" w14:textId="36E7613E" w:rsidTr="008F6436">
        <w:trPr>
          <w:trHeight w:val="42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FA894" w14:textId="77777777" w:rsidR="008F6436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l.p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30D34" w14:textId="77777777" w:rsidR="008F6436" w:rsidRDefault="008F6436" w:rsidP="004C6EBB">
            <w:pPr>
              <w:widowControl w:val="0"/>
              <w:spacing w:line="276" w:lineRule="auto"/>
              <w:ind w:right="34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Minimalne parametry defibrylatora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D5FF" w14:textId="77777777" w:rsidR="008F6436" w:rsidRDefault="008F6436" w:rsidP="008F6436">
            <w:pPr>
              <w:widowControl w:val="0"/>
              <w:spacing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TAK/NIE*</w:t>
            </w:r>
          </w:p>
          <w:p w14:paraId="7AB9D821" w14:textId="1EC41F77" w:rsidR="008F6436" w:rsidRDefault="008F6436" w:rsidP="008F6436">
            <w:pPr>
              <w:widowControl w:val="0"/>
              <w:spacing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(określić)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1F6A" w14:textId="77777777" w:rsidR="008F6436" w:rsidRDefault="008F6436" w:rsidP="008F6436">
            <w:pPr>
              <w:widowControl w:val="0"/>
              <w:spacing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Oferowane parametry</w:t>
            </w:r>
          </w:p>
          <w:p w14:paraId="658A4D81" w14:textId="264A7776" w:rsidR="008F6436" w:rsidRDefault="008F6436" w:rsidP="008F6436">
            <w:pPr>
              <w:widowControl w:val="0"/>
              <w:spacing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(opisać)</w:t>
            </w:r>
          </w:p>
        </w:tc>
      </w:tr>
      <w:tr w:rsidR="008F6436" w14:paraId="661D7AF5" w14:textId="77777777" w:rsidTr="008F6436">
        <w:trPr>
          <w:trHeight w:val="42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86C2" w14:textId="1403053D" w:rsidR="008F6436" w:rsidRDefault="008F6436" w:rsidP="008F6436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48410" w14:textId="52ECAEC7" w:rsidR="008F6436" w:rsidRDefault="008F6436" w:rsidP="008F6436">
            <w:pPr>
              <w:widowControl w:val="0"/>
              <w:spacing w:line="276" w:lineRule="auto"/>
              <w:ind w:right="34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2D81" w14:textId="5CF9FC48" w:rsidR="008F6436" w:rsidRDefault="008F6436" w:rsidP="008F6436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DA9F3" w14:textId="7D5036E3" w:rsidR="008F6436" w:rsidRDefault="008F6436" w:rsidP="008F6436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8F6436" w14:paraId="68DD5136" w14:textId="05CC40BB" w:rsidTr="008F6436">
        <w:trPr>
          <w:trHeight w:val="32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90038" w14:textId="5511E38C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A5AE2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Urządzenie zgodne z normą PN EN 60601-2-4 lub równoważne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EDE0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0ADF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436" w14:paraId="3A883265" w14:textId="1F99C4B0" w:rsidTr="008F6436">
        <w:trPr>
          <w:trHeight w:val="32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17EE7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E282E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Klasa bezpieczeństwa IP minimum IP 44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5CCC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45D6" w14:textId="77777777" w:rsidR="008F6436" w:rsidRDefault="008F6436" w:rsidP="008F6436">
            <w:pPr>
              <w:widowControl w:val="0"/>
              <w:ind w:left="101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436" w14:paraId="3CFB7DCF" w14:textId="565321E5" w:rsidTr="008F6436">
        <w:trPr>
          <w:trHeight w:val="32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223B0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FC5FD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Waga urządzenia z akumulatorami max. 10,0 kg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6392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3165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436" w14:paraId="392DFC5C" w14:textId="429BDC6A" w:rsidTr="008F6436">
        <w:trPr>
          <w:trHeight w:val="32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654A1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96394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 xml:space="preserve">Urządzenie z codziennym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autotestem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 xml:space="preserve"> realizujący się bez konieczności włączania urządzenia i udziału użytkownika, z automatyczną informacją o konieczności wykonania przeglądu okresowego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6DBF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977C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436" w14:paraId="1DCBE68C" w14:textId="37B76D1A" w:rsidTr="008F6436">
        <w:trPr>
          <w:trHeight w:val="32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715DC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E7ADA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Wewnętrzną pamięć wszystkich rejestrowanych danych, umożliwia wprowadzanie danych identyfikacyjnych pacjentów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7A95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5E6E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436" w14:paraId="7E4750BF" w14:textId="6AF06F96" w:rsidTr="008F6436">
        <w:trPr>
          <w:trHeight w:val="32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4B2C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8A750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Wbudowana drukarka zasilaną taśmą szer. min. 90 mm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610A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AE3A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436" w14:paraId="1F0E9F45" w14:textId="0029ADBB" w:rsidTr="008F6436">
        <w:trPr>
          <w:trHeight w:val="32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1A16F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CC5C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 xml:space="preserve">Ekran kolorowy, odporny na uszkodzenia mechaniczne o przekątnej min. 8” </w:t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br/>
              <w:t>z wyświetlaniem min. 3-kanałowej prezentacji  – np. krzywych EKG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75B6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9D6C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436" w14:paraId="3ED28954" w14:textId="7E7624CE" w:rsidTr="008F6436">
        <w:trPr>
          <w:trHeight w:val="32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0D63D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7902B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 xml:space="preserve">Zasilanie przez dwa umieszczone w dedykowanych gniazdach w </w:t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lastRenderedPageBreak/>
              <w:t xml:space="preserve">obudowie defibrylatora akumulatory. </w:t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br/>
              <w:t>(w komplecie dostawy), z funkcją ich automatycznego przełączania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4B64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E2A2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436" w14:paraId="25DCA3D6" w14:textId="59F914A0" w:rsidTr="008F6436">
        <w:trPr>
          <w:trHeight w:val="32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B2ED6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0A0FC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W dostawie łącznie 4 akumulatory Li-ION bez tzw. efektu pamięci, ze wskaźnikiem naładowania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3420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2BAC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436" w14:paraId="5F647164" w14:textId="662D2E63" w:rsidTr="008F6436">
        <w:trPr>
          <w:trHeight w:val="32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1CBD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949E3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Czas ciągłego monitorowania na 1 akumulatorze min. 180 min.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66C9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820D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436" w14:paraId="0E0D023F" w14:textId="7ADF10C0" w:rsidTr="008F6436">
        <w:trPr>
          <w:trHeight w:val="32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EE0B2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EDE8F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Załączona ładowarka zewnętrzna do akumulatorów pozwalająca na pracę z siecią 230 V  i 12V DC, z min. 2 stanowiskami ładowania akumulatorów defibrylatora, z możliwością trwałego montażu w ambulansie. Przewód zasilający 12 V zakończony wtykiem IP – 34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CD1F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8278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436" w14:paraId="301337E7" w14:textId="41A42503" w:rsidTr="008F6436">
        <w:trPr>
          <w:trHeight w:val="32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ECC0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64EA0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Funkcja defibrylacji dwufazowej 5-360 J (regulacja płynna lub skokowa z min. 20 poziomami wyboru), synchroniczna i asynchroniczna, wyzwalana w trybie ręcznym, opcjonalnie AED, z automatycznym wpływem impedancji ciała pacjenta na parametry defibrylacji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7E32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C1C0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436" w14:paraId="4F5D4B37" w14:textId="3D11BE8A" w:rsidTr="008F6436">
        <w:trPr>
          <w:trHeight w:val="32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46258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DCA78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Urządzenie posiada wielorazowego użytku wielofunkcyjne „twarde  łyżki” (z regulacją poziomu energii , przyciskami ładowania i wyładowania), jak i możliwość zamiennego użytkowania samoprzylepnych jednorazowych elektrod  wielofunkcyjnych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D29A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7B2A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436" w14:paraId="6FC42830" w14:textId="3BCCDB97" w:rsidTr="008F6436">
        <w:trPr>
          <w:trHeight w:val="32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B4CEE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31908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Monitorowanie i wydruk 12-odprowadzeniowego EKG z automatyczną interpretacją dokonanego zapisu (uwzględniające wiek i płeć pacjenta), z możliwością teletransmisji zapisu EKG w Systemie Life-Net,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C961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07E6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436" w14:paraId="1F6F0DC5" w14:textId="5168C670" w:rsidTr="008F6436">
        <w:trPr>
          <w:trHeight w:val="32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6A2F0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5A16F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 xml:space="preserve">Moduł stymulacji przezskórnej z użyciem jednorazowych elektrod wielofunkcyjnych o zakresie energii 0-200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mA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, f= 40-150/min., w trybie sztywnym i na żądanie.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E9CE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A642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436" w14:paraId="06991130" w14:textId="5DA3F735" w:rsidTr="008F6436">
        <w:trPr>
          <w:trHeight w:val="32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00E5E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3F0C9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Z modułem NIBP, z ustawianym interwałem czasowym pomiarów. W dostawie standardowy mankiet dla dorosłych,  dodatkowo ponadwymiarowy, oraz dla dzieci.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8BDD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A629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436" w14:paraId="124983F5" w14:textId="68A66109" w:rsidTr="008F6436">
        <w:trPr>
          <w:trHeight w:val="32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51177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BD075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 xml:space="preserve">Z modułem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Sp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 xml:space="preserve"> O</w:t>
            </w:r>
            <w:r>
              <w:rPr>
                <w:rFonts w:ascii="Verdana" w:hAnsi="Verdana" w:cs="Verdana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 xml:space="preserve"> z prezentacją wizualno-akustyczną cyfrowo lub/i analogowo, z załączonymi końcówkami pomiarowymi (z kompatybilnymi  przewodami, gniazdami i wtykami) dla umownych zakresów: dla dorosłych, dla dzieci, dla niemowląt.</w:t>
            </w:r>
          </w:p>
          <w:p w14:paraId="48A8E442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3  kompletne czujnik palcowe dla dorosłych, dzieci i niemowląt (tj. 3x czujnik oraz 3x adapter lub przedłużacz jeśli jest w zestawie. Długość zestawu 2 m-2,4 m.)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675B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9712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436" w14:paraId="1873CE11" w14:textId="6FE17097" w:rsidTr="008F6436">
        <w:trPr>
          <w:trHeight w:val="32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80886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BD133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Z modułem etCO</w:t>
            </w:r>
            <w:r>
              <w:rPr>
                <w:rFonts w:ascii="Verdana" w:hAnsi="Verdana" w:cs="Verdana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 xml:space="preserve"> – z kompletem należnych akcesoriów (czujniki (1 opakowanie 25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szt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 xml:space="preserve">.,,na start” w </w:t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lastRenderedPageBreak/>
              <w:t>komplecie), kompatybilne przewody łączące, gniazda i wtyki).</w:t>
            </w:r>
          </w:p>
          <w:p w14:paraId="44A5672C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Metronom reanimacyjny z możliwością ustawień rytmu częstości uciśnięć dla pacjentów zaintubowanych i nie zaintubowanych, oraz dla dorosłych i dzieci.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99CA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5601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436" w14:paraId="2689A82C" w14:textId="195535AA" w:rsidTr="008F6436">
        <w:trPr>
          <w:trHeight w:val="32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515CE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lastRenderedPageBreak/>
              <w:t>20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23915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Dostawa musi obejmować:</w:t>
            </w:r>
          </w:p>
          <w:p w14:paraId="3124ABC7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-dedykowaną torbę transportową z 3 zasobnikami na akcesoria oraz uchwyt do transportu  urządzenia przy noszach pacjenta;</w:t>
            </w:r>
          </w:p>
          <w:p w14:paraId="66DEC044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-komplet łyżek pediatrycznych lub nakładki pediatryczne mocowane do łyżek twardych dla dorosłych;</w:t>
            </w:r>
          </w:p>
          <w:p w14:paraId="0A82DBC7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-przewód do elektrostymulacji przezskórnej;</w:t>
            </w:r>
          </w:p>
          <w:p w14:paraId="59362A6C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-komplet przewodów EKG (p. główny + wiązka p. przedsercowych);</w:t>
            </w:r>
          </w:p>
          <w:p w14:paraId="0E0655DE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-przewody zasilające ładowarkę dedykowane dla 230 V i 12 V DC;</w:t>
            </w:r>
          </w:p>
          <w:p w14:paraId="2418D6F4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 xml:space="preserve">-3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kpl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 xml:space="preserve">. samoprzylepnych jednorazowych elektrod wielofunkcyjnych dla dorosłych i 3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kpl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. dla dzieci;</w:t>
            </w:r>
          </w:p>
          <w:p w14:paraId="67FB160C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- uchwyty montażowe dla defibrylatora i ładowarki zewnętrznej do ścian ambulansu.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FA5F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714D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436" w14:paraId="4BA52F83" w14:textId="7A1FA02A" w:rsidTr="008F6436">
        <w:trPr>
          <w:trHeight w:val="32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56359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0C20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Dostawa obejmuje:</w:t>
            </w:r>
          </w:p>
          <w:p w14:paraId="07FAE359" w14:textId="77777777" w:rsidR="008F6436" w:rsidRDefault="008F6436" w:rsidP="004C6EBB">
            <w:pPr>
              <w:pStyle w:val="Akapitzlist"/>
              <w:widowControl w:val="0"/>
              <w:suppressAutoHyphens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- Paszport techniczny;</w:t>
            </w:r>
          </w:p>
          <w:p w14:paraId="3EF077E4" w14:textId="77777777" w:rsidR="008F6436" w:rsidRDefault="008F6436" w:rsidP="004C6EBB">
            <w:pPr>
              <w:pStyle w:val="Akapitzlist"/>
              <w:widowControl w:val="0"/>
              <w:suppressAutoHyphens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- Dokument udzielonej gwarancji z wpisanym nr seryjnym urządzenia oraz datą uruchomienia urządzenia;</w:t>
            </w:r>
          </w:p>
          <w:p w14:paraId="2A344643" w14:textId="77777777" w:rsidR="008F6436" w:rsidRDefault="008F6436" w:rsidP="004C6EBB">
            <w:pPr>
              <w:pStyle w:val="Akapitzlist"/>
              <w:widowControl w:val="0"/>
              <w:suppressAutoHyphens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- Instrukcję w języku polskim.</w:t>
            </w:r>
          </w:p>
          <w:p w14:paraId="3278496A" w14:textId="77777777" w:rsidR="008F6436" w:rsidRDefault="008F6436" w:rsidP="004C6EBB">
            <w:pPr>
              <w:pStyle w:val="Akapitzlist"/>
              <w:widowControl w:val="0"/>
              <w:ind w:left="101" w:right="176"/>
              <w:jc w:val="both"/>
              <w:rPr>
                <w:rFonts w:ascii="Verdana" w:eastAsiaTheme="minorHAnsi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4FF5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5B94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436" w14:paraId="2C4F01B5" w14:textId="67D5FB07" w:rsidTr="008F6436">
        <w:trPr>
          <w:trHeight w:val="419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CA3C9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1EC7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 xml:space="preserve">Gwarancja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min. 24 miesiące</w:t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 xml:space="preserve">, licząc od dnia dostawy przedmiotu zamówienia  Zamawiającemu, obejmująca defibrylator oraz akcesoria. </w:t>
            </w: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– PARAMETR PUNKTOWANY</w:t>
            </w:r>
          </w:p>
          <w:p w14:paraId="62DD7A14" w14:textId="77777777" w:rsidR="008F6436" w:rsidRDefault="008F6436" w:rsidP="004C6EBB">
            <w:pPr>
              <w:widowControl w:val="0"/>
              <w:tabs>
                <w:tab w:val="left" w:pos="185"/>
                <w:tab w:val="left" w:pos="680"/>
              </w:tabs>
              <w:ind w:right="57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24 m-ce-0 pkt</w:t>
            </w:r>
          </w:p>
          <w:p w14:paraId="65A13D89" w14:textId="77777777" w:rsidR="008F6436" w:rsidRDefault="008F6436" w:rsidP="004C6EBB">
            <w:pPr>
              <w:widowControl w:val="0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36 m-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cy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>- 10 pkt</w:t>
            </w:r>
          </w:p>
          <w:p w14:paraId="75C29CAA" w14:textId="77777777" w:rsidR="008F6436" w:rsidRDefault="008F6436" w:rsidP="004C6EBB">
            <w:pPr>
              <w:widowControl w:val="0"/>
              <w:ind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8"/>
                <w:szCs w:val="18"/>
                <w:lang w:eastAsia="en-US"/>
              </w:rPr>
              <w:t>48 m-</w:t>
            </w:r>
            <w:proofErr w:type="spellStart"/>
            <w:r>
              <w:rPr>
                <w:rFonts w:ascii="Verdana" w:hAnsi="Verdana" w:cs="Verdana"/>
                <w:i/>
                <w:iCs/>
                <w:color w:val="000000"/>
                <w:sz w:val="18"/>
                <w:szCs w:val="18"/>
                <w:lang w:eastAsia="en-US"/>
              </w:rPr>
              <w:t>cy</w:t>
            </w:r>
            <w:proofErr w:type="spellEnd"/>
            <w:r>
              <w:rPr>
                <w:rFonts w:ascii="Verdana" w:hAnsi="Verdana" w:cs="Verdana"/>
                <w:i/>
                <w:iCs/>
                <w:color w:val="000000"/>
                <w:sz w:val="18"/>
                <w:szCs w:val="18"/>
                <w:lang w:eastAsia="en-US"/>
              </w:rPr>
              <w:t>– 20 pkt</w:t>
            </w:r>
          </w:p>
          <w:p w14:paraId="4601152D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</w:pPr>
          </w:p>
          <w:p w14:paraId="32963D16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Gwarancja obejmuje m.in:</w:t>
            </w:r>
          </w:p>
          <w:p w14:paraId="48B23162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- bezpłatne przeglądy w okresie gwarancji zgodnie z wymogami określonymi przez producenta, bez dodatkowego wzywania ze strony Zamawiającego, </w:t>
            </w:r>
            <w:r>
              <w:rPr>
                <w:rFonts w:ascii="Verdana" w:hAnsi="Verdana"/>
                <w:sz w:val="18"/>
                <w:szCs w:val="18"/>
                <w:lang w:eastAsia="x-none"/>
              </w:rPr>
              <w:t>w obszarze działania Zamawiającego w miejscu wskazanym przez Zamawiającego,</w:t>
            </w:r>
          </w:p>
          <w:p w14:paraId="771D65DF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- przeglądy techniczne i konserwację tj. czynności, których zakres określają zalecenia producenta sprzętu, polegających na sprawdzeniu poprawności działania urządzenia, przeprowadzeniu koniecznych kalibracji, konserwacji prewencyjnych oraz wymianie części zużywalnych i potwierdzenie wykonania tych czynności 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lastRenderedPageBreak/>
              <w:t>protokołem serwisowym i wpisem do paszportu technicznego sprzętu medycznego (zgodnie z ustawą z dnia 7 kwietnia 2022 r. o wyrobach medycznych (Dz. U. z 2022 r. poz. 974)) oraz z zachowaniem ciągłości przeglądów),</w:t>
            </w:r>
          </w:p>
          <w:p w14:paraId="3DDA2415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wymiana / naprawa zgodnie z zapisami umowy,</w:t>
            </w:r>
          </w:p>
          <w:p w14:paraId="74A70E12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dojazd serwisu lub przesłanie sprzętu do serwisu,  robociznę itp.</w:t>
            </w:r>
          </w:p>
          <w:p w14:paraId="47D3BD94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inne koszty niezbędne do wykonania czynności gwarancyjnych.</w:t>
            </w:r>
          </w:p>
          <w:p w14:paraId="211CA61E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Minimum jeden bezpłatny przegląd techniczny  w ciągu roku na całość zamówienia w okresie trwania gwarancji plus jeden w ostatnim miesiącu trwania okresu  gwarancyjnego.</w:t>
            </w:r>
          </w:p>
          <w:p w14:paraId="631D8E16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Czas naprawy gwarancyjnej przedłuża okres gwarancji liczony od momentu zgłoszenia.</w:t>
            </w:r>
          </w:p>
          <w:p w14:paraId="7FE0BCE0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Minimalna liczba napraw powodująca wymianę urządzenia  na nowe 3-naprawy</w:t>
            </w:r>
          </w:p>
          <w:p w14:paraId="6BBAEA3D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Cs/>
                <w:sz w:val="18"/>
                <w:szCs w:val="18"/>
                <w:lang w:eastAsia="en-US"/>
              </w:rPr>
              <w:t>- Szkolenie obsługi z zakresu użytkowania oraz min. 1 osoby z działu technicznego – z obsługi technicznej urządzenia.</w:t>
            </w:r>
          </w:p>
          <w:p w14:paraId="7CB91294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Cs/>
                <w:sz w:val="18"/>
                <w:szCs w:val="18"/>
                <w:lang w:eastAsia="en-US"/>
              </w:rPr>
              <w:t>- Dostępność części zamiennych i opieka serwisowa przez min.7 lat po upływie gwarancji.</w:t>
            </w:r>
          </w:p>
          <w:p w14:paraId="630AB1AC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2194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3993" w14:textId="77777777" w:rsidR="008F6436" w:rsidRDefault="008F6436" w:rsidP="004C6EBB">
            <w:pPr>
              <w:widowControl w:val="0"/>
              <w:ind w:left="101" w:right="176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6436" w14:paraId="5D9EED72" w14:textId="4B0983CF" w:rsidTr="008F6436">
        <w:trPr>
          <w:trHeight w:val="32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137A5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lastRenderedPageBreak/>
              <w:t>23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0AC4D" w14:textId="77777777" w:rsidR="008F6436" w:rsidRDefault="008F6436" w:rsidP="004C6EBB">
            <w:pPr>
              <w:widowControl w:val="0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Czas reakcji od momentu zgłoszenia usterki max 24 godziny, wyłączając dni ustawowo wolne od pracy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C78A" w14:textId="77777777" w:rsidR="008F6436" w:rsidRDefault="008F6436" w:rsidP="004C6EBB">
            <w:pPr>
              <w:widowControl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7A02" w14:textId="77777777" w:rsidR="008F6436" w:rsidRDefault="008F6436" w:rsidP="004C6EBB">
            <w:pPr>
              <w:widowControl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8F6436" w14:paraId="59D31F91" w14:textId="2ADF8874" w:rsidTr="008F6436">
        <w:trPr>
          <w:trHeight w:val="325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828B3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9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E1F4A" w14:textId="77777777" w:rsidR="008F6436" w:rsidRDefault="008F6436" w:rsidP="004C6EBB">
            <w:pPr>
              <w:widowControl w:val="0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Maksymalny czas usunięcia usterki  od momentu zdiagnozowania , gdy zachodzi konieczność sprowadzania części zamiennych 10 dni wyłączając dni wolne ustawowo od pracy.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A0F3" w14:textId="77777777" w:rsidR="008F6436" w:rsidRDefault="008F6436" w:rsidP="004C6EBB">
            <w:pPr>
              <w:widowControl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88EE" w14:textId="77777777" w:rsidR="008F6436" w:rsidRDefault="008F6436" w:rsidP="004C6EBB">
            <w:pPr>
              <w:widowControl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8F6436" w14:paraId="6E007FAB" w14:textId="16CBF48B" w:rsidTr="008F6436">
        <w:trPr>
          <w:trHeight w:val="325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ED4AC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9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798B" w14:textId="77777777" w:rsidR="008F6436" w:rsidRDefault="008F6436" w:rsidP="004C6EBB">
            <w:pPr>
              <w:widowControl w:val="0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Czas naprawy gwarancyjnej przedłużający okres gwarancji liczony od momentu zgłoszenia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71D1" w14:textId="77777777" w:rsidR="008F6436" w:rsidRDefault="008F6436" w:rsidP="004C6EBB">
            <w:pPr>
              <w:widowControl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496C" w14:textId="77777777" w:rsidR="008F6436" w:rsidRDefault="008F6436" w:rsidP="004C6EBB">
            <w:pPr>
              <w:widowControl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8F6436" w14:paraId="01CE3B82" w14:textId="7A1A6E4D" w:rsidTr="008F6436">
        <w:trPr>
          <w:trHeight w:val="325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EA97A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9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6598" w14:textId="77777777" w:rsidR="008F6436" w:rsidRDefault="008F6436" w:rsidP="004C6EBB">
            <w:pPr>
              <w:widowControl w:val="0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Minimalna liczba napraw powodująca wymianę podzespołu na nowy 3- naprawy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0DBD" w14:textId="77777777" w:rsidR="008F6436" w:rsidRDefault="008F6436" w:rsidP="004C6EBB">
            <w:pPr>
              <w:widowControl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7768" w14:textId="77777777" w:rsidR="008F6436" w:rsidRDefault="008F6436" w:rsidP="004C6EBB">
            <w:pPr>
              <w:widowControl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8F6436" w14:paraId="04F357DE" w14:textId="0A1FBF4E" w:rsidTr="008F6436">
        <w:trPr>
          <w:trHeight w:val="325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DA20C" w14:textId="77777777" w:rsidR="008F6436" w:rsidRPr="00844FF0" w:rsidRDefault="008F6436" w:rsidP="004C6EBB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 w:rsidRPr="00844FF0"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9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E8C90" w14:textId="77777777" w:rsidR="008F6436" w:rsidRDefault="008F6436" w:rsidP="004C6EBB">
            <w:pPr>
              <w:widowControl w:val="0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Czas usunięcia usterki nie wymagający wymiany podzespołów nie wliczając godzin zawartych w dniach ustawowo wolnych max 48 godzin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65FF" w14:textId="77777777" w:rsidR="008F6436" w:rsidRDefault="008F6436" w:rsidP="004C6EBB">
            <w:pPr>
              <w:widowControl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C3BC" w14:textId="77777777" w:rsidR="008F6436" w:rsidRDefault="008F6436" w:rsidP="004C6EBB">
            <w:pPr>
              <w:widowControl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14:paraId="4CC2FB3D" w14:textId="343E7AEC" w:rsidR="0083050A" w:rsidRDefault="00E17466" w:rsidP="0083050A">
      <w:pPr>
        <w:jc w:val="both"/>
      </w:pPr>
      <w:r>
        <w:br w:type="textWrapping" w:clear="all"/>
      </w:r>
    </w:p>
    <w:p w14:paraId="3FC3046C" w14:textId="77777777" w:rsidR="005658C7" w:rsidRPr="005658C7" w:rsidRDefault="005658C7" w:rsidP="005658C7">
      <w:pPr>
        <w:jc w:val="both"/>
        <w:rPr>
          <w:rFonts w:ascii="Verdana" w:hAnsi="Verdana"/>
          <w:sz w:val="18"/>
          <w:szCs w:val="18"/>
        </w:rPr>
      </w:pPr>
      <w:r w:rsidRPr="005658C7">
        <w:rPr>
          <w:rFonts w:ascii="Verdana" w:hAnsi="Verdana"/>
          <w:b/>
          <w:bCs/>
          <w:sz w:val="18"/>
          <w:szCs w:val="18"/>
        </w:rPr>
        <w:t>Niniejszy plik powinien zostać opatrzony kwalifikowanym podpisem elektronicznym przez osobę(osoby) upoważnioną (upoważnione) do reprezentacji wykonawcy</w:t>
      </w:r>
    </w:p>
    <w:p w14:paraId="532CD53F" w14:textId="77777777" w:rsidR="00656400" w:rsidRDefault="00656400"/>
    <w:sectPr w:rsidR="00656400" w:rsidSect="005658C7">
      <w:footerReference w:type="default" r:id="rId8"/>
      <w:headerReference w:type="first" r:id="rId9"/>
      <w:pgSz w:w="11906" w:h="16838"/>
      <w:pgMar w:top="709" w:right="1417" w:bottom="851" w:left="1417" w:header="708" w:footer="3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8032E" w14:textId="77777777" w:rsidR="005658C7" w:rsidRDefault="005658C7" w:rsidP="005658C7">
      <w:r>
        <w:separator/>
      </w:r>
    </w:p>
  </w:endnote>
  <w:endnote w:type="continuationSeparator" w:id="0">
    <w:p w14:paraId="50D6AFCC" w14:textId="77777777" w:rsidR="005658C7" w:rsidRDefault="005658C7" w:rsidP="0056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423778"/>
      <w:docPartObj>
        <w:docPartGallery w:val="Page Numbers (Bottom of Page)"/>
        <w:docPartUnique/>
      </w:docPartObj>
    </w:sdtPr>
    <w:sdtContent>
      <w:p w14:paraId="3C0F773E" w14:textId="14D1233D" w:rsidR="005658C7" w:rsidRDefault="005658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F4439D7" w14:textId="77777777" w:rsidR="005658C7" w:rsidRDefault="005658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27910" w14:textId="77777777" w:rsidR="005658C7" w:rsidRDefault="005658C7" w:rsidP="005658C7">
      <w:r>
        <w:separator/>
      </w:r>
    </w:p>
  </w:footnote>
  <w:footnote w:type="continuationSeparator" w:id="0">
    <w:p w14:paraId="33E032C1" w14:textId="77777777" w:rsidR="005658C7" w:rsidRDefault="005658C7" w:rsidP="00565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8" w:type="dxa"/>
      <w:jc w:val="center"/>
      <w:tblLayout w:type="fixed"/>
      <w:tblLook w:val="04A0" w:firstRow="1" w:lastRow="0" w:firstColumn="1" w:lastColumn="0" w:noHBand="0" w:noVBand="1"/>
    </w:tblPr>
    <w:tblGrid>
      <w:gridCol w:w="1703"/>
      <w:gridCol w:w="2080"/>
      <w:gridCol w:w="898"/>
      <w:gridCol w:w="3262"/>
      <w:gridCol w:w="425"/>
      <w:gridCol w:w="1417"/>
      <w:gridCol w:w="1843"/>
    </w:tblGrid>
    <w:tr w:rsidR="005658C7" w14:paraId="0B0D9F04" w14:textId="77777777" w:rsidTr="005658C7">
      <w:trPr>
        <w:jc w:val="center"/>
      </w:trPr>
      <w:tc>
        <w:tcPr>
          <w:tcW w:w="1702" w:type="dxa"/>
          <w:vAlign w:val="center"/>
          <w:hideMark/>
        </w:tcPr>
        <w:p w14:paraId="019D4F44" w14:textId="10A58B83" w:rsidR="005658C7" w:rsidRDefault="005658C7">
          <w:pPr>
            <w:pStyle w:val="Nagwek"/>
            <w:rPr>
              <w:b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43E0CCBC" wp14:editId="5E341F67">
                <wp:extent cx="866140" cy="866140"/>
                <wp:effectExtent l="0" t="0" r="0" b="0"/>
                <wp:docPr id="9" name="Obraz 9" descr="Opis: logo_v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pis: logo_v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14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gridSpan w:val="2"/>
          <w:vAlign w:val="center"/>
        </w:tcPr>
        <w:p w14:paraId="0AF68AD2" w14:textId="77777777" w:rsidR="005658C7" w:rsidRDefault="005658C7">
          <w:pPr>
            <w:pStyle w:val="Tytu"/>
            <w:ind w:left="-107" w:right="-101"/>
            <w:rPr>
              <w:b w:val="0"/>
              <w:i/>
              <w:color w:val="003399"/>
              <w:sz w:val="22"/>
            </w:rPr>
          </w:pPr>
        </w:p>
        <w:p w14:paraId="2F3846B9" w14:textId="77777777" w:rsidR="005658C7" w:rsidRDefault="005658C7">
          <w:pPr>
            <w:pStyle w:val="Tytu"/>
            <w:ind w:left="-107" w:right="-101"/>
            <w:rPr>
              <w:b w:val="0"/>
              <w:i/>
              <w:color w:val="003399"/>
              <w:sz w:val="22"/>
            </w:rPr>
          </w:pPr>
          <w:r>
            <w:rPr>
              <w:color w:val="003399"/>
              <w:sz w:val="22"/>
            </w:rPr>
            <w:t>POGOTOWIE RATUNKOWE</w:t>
          </w:r>
        </w:p>
        <w:p w14:paraId="1CFE0189" w14:textId="77777777" w:rsidR="005658C7" w:rsidRDefault="005658C7">
          <w:pPr>
            <w:pStyle w:val="Tytu"/>
            <w:rPr>
              <w:b w:val="0"/>
              <w:i/>
              <w:color w:val="003399"/>
              <w:sz w:val="22"/>
            </w:rPr>
          </w:pPr>
          <w:r>
            <w:rPr>
              <w:color w:val="003399"/>
              <w:sz w:val="22"/>
            </w:rPr>
            <w:t>WE WROCŁAWIU</w:t>
          </w:r>
        </w:p>
        <w:p w14:paraId="578DAA31" w14:textId="77777777" w:rsidR="005658C7" w:rsidRDefault="005658C7">
          <w:pPr>
            <w:pStyle w:val="Tytu"/>
            <w:rPr>
              <w:rFonts w:ascii="Calibri" w:hAnsi="Calibri"/>
              <w:b w:val="0"/>
              <w:i/>
              <w:color w:val="003399"/>
              <w:sz w:val="18"/>
            </w:rPr>
          </w:pPr>
          <w:r>
            <w:rPr>
              <w:rFonts w:ascii="Calibri" w:hAnsi="Calibri"/>
              <w:color w:val="003399"/>
              <w:sz w:val="18"/>
            </w:rPr>
            <w:t>ul. Ziębicka 34-38 50-507 Wrocław</w:t>
          </w:r>
        </w:p>
        <w:p w14:paraId="70C6EB95" w14:textId="77777777" w:rsidR="005658C7" w:rsidRDefault="005658C7">
          <w:pPr>
            <w:pStyle w:val="Nagwek"/>
            <w:jc w:val="center"/>
            <w:rPr>
              <w:b/>
              <w:color w:val="003399"/>
            </w:rPr>
          </w:pPr>
        </w:p>
      </w:tc>
      <w:tc>
        <w:tcPr>
          <w:tcW w:w="3261" w:type="dxa"/>
          <w:vAlign w:val="center"/>
        </w:tcPr>
        <w:p w14:paraId="1A48AA1E" w14:textId="77777777" w:rsidR="005658C7" w:rsidRDefault="005658C7">
          <w:pPr>
            <w:pStyle w:val="Tytu"/>
            <w:rPr>
              <w:b w:val="0"/>
              <w:noProof/>
            </w:rPr>
          </w:pPr>
        </w:p>
        <w:p w14:paraId="70B30575" w14:textId="1C7CA90B" w:rsidR="005658C7" w:rsidRDefault="005658C7">
          <w:pPr>
            <w:tabs>
              <w:tab w:val="left" w:pos="2020"/>
            </w:tabs>
            <w:jc w:val="center"/>
            <w:rPr>
              <w:b/>
              <w:sz w:val="14"/>
              <w:szCs w:val="16"/>
            </w:rPr>
          </w:pPr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8240" behindDoc="1" locked="0" layoutInCell="1" allowOverlap="1" wp14:anchorId="3A96BD16" wp14:editId="69E1F4E3">
                <wp:simplePos x="0" y="0"/>
                <wp:positionH relativeFrom="margin">
                  <wp:posOffset>730250</wp:posOffset>
                </wp:positionH>
                <wp:positionV relativeFrom="margin">
                  <wp:posOffset>233045</wp:posOffset>
                </wp:positionV>
                <wp:extent cx="1268730" cy="466725"/>
                <wp:effectExtent l="0" t="0" r="7620" b="9525"/>
                <wp:wrapSquare wrapText="bothSides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73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i/>
              <w:noProof/>
              <w:sz w:val="20"/>
              <w:szCs w:val="20"/>
              <w14:ligatures w14:val="standardContextual"/>
            </w:rPr>
            <w:drawing>
              <wp:inline distT="0" distB="0" distL="0" distR="0" wp14:anchorId="221B16AD" wp14:editId="242CF119">
                <wp:extent cx="590550" cy="873760"/>
                <wp:effectExtent l="0" t="0" r="0" b="2540"/>
                <wp:docPr id="8" name="Obraz 8" descr="Opis: znak cert pcc 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pis: znak cert pcc 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gridSpan w:val="2"/>
          <w:vAlign w:val="center"/>
          <w:hideMark/>
        </w:tcPr>
        <w:p w14:paraId="1EE53B10" w14:textId="6CD43F77" w:rsidR="005658C7" w:rsidRDefault="005658C7">
          <w:pPr>
            <w:pStyle w:val="Nagwek"/>
            <w:jc w:val="center"/>
            <w:rPr>
              <w:b/>
              <w:sz w:val="14"/>
              <w:szCs w:val="16"/>
            </w:rPr>
          </w:pPr>
          <w:r>
            <w:rPr>
              <w:b/>
              <w:noProof/>
              <w:sz w:val="14"/>
              <w:szCs w:val="16"/>
              <w14:ligatures w14:val="standardContextual"/>
            </w:rPr>
            <w:drawing>
              <wp:inline distT="0" distB="0" distL="0" distR="0" wp14:anchorId="04419E2D" wp14:editId="74BF6009">
                <wp:extent cx="534035" cy="46101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179B78" w14:textId="77777777" w:rsidR="005658C7" w:rsidRDefault="005658C7">
          <w:pPr>
            <w:pStyle w:val="Nagwek"/>
            <w:jc w:val="center"/>
            <w:rPr>
              <w:b/>
              <w:sz w:val="14"/>
            </w:rPr>
          </w:pPr>
          <w:r>
            <w:rPr>
              <w:b/>
              <w:sz w:val="14"/>
              <w:szCs w:val="16"/>
            </w:rPr>
            <w:t>UNIA EUROPEJSKA</w:t>
          </w:r>
          <w:r>
            <w:rPr>
              <w:b/>
              <w:sz w:val="14"/>
            </w:rPr>
            <w:t xml:space="preserve"> </w:t>
          </w:r>
        </w:p>
        <w:p w14:paraId="33B42F73" w14:textId="77777777" w:rsidR="005658C7" w:rsidRDefault="005658C7">
          <w:pPr>
            <w:pStyle w:val="Nagwek"/>
            <w:ind w:right="-105" w:hanging="100"/>
            <w:jc w:val="center"/>
            <w:rPr>
              <w:b/>
              <w:sz w:val="14"/>
            </w:rPr>
          </w:pPr>
          <w:r>
            <w:rPr>
              <w:b/>
              <w:sz w:val="14"/>
            </w:rPr>
            <w:t>EUROPEJSKI FUNDUSZ</w:t>
          </w:r>
        </w:p>
        <w:p w14:paraId="228D14FD" w14:textId="77777777" w:rsidR="005658C7" w:rsidRDefault="005658C7">
          <w:pPr>
            <w:pStyle w:val="Nagwek"/>
            <w:jc w:val="center"/>
            <w:rPr>
              <w:b/>
            </w:rPr>
          </w:pPr>
          <w:r>
            <w:rPr>
              <w:b/>
              <w:sz w:val="14"/>
            </w:rPr>
            <w:t>ROZWOJU REGIONALNEGO</w:t>
          </w:r>
        </w:p>
      </w:tc>
      <w:tc>
        <w:tcPr>
          <w:tcW w:w="1843" w:type="dxa"/>
          <w:vAlign w:val="center"/>
          <w:hideMark/>
        </w:tcPr>
        <w:p w14:paraId="196AE8F5" w14:textId="6506102C" w:rsidR="005658C7" w:rsidRDefault="005658C7">
          <w:pPr>
            <w:pStyle w:val="Tytu"/>
            <w:ind w:left="-104" w:right="-102"/>
            <w:rPr>
              <w:b w:val="0"/>
              <w:noProof/>
            </w:rPr>
          </w:pPr>
          <w:r>
            <w:rPr>
              <w:b w:val="0"/>
              <w:noProof/>
              <w14:ligatures w14:val="standardContextual"/>
            </w:rPr>
            <w:drawing>
              <wp:inline distT="0" distB="0" distL="0" distR="0" wp14:anchorId="645DE815" wp14:editId="525D6C06">
                <wp:extent cx="550545" cy="534035"/>
                <wp:effectExtent l="0" t="0" r="190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54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77B793" w14:textId="77777777" w:rsidR="005658C7" w:rsidRDefault="005658C7">
          <w:pPr>
            <w:tabs>
              <w:tab w:val="left" w:pos="2020"/>
            </w:tabs>
            <w:ind w:left="-108" w:right="-108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INFRASTRUKTURA I ŚRODOWISKO</w:t>
          </w:r>
        </w:p>
        <w:p w14:paraId="4CCA6190" w14:textId="77777777" w:rsidR="005658C7" w:rsidRDefault="005658C7">
          <w:pPr>
            <w:pStyle w:val="Nagwek"/>
            <w:jc w:val="center"/>
            <w:rPr>
              <w:b/>
            </w:rPr>
          </w:pPr>
          <w:r>
            <w:rPr>
              <w:b/>
              <w:sz w:val="14"/>
              <w:szCs w:val="14"/>
            </w:rPr>
            <w:t>Narodowa Strategia Spójności</w:t>
          </w:r>
        </w:p>
      </w:tc>
    </w:tr>
    <w:tr w:rsidR="005658C7" w14:paraId="4775B735" w14:textId="77777777" w:rsidTr="005658C7">
      <w:trPr>
        <w:jc w:val="center"/>
      </w:trPr>
      <w:tc>
        <w:tcPr>
          <w:tcW w:w="11625" w:type="dxa"/>
          <w:gridSpan w:val="7"/>
        </w:tcPr>
        <w:p w14:paraId="249A1DCB" w14:textId="77777777" w:rsidR="005658C7" w:rsidRDefault="005658C7">
          <w:pPr>
            <w:pStyle w:val="Podtytu"/>
            <w:rPr>
              <w:rFonts w:ascii="Calibri" w:hAnsi="Calibri"/>
              <w:i/>
              <w:color w:val="365F91"/>
              <w:sz w:val="16"/>
              <w:szCs w:val="16"/>
            </w:rPr>
          </w:pPr>
        </w:p>
      </w:tc>
    </w:tr>
    <w:tr w:rsidR="005658C7" w14:paraId="7759D607" w14:textId="77777777" w:rsidTr="005658C7">
      <w:trPr>
        <w:trHeight w:val="180"/>
        <w:jc w:val="center"/>
      </w:trPr>
      <w:tc>
        <w:tcPr>
          <w:tcW w:w="3781" w:type="dxa"/>
          <w:gridSpan w:val="2"/>
          <w:shd w:val="clear" w:color="auto" w:fill="95B3D7"/>
          <w:vAlign w:val="center"/>
          <w:hideMark/>
        </w:tcPr>
        <w:p w14:paraId="0A024A84" w14:textId="77777777" w:rsidR="005658C7" w:rsidRDefault="005658C7">
          <w:pPr>
            <w:pStyle w:val="NormalnyWeb"/>
            <w:spacing w:before="0" w:after="0"/>
            <w:jc w:val="center"/>
            <w:rPr>
              <w:rFonts w:ascii="Calibri" w:eastAsia="Calibri" w:hAnsi="Calibri"/>
              <w:b/>
              <w:color w:val="FFFFFF"/>
              <w:sz w:val="16"/>
              <w:szCs w:val="16"/>
              <w:lang w:val="en-US"/>
            </w:rPr>
          </w:pPr>
          <w:hyperlink r:id="rId6" w:history="1">
            <w:r>
              <w:rPr>
                <w:rStyle w:val="Hipercze"/>
                <w:rFonts w:ascii="Calibri" w:eastAsia="Calibri" w:hAnsi="Calibri"/>
                <w:color w:val="FFFFFF"/>
                <w:sz w:val="16"/>
                <w:szCs w:val="16"/>
                <w:lang w:val="en-US"/>
              </w:rPr>
              <w:t>sekretariat@pogotowie-ratunkowe.pl</w:t>
            </w:r>
          </w:hyperlink>
        </w:p>
      </w:tc>
      <w:tc>
        <w:tcPr>
          <w:tcW w:w="4584" w:type="dxa"/>
          <w:gridSpan w:val="3"/>
          <w:shd w:val="clear" w:color="auto" w:fill="95B3D7"/>
          <w:vAlign w:val="center"/>
          <w:hideMark/>
        </w:tcPr>
        <w:p w14:paraId="14F170C3" w14:textId="77777777" w:rsidR="005658C7" w:rsidRDefault="005658C7">
          <w:pPr>
            <w:pStyle w:val="NormalnyWeb"/>
            <w:spacing w:before="0" w:after="0"/>
            <w:jc w:val="center"/>
            <w:rPr>
              <w:rFonts w:ascii="Calibri" w:hAnsi="Calibri"/>
              <w:color w:val="FFFFFF"/>
              <w:sz w:val="14"/>
              <w:szCs w:val="14"/>
              <w:lang w:val="en-US"/>
            </w:rPr>
          </w:pPr>
          <w:r>
            <w:rPr>
              <w:rFonts w:ascii="Calibri" w:hAnsi="Calibri"/>
              <w:b/>
              <w:color w:val="FFFFFF"/>
              <w:sz w:val="16"/>
              <w:szCs w:val="16"/>
              <w:lang w:val="en-US"/>
            </w:rPr>
            <w:t xml:space="preserve">tel.  71 77 31 400 </w:t>
          </w:r>
          <w:r>
            <w:rPr>
              <w:rFonts w:ascii="Calibri" w:eastAsia="Calibri" w:hAnsi="Calibri"/>
              <w:b/>
              <w:color w:val="FFFFFF"/>
              <w:sz w:val="16"/>
              <w:szCs w:val="16"/>
              <w:lang w:val="en-US"/>
            </w:rPr>
            <w:t>fax. 71 367 66 18</w:t>
          </w:r>
        </w:p>
      </w:tc>
      <w:tc>
        <w:tcPr>
          <w:tcW w:w="3260" w:type="dxa"/>
          <w:gridSpan w:val="2"/>
          <w:shd w:val="clear" w:color="auto" w:fill="95B3D7"/>
          <w:vAlign w:val="center"/>
          <w:hideMark/>
        </w:tcPr>
        <w:p w14:paraId="0D7FB545" w14:textId="77777777" w:rsidR="005658C7" w:rsidRDefault="005658C7">
          <w:pPr>
            <w:pStyle w:val="NormalnyWeb"/>
            <w:spacing w:before="0" w:after="0"/>
            <w:ind w:firstLine="598"/>
            <w:rPr>
              <w:rFonts w:ascii="Calibri" w:hAnsi="Calibri"/>
              <w:color w:val="FFFFFF"/>
              <w:sz w:val="14"/>
              <w:szCs w:val="14"/>
              <w:lang w:val="en-US"/>
            </w:rPr>
          </w:pPr>
          <w:r>
            <w:rPr>
              <w:rFonts w:ascii="Calibri" w:eastAsia="Calibri" w:hAnsi="Calibri"/>
              <w:b/>
              <w:color w:val="FFFFFF"/>
              <w:sz w:val="16"/>
              <w:szCs w:val="16"/>
              <w:lang w:val="en-US"/>
            </w:rPr>
            <w:t>NIP: 899-23-54-460</w:t>
          </w:r>
        </w:p>
      </w:tc>
    </w:tr>
    <w:tr w:rsidR="005658C7" w14:paraId="0EF6B000" w14:textId="77777777" w:rsidTr="005658C7">
      <w:trPr>
        <w:trHeight w:val="180"/>
        <w:jc w:val="center"/>
      </w:trPr>
      <w:tc>
        <w:tcPr>
          <w:tcW w:w="3781" w:type="dxa"/>
          <w:gridSpan w:val="2"/>
          <w:shd w:val="clear" w:color="auto" w:fill="95B3D7"/>
          <w:vAlign w:val="center"/>
          <w:hideMark/>
        </w:tcPr>
        <w:p w14:paraId="4C74D310" w14:textId="77777777" w:rsidR="005658C7" w:rsidRDefault="005658C7">
          <w:pPr>
            <w:pStyle w:val="NormalnyWeb"/>
            <w:spacing w:before="0" w:after="0"/>
            <w:jc w:val="center"/>
            <w:rPr>
              <w:rFonts w:ascii="Calibri" w:hAnsi="Calibri"/>
              <w:b/>
              <w:i/>
              <w:color w:val="FFFFFF"/>
              <w:sz w:val="16"/>
              <w:szCs w:val="16"/>
            </w:rPr>
          </w:pPr>
          <w:r>
            <w:rPr>
              <w:rFonts w:ascii="Calibri" w:eastAsia="Calibri" w:hAnsi="Calibri"/>
              <w:b/>
              <w:iCs/>
              <w:color w:val="FFFFFF"/>
              <w:sz w:val="16"/>
              <w:szCs w:val="16"/>
              <w:lang w:val="en-US"/>
            </w:rPr>
            <w:t>www.pogotowie-ratunkowe.pl</w:t>
          </w:r>
        </w:p>
      </w:tc>
      <w:tc>
        <w:tcPr>
          <w:tcW w:w="4584" w:type="dxa"/>
          <w:gridSpan w:val="3"/>
          <w:shd w:val="clear" w:color="auto" w:fill="95B3D7"/>
          <w:vAlign w:val="center"/>
          <w:hideMark/>
        </w:tcPr>
        <w:p w14:paraId="38D1E4DB" w14:textId="77777777" w:rsidR="005658C7" w:rsidRDefault="005658C7">
          <w:pPr>
            <w:pStyle w:val="NormalnyWeb"/>
            <w:spacing w:before="0" w:after="0"/>
            <w:jc w:val="center"/>
            <w:rPr>
              <w:rFonts w:ascii="Calibri" w:hAnsi="Calibri"/>
              <w:b/>
              <w:i/>
              <w:color w:val="FFFFFF"/>
              <w:sz w:val="16"/>
              <w:szCs w:val="16"/>
            </w:rPr>
          </w:pPr>
          <w:r>
            <w:rPr>
              <w:rFonts w:ascii="Calibri" w:hAnsi="Calibri"/>
              <w:b/>
              <w:color w:val="FFFFFF"/>
              <w:sz w:val="16"/>
              <w:szCs w:val="16"/>
            </w:rPr>
            <w:t>tel. kom. 506 374 965 , 506 734 979, wew. 400, 500</w:t>
          </w:r>
        </w:p>
      </w:tc>
      <w:tc>
        <w:tcPr>
          <w:tcW w:w="3260" w:type="dxa"/>
          <w:gridSpan w:val="2"/>
          <w:shd w:val="clear" w:color="auto" w:fill="95B3D7"/>
          <w:vAlign w:val="center"/>
          <w:hideMark/>
        </w:tcPr>
        <w:p w14:paraId="67456971" w14:textId="77777777" w:rsidR="005658C7" w:rsidRDefault="005658C7">
          <w:pPr>
            <w:pStyle w:val="NormalnyWeb"/>
            <w:spacing w:before="0" w:after="0"/>
            <w:ind w:firstLine="598"/>
            <w:rPr>
              <w:rFonts w:ascii="Calibri" w:hAnsi="Calibri"/>
              <w:b/>
              <w:color w:val="FFFFFF"/>
              <w:sz w:val="16"/>
              <w:szCs w:val="16"/>
            </w:rPr>
          </w:pPr>
          <w:r>
            <w:rPr>
              <w:rFonts w:ascii="Calibri" w:eastAsia="Calibri" w:hAnsi="Calibri"/>
              <w:b/>
              <w:color w:val="FFFFFF"/>
              <w:sz w:val="16"/>
              <w:szCs w:val="16"/>
            </w:rPr>
            <w:t xml:space="preserve">REGON:  </w:t>
          </w:r>
          <w:r>
            <w:rPr>
              <w:rFonts w:ascii="Calibri" w:hAnsi="Calibri"/>
              <w:b/>
              <w:color w:val="FFFFFF"/>
              <w:sz w:val="16"/>
              <w:szCs w:val="16"/>
            </w:rPr>
            <w:t>932207142</w:t>
          </w:r>
        </w:p>
        <w:p w14:paraId="6CEB039E" w14:textId="77777777" w:rsidR="005658C7" w:rsidRDefault="005658C7">
          <w:pPr>
            <w:pStyle w:val="NormalnyWeb"/>
            <w:spacing w:before="0" w:after="0"/>
            <w:ind w:firstLine="598"/>
            <w:rPr>
              <w:rFonts w:ascii="Calibri" w:hAnsi="Calibri"/>
              <w:b/>
              <w:i/>
              <w:color w:val="FFFFFF"/>
              <w:sz w:val="16"/>
              <w:szCs w:val="16"/>
            </w:rPr>
          </w:pPr>
          <w:r>
            <w:rPr>
              <w:rFonts w:ascii="Calibri" w:eastAsia="Calibri" w:hAnsi="Calibri"/>
              <w:b/>
              <w:color w:val="FFFFFF"/>
              <w:sz w:val="16"/>
              <w:szCs w:val="16"/>
            </w:rPr>
            <w:t>KRS: 0000207618</w:t>
          </w:r>
        </w:p>
      </w:tc>
    </w:tr>
  </w:tbl>
  <w:p w14:paraId="600B38C3" w14:textId="77777777" w:rsidR="005658C7" w:rsidRDefault="005658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13"/>
    <w:rsid w:val="000C1A1D"/>
    <w:rsid w:val="00112DB9"/>
    <w:rsid w:val="004C6EBB"/>
    <w:rsid w:val="00560849"/>
    <w:rsid w:val="005658C7"/>
    <w:rsid w:val="006549B7"/>
    <w:rsid w:val="00656400"/>
    <w:rsid w:val="0083050A"/>
    <w:rsid w:val="008F6436"/>
    <w:rsid w:val="00A66536"/>
    <w:rsid w:val="00BD607F"/>
    <w:rsid w:val="00D12339"/>
    <w:rsid w:val="00D1442C"/>
    <w:rsid w:val="00E17466"/>
    <w:rsid w:val="00FC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BF8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5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83050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050A"/>
    <w:pPr>
      <w:ind w:left="720"/>
    </w:pPr>
    <w:rPr>
      <w:kern w:val="2"/>
      <w14:ligatures w14:val="standardContextual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830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3050A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styleId="Bezodstpw">
    <w:name w:val="No Spacing"/>
    <w:qFormat/>
    <w:rsid w:val="0083050A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05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050A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5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8C7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5658C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5658C7"/>
    <w:pPr>
      <w:spacing w:before="100" w:after="100"/>
      <w:jc w:val="both"/>
    </w:pPr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5658C7"/>
    <w:pPr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qFormat/>
    <w:rsid w:val="005658C7"/>
    <w:rPr>
      <w:rFonts w:ascii="Calibri Light" w:eastAsia="Times New Roman" w:hAnsi="Calibri Light" w:cs="Calibri Light"/>
      <w:b/>
      <w:bCs/>
      <w:sz w:val="32"/>
      <w:szCs w:val="32"/>
      <w:lang w:eastAsia="pl-PL"/>
      <w14:ligatures w14:val="none"/>
    </w:rPr>
  </w:style>
  <w:style w:type="paragraph" w:styleId="Podtytu">
    <w:name w:val="Subtitle"/>
    <w:basedOn w:val="Normalny"/>
    <w:link w:val="PodtytuZnak"/>
    <w:uiPriority w:val="99"/>
    <w:qFormat/>
    <w:rsid w:val="005658C7"/>
    <w:pPr>
      <w:jc w:val="center"/>
    </w:pPr>
    <w:rPr>
      <w:rFonts w:ascii="Calibri Light" w:hAnsi="Calibri Light" w:cs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5658C7"/>
    <w:rPr>
      <w:rFonts w:ascii="Calibri Light" w:eastAsia="Times New Roman" w:hAnsi="Calibri Light" w:cs="Calibri Light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8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8C7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5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83050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050A"/>
    <w:pPr>
      <w:ind w:left="720"/>
    </w:pPr>
    <w:rPr>
      <w:kern w:val="2"/>
      <w14:ligatures w14:val="standardContextual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830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3050A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styleId="Bezodstpw">
    <w:name w:val="No Spacing"/>
    <w:qFormat/>
    <w:rsid w:val="0083050A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05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050A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5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8C7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5658C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5658C7"/>
    <w:pPr>
      <w:spacing w:before="100" w:after="100"/>
      <w:jc w:val="both"/>
    </w:pPr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5658C7"/>
    <w:pPr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qFormat/>
    <w:rsid w:val="005658C7"/>
    <w:rPr>
      <w:rFonts w:ascii="Calibri Light" w:eastAsia="Times New Roman" w:hAnsi="Calibri Light" w:cs="Calibri Light"/>
      <w:b/>
      <w:bCs/>
      <w:sz w:val="32"/>
      <w:szCs w:val="32"/>
      <w:lang w:eastAsia="pl-PL"/>
      <w14:ligatures w14:val="none"/>
    </w:rPr>
  </w:style>
  <w:style w:type="paragraph" w:styleId="Podtytu">
    <w:name w:val="Subtitle"/>
    <w:basedOn w:val="Normalny"/>
    <w:link w:val="PodtytuZnak"/>
    <w:uiPriority w:val="99"/>
    <w:qFormat/>
    <w:rsid w:val="005658C7"/>
    <w:pPr>
      <w:jc w:val="center"/>
    </w:pPr>
    <w:rPr>
      <w:rFonts w:ascii="Calibri Light" w:hAnsi="Calibri Light" w:cs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5658C7"/>
    <w:rPr>
      <w:rFonts w:ascii="Calibri Light" w:eastAsia="Times New Roman" w:hAnsi="Calibri Light" w:cs="Calibri Light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8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8C7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sekretariat@pogotowie-ratunkowe.pl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00EB-7E10-4645-8947-90460F47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982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Kołt-Kunecka</dc:creator>
  <cp:keywords/>
  <dc:description/>
  <cp:lastModifiedBy>Karolina Nykiel</cp:lastModifiedBy>
  <cp:revision>7</cp:revision>
  <dcterms:created xsi:type="dcterms:W3CDTF">2023-10-30T10:49:00Z</dcterms:created>
  <dcterms:modified xsi:type="dcterms:W3CDTF">2023-10-30T11:25:00Z</dcterms:modified>
</cp:coreProperties>
</file>