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C979" w14:textId="170C9AE9" w:rsidR="0083050A" w:rsidRDefault="0083050A" w:rsidP="0083050A">
      <w:pPr>
        <w:spacing w:line="48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ZP/PR/18/2023</w:t>
      </w:r>
      <w:r>
        <w:rPr>
          <w:rFonts w:ascii="Verdana" w:hAnsi="Verdana"/>
          <w:b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Załącznik nr 3</w:t>
      </w:r>
    </w:p>
    <w:p w14:paraId="51022BCE" w14:textId="77777777" w:rsidR="0083050A" w:rsidRDefault="0083050A" w:rsidP="0083050A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Wykonawca:</w:t>
      </w:r>
    </w:p>
    <w:p w14:paraId="5B57599F" w14:textId="77777777" w:rsidR="0083050A" w:rsidRDefault="0083050A" w:rsidP="0083050A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41161628" w14:textId="77777777" w:rsidR="0083050A" w:rsidRDefault="0083050A" w:rsidP="0083050A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075CDDDE" w14:textId="77777777" w:rsidR="0083050A" w:rsidRDefault="0083050A" w:rsidP="0083050A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10B83F41" w14:textId="4E1D4D95" w:rsidR="0083050A" w:rsidRDefault="0083050A" w:rsidP="0083050A">
      <w:pPr>
        <w:pStyle w:val="Bezodstpw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OCENY TECHNICZNEJ - defibrylatory</w:t>
      </w:r>
    </w:p>
    <w:p w14:paraId="075F5D89" w14:textId="77777777" w:rsidR="0083050A" w:rsidRDefault="0083050A" w:rsidP="0083050A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7093F7BB" w14:textId="641CB5EC" w:rsidR="0083050A" w:rsidRDefault="0083050A" w:rsidP="0083050A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„Zakup dziesięciu ambulansów medycznych typu C oraz wyposażenia medycznego – 3 części"</w:t>
      </w:r>
      <w:r w:rsidR="004C6EBB">
        <w:rPr>
          <w:rFonts w:ascii="Verdana" w:eastAsia="Times New Roman" w:hAnsi="Verdana"/>
          <w:b/>
          <w:lang w:eastAsia="pl-PL"/>
        </w:rPr>
        <w:t xml:space="preserve"> – Część 3 – dostawa 8 defibrylatorów</w:t>
      </w:r>
    </w:p>
    <w:p w14:paraId="5400B168" w14:textId="77777777" w:rsidR="0083050A" w:rsidRDefault="0083050A" w:rsidP="0083050A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</w:p>
    <w:p w14:paraId="7793AC27" w14:textId="436B46DB" w:rsidR="0083050A" w:rsidRDefault="0083050A" w:rsidP="0083050A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defibrylatory:</w:t>
      </w:r>
    </w:p>
    <w:p w14:paraId="774051AB" w14:textId="4435A9FC" w:rsidR="0083050A" w:rsidRDefault="0083050A" w:rsidP="0083050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Producent …………………………………………………………………………………………………………………………………………….</w:t>
      </w:r>
    </w:p>
    <w:p w14:paraId="798A16E9" w14:textId="41EDC5AB" w:rsidR="0083050A" w:rsidRDefault="0083050A" w:rsidP="0083050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 oferowanego defibrylatora………………………………………………………………………………………………………..</w:t>
      </w:r>
    </w:p>
    <w:p w14:paraId="419DEA58" w14:textId="70E8E917" w:rsidR="0083050A" w:rsidRDefault="0083050A" w:rsidP="0083050A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Rok produkcji defibrylatora………………………………………………………………………………………………………………...</w:t>
      </w:r>
    </w:p>
    <w:p w14:paraId="20892B6F" w14:textId="77777777" w:rsidR="0083050A" w:rsidRDefault="0083050A" w:rsidP="0083050A">
      <w:pPr>
        <w:spacing w:line="288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9540DFA" w14:textId="50F86E60" w:rsidR="0083050A" w:rsidRDefault="0083050A" w:rsidP="0083050A">
      <w:pPr>
        <w:spacing w:line="288" w:lineRule="auto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Tabela minimalnych wymagań techniczno – użytkowych dla 1 szt. </w:t>
      </w:r>
      <w:r w:rsidR="00BD607F">
        <w:rPr>
          <w:rFonts w:ascii="Verdana" w:hAnsi="Verdana" w:cs="Verdana"/>
          <w:b/>
          <w:bCs/>
          <w:sz w:val="18"/>
          <w:szCs w:val="18"/>
          <w:u w:val="single"/>
        </w:rPr>
        <w:t>D</w:t>
      </w:r>
      <w:r>
        <w:rPr>
          <w:rFonts w:ascii="Verdana" w:hAnsi="Verdana" w:cs="Verdana"/>
          <w:b/>
          <w:bCs/>
          <w:sz w:val="18"/>
          <w:szCs w:val="18"/>
          <w:u w:val="single"/>
        </w:rPr>
        <w:t>efibrylatora</w:t>
      </w:r>
    </w:p>
    <w:p w14:paraId="3EF28FA9" w14:textId="77777777" w:rsidR="00BD607F" w:rsidRDefault="00BD607F" w:rsidP="0083050A">
      <w:pPr>
        <w:spacing w:line="288" w:lineRule="auto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"/>
        <w:gridCol w:w="3697"/>
        <w:gridCol w:w="1406"/>
        <w:gridCol w:w="3650"/>
      </w:tblGrid>
      <w:tr w:rsidR="008F6436" w14:paraId="4ECE831E" w14:textId="36E7613E" w:rsidTr="008F6436">
        <w:trPr>
          <w:trHeight w:val="42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A894" w14:textId="77777777" w:rsidR="008F6436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l.p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0D34" w14:textId="77777777" w:rsidR="008F6436" w:rsidRDefault="008F6436" w:rsidP="004C6EBB">
            <w:pPr>
              <w:widowControl w:val="0"/>
              <w:spacing w:line="276" w:lineRule="auto"/>
              <w:ind w:right="34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Minimalne parametry defibrylatora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5FF" w14:textId="77777777" w:rsidR="008F6436" w:rsidRDefault="008F6436" w:rsidP="008F6436">
            <w:pPr>
              <w:widowControl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TAK/NIE*</w:t>
            </w:r>
          </w:p>
          <w:p w14:paraId="7AB9D821" w14:textId="1EC41F77" w:rsidR="008F6436" w:rsidRDefault="008F6436" w:rsidP="008F6436">
            <w:pPr>
              <w:widowControl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(określić)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F6A" w14:textId="77777777" w:rsidR="008F6436" w:rsidRDefault="008F6436" w:rsidP="008F6436">
            <w:pPr>
              <w:widowControl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Oferowane parametry</w:t>
            </w:r>
          </w:p>
          <w:p w14:paraId="658A4D81" w14:textId="264A7776" w:rsidR="008F6436" w:rsidRDefault="008F6436" w:rsidP="008F6436">
            <w:pPr>
              <w:widowControl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(opisać)</w:t>
            </w:r>
          </w:p>
        </w:tc>
      </w:tr>
      <w:tr w:rsidR="008F6436" w14:paraId="661D7AF5" w14:textId="77777777" w:rsidTr="008F6436">
        <w:trPr>
          <w:trHeight w:val="42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86C2" w14:textId="1403053D" w:rsidR="008F6436" w:rsidRDefault="008F6436" w:rsidP="008F6436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8410" w14:textId="52ECAEC7" w:rsidR="008F6436" w:rsidRDefault="008F6436" w:rsidP="008F6436">
            <w:pPr>
              <w:widowControl w:val="0"/>
              <w:spacing w:line="276" w:lineRule="auto"/>
              <w:ind w:right="34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2D81" w14:textId="5CF9FC48" w:rsidR="008F6436" w:rsidRDefault="008F6436" w:rsidP="008F6436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A9F3" w14:textId="7D5036E3" w:rsidR="008F6436" w:rsidRDefault="008F6436" w:rsidP="008F6436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8F6436" w14:paraId="68DD5136" w14:textId="05CC40BB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0038" w14:textId="5511E38C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5AE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Urządzenie zgodne z normą PN EN 60601-2-4 lub równoważne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DE0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0ADF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3A883265" w14:textId="1F99C4B0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7EE7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282E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Klasa bezpieczeństwa IP minimum IP 44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5CC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45D6" w14:textId="77777777" w:rsidR="008F6436" w:rsidRDefault="008F6436" w:rsidP="008F6436">
            <w:pPr>
              <w:widowControl w:val="0"/>
              <w:ind w:left="101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3CFB7DCF" w14:textId="565321E5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23B0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C5FD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Waga urządzenia z akumulatorami max. 10,0 kg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639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3165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392DFC5C" w14:textId="429BDC6A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54A1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639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Urządzenie z codziennym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autotestem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 realizujący się bez konieczności włączania urządzenia i udziału użytkownika, z automatyczną informacją o konieczności wykonania przeglądu okresowego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DBF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977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1DCBE68C" w14:textId="37B76D1A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15DC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7ADA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Wewnętrzną pamięć wszystkich rejestrowanych danych, umożliwia wprowadzanie danych identyfikacyjnych pacjentów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7A95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5E6E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7E4750BF" w14:textId="6AF06F96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4B2C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A750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Wbudowana drukarka zasilaną taśmą szer. min. 90 mm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610A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AE3A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1F0E9F45" w14:textId="0029ADBB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A16F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CC5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Ekran kolorowy, odporny na uszkodzenia mechaniczne o przekątnej min. 8”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br/>
              <w:t>z wyświetlaniem min. 3-kanałowej prezentacji  – np. krzywych EKG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75B6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9D6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3ED28954" w14:textId="7E7624CE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D63D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902B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Zasilanie przez dwa umieszczone w dedykowanych gniazdach w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lastRenderedPageBreak/>
              <w:t xml:space="preserve">obudowie defibrylatora akumulatory.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br/>
              <w:t>(w komplecie dostawy), z funkcją ich automatycznego przełączania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4B6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E2A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25DCA3D6" w14:textId="59F914A0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2ED6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A0F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W dostawie łącznie 4 akumulatory Li-ION bez tzw. efektu pamięci, ze wskaźnikiem naładowania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420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2BA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5F647164" w14:textId="662D2E63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1CBD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49E3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Czas ciągłego monitorowania na 1 akumulatorze min. 180 min.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6C9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20D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0E0D023F" w14:textId="7ADF10C0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E0B2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DE8F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Załączona ładowarka zewnętrzna do akumulatorów pozwalająca na pracę z siecią 230 V  i 12V DC, z min. 2 stanowiskami ładowania akumulatorów defibrylatora, z możliwością trwałego montażu w ambulansie. Przewód zasilający 12 V zakończony wtykiem IP – 34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CD1F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8278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301337E7" w14:textId="41A42503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ECC0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4EA0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Funkcja defibrylacji dwufazowej 5-360 J (regulacja płynna lub skokowa z min. 20 poziomami wyboru), synchroniczna i asynchroniczna, wyzwalana w trybie ręcznym, opcjonalnie AED, z automatycznym wpływem impedancji ciała pacjenta na parametry defibrylacji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7E3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C1C0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4F5D4B37" w14:textId="3D11BE8A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6258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DCA78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Urządzenie posiada wielorazowego użytku wielofunkcyjne „twarde  łyżki” (z regulacją poziomu energii , przyciskami ładowania i wyładowania), jak i możliwość zamiennego użytkowania samoprzylepnych jednorazowych elektrod  wielofunkcyjnych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D29A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7B2A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6FC42830" w14:textId="3BCCDB97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4CEE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1908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Monitorowanie i wydruk 12-odprowadzeniowego EKG z automatyczną interpretacją dokonanego zapisu (uwzględniające wiek i płeć pacjenta), z możliwością teletransmisji zapisu EKG w Systemie Life-Net,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C961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07E6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1F6F0DC5" w14:textId="5168C670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A2F0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A16F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Moduł stymulacji przezskórnej z użyciem jednorazowych elektrod wielofunkcyjnych o zakresie energii 0-200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mA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, f= 40-150/min., w trybie sztywnym i na żądanie.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E9CE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A64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06991130" w14:textId="5DA3F735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0E5E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F0C9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Z modułem NIBP, z ustawianym interwałem czasowym pomiarów. W dostawie standardowy mankiet dla dorosłych,  dodatkowo ponadwymiarowy, oraz dla dzieci.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8BDD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A629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124983F5" w14:textId="68A66109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1177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D075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Z modułem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 O</w:t>
            </w:r>
            <w:r>
              <w:rPr>
                <w:rFonts w:ascii="Verdana" w:hAnsi="Verdana" w:cs="Verdana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 z prezentacją wizualno-akustyczną cyfrowo lub/i analogowo, z załączonymi końcówkami pomiarowymi (z kompatybilnymi  przewodami, gniazdami i wtykami) dla umownych zakresów: dla dorosłych, dla dzieci, dla niemowląt.</w:t>
            </w:r>
          </w:p>
          <w:p w14:paraId="48A8E44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  kompletne czujnik palcowe dla dorosłych, dzieci i niemowląt (tj. 3x czujnik oraz 3x adapter lub przedłużacz jeśli jest w zestawie. Długość zestawu 2 m-2,4 m.)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675B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71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1873CE11" w14:textId="6FE17097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0886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BD133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Z modułem etCO</w:t>
            </w:r>
            <w:r>
              <w:rPr>
                <w:rFonts w:ascii="Verdana" w:hAnsi="Verdana" w:cs="Verdana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 – z kompletem należnych akcesoriów (czujniki (1 opakowanie 25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.,,na start” w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lastRenderedPageBreak/>
              <w:t>komplecie), kompatybilne przewody łączące, gniazda i wtyki).</w:t>
            </w:r>
          </w:p>
          <w:p w14:paraId="44A5672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99CA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601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2689A82C" w14:textId="195535AA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15CE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3915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Dostawa musi obejmować:</w:t>
            </w:r>
          </w:p>
          <w:p w14:paraId="3124ABC7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-dedykowaną torbę transportową z 3 zasobnikami na akcesoria oraz uchwyt do transportu  urządzenia przy noszach pacjenta;</w:t>
            </w:r>
          </w:p>
          <w:p w14:paraId="66DEC04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-komplet łyżek pediatrycznych lub nakładki pediatryczne mocowane do łyżek twardych dla dorosłych;</w:t>
            </w:r>
          </w:p>
          <w:p w14:paraId="0A82DBC7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-przewód do elektrostymulacji przezskórnej;</w:t>
            </w:r>
          </w:p>
          <w:p w14:paraId="59362A6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-komplet przewodów EKG (p. główny + wiązka p. przedsercowych);</w:t>
            </w:r>
          </w:p>
          <w:p w14:paraId="0E0655DE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-przewody zasilające ładowarkę dedykowane dla 230 V i 12 V DC;</w:t>
            </w:r>
          </w:p>
          <w:p w14:paraId="2418D6F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-3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. samoprzylepnych jednorazowych elektrod wielofunkcyjnych dla dorosłych i 3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 dla dzieci;</w:t>
            </w:r>
          </w:p>
          <w:p w14:paraId="67FB160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- uchwyty montażowe dla defibrylatora i ładowarki zewnętrznej do ścian ambulansu.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FA5F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714D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4BA52F83" w14:textId="7A1FA02A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6359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0C20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Dostawa obejmuje:</w:t>
            </w:r>
          </w:p>
          <w:p w14:paraId="07FAE359" w14:textId="77777777" w:rsidR="008F6436" w:rsidRDefault="008F6436" w:rsidP="004C6EBB">
            <w:pPr>
              <w:pStyle w:val="Akapitzlist"/>
              <w:widowControl w:val="0"/>
              <w:suppressAutoHyphens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 Paszport techniczny;</w:t>
            </w:r>
          </w:p>
          <w:p w14:paraId="3EF077E4" w14:textId="77777777" w:rsidR="008F6436" w:rsidRDefault="008F6436" w:rsidP="004C6EBB">
            <w:pPr>
              <w:pStyle w:val="Akapitzlist"/>
              <w:widowControl w:val="0"/>
              <w:suppressAutoHyphens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 Dokument udzielonej gwarancji z wpisanym nr seryjnym urządzenia oraz datą uruchomienia urządzenia;</w:t>
            </w:r>
          </w:p>
          <w:p w14:paraId="2A344643" w14:textId="77777777" w:rsidR="008F6436" w:rsidRDefault="008F6436" w:rsidP="004C6EBB">
            <w:pPr>
              <w:pStyle w:val="Akapitzlist"/>
              <w:widowControl w:val="0"/>
              <w:suppressAutoHyphens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 Instrukcję w języku polskim.</w:t>
            </w:r>
          </w:p>
          <w:p w14:paraId="3278496A" w14:textId="77777777" w:rsidR="008F6436" w:rsidRDefault="008F6436" w:rsidP="004C6EBB">
            <w:pPr>
              <w:pStyle w:val="Akapitzlist"/>
              <w:widowControl w:val="0"/>
              <w:ind w:left="101" w:right="176"/>
              <w:jc w:val="both"/>
              <w:rPr>
                <w:rFonts w:ascii="Verdana" w:eastAsiaTheme="minorHAnsi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4FF5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B9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2C4F01B5" w14:textId="67D5FB07" w:rsidTr="008F6436">
        <w:trPr>
          <w:trHeight w:val="419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CA3C9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1EC7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Gwarancja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min. 24 miesiące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 xml:space="preserve">, licząc od dnia dostawy przedmiotu zamówienia  Zamawiającemu, obejmująca defibrylator oraz akcesoria.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– PARAMETR PUNKTOWANY</w:t>
            </w:r>
          </w:p>
          <w:p w14:paraId="62DD7A14" w14:textId="77777777" w:rsidR="008F6436" w:rsidRDefault="008F6436" w:rsidP="004C6EBB">
            <w:pPr>
              <w:widowControl w:val="0"/>
              <w:tabs>
                <w:tab w:val="left" w:pos="185"/>
                <w:tab w:val="left" w:pos="680"/>
              </w:tabs>
              <w:ind w:right="57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24 m-ce-0 pkt</w:t>
            </w:r>
          </w:p>
          <w:p w14:paraId="65A13D89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36 m-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cy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>- 10 pkt</w:t>
            </w:r>
          </w:p>
          <w:p w14:paraId="75C29CAA" w14:textId="77777777" w:rsidR="008F6436" w:rsidRDefault="008F6436" w:rsidP="004C6EBB">
            <w:pPr>
              <w:widowControl w:val="0"/>
              <w:ind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eastAsia="en-US"/>
              </w:rPr>
              <w:t>48 m-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eastAsia="en-US"/>
              </w:rPr>
              <w:t>cy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eastAsia="en-US"/>
              </w:rPr>
              <w:t>– 20 pkt</w:t>
            </w:r>
          </w:p>
          <w:p w14:paraId="4601152D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en-US"/>
              </w:rPr>
            </w:pPr>
          </w:p>
          <w:p w14:paraId="32963D16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Gwarancja obejmuje m.in:</w:t>
            </w:r>
          </w:p>
          <w:p w14:paraId="48B2316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bezpłatne przeglądy w okresie gwarancji zgodnie z wymogami określonymi przez producenta, bez dodatkowego wzywania ze strony Zamawiającego, </w:t>
            </w:r>
            <w:r>
              <w:rPr>
                <w:rFonts w:ascii="Verdana" w:hAnsi="Verdana"/>
                <w:sz w:val="18"/>
                <w:szCs w:val="18"/>
                <w:lang w:eastAsia="x-none"/>
              </w:rPr>
              <w:t>w obszarze działania Zamawiającego w miejscu wskazanym przez Zamawiającego,</w:t>
            </w:r>
          </w:p>
          <w:p w14:paraId="771D65DF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protokołem serwisowym i wpisem do paszportu technicznego sprzętu medycznego (zgodnie z ustawą z dnia 7 kwietnia 2022 r. o wyrobach medycznych (Dz. U. z 2022 r. poz. 974)) oraz z zachowaniem ciągłości przeglądów),</w:t>
            </w:r>
          </w:p>
          <w:p w14:paraId="3DDA2415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wymiana / naprawa zgodnie z zapisami umowy,</w:t>
            </w:r>
          </w:p>
          <w:p w14:paraId="74A70E12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dojazd serwisu lub przesłanie sprzętu do serwisu,  robociznę itp.</w:t>
            </w:r>
          </w:p>
          <w:p w14:paraId="47D3BD9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inne koszty niezbędne do wykonania czynności gwarancyjnych.</w:t>
            </w:r>
          </w:p>
          <w:p w14:paraId="211CA61E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Minimum jeden bezpłatny przegląd techniczny  w ciągu roku na całość zamówienia w okresie trwania gwarancji plus jeden w ostatnim miesiącu trwania okresu  gwarancyjnego.</w:t>
            </w:r>
          </w:p>
          <w:p w14:paraId="631D8E16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Czas naprawy gwarancyjnej przedłuża okres gwarancji liczony od momentu zgłoszenia.</w:t>
            </w:r>
          </w:p>
          <w:p w14:paraId="7FE0BCE0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Minimalna liczba napraw powodująca wymianę urządzenia  na nowe 3-naprawy</w:t>
            </w:r>
          </w:p>
          <w:p w14:paraId="6BBAEA3D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eastAsia="en-US"/>
              </w:rPr>
              <w:t>- Szkolenie obsługi z zakresu użytkowania oraz min. 1 osoby z działu technicznego – z obsługi technicznej urządzenia.</w:t>
            </w:r>
          </w:p>
          <w:p w14:paraId="7CB9129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Cs/>
                <w:sz w:val="18"/>
                <w:szCs w:val="18"/>
                <w:lang w:eastAsia="en-US"/>
              </w:rPr>
              <w:t>- Dostępność części zamiennych i opieka serwisowa przez min.7 lat po upływie gwarancji.</w:t>
            </w:r>
          </w:p>
          <w:p w14:paraId="630AB1AC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2194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3993" w14:textId="77777777" w:rsidR="008F6436" w:rsidRDefault="008F6436" w:rsidP="004C6EBB">
            <w:pPr>
              <w:widowControl w:val="0"/>
              <w:ind w:left="101" w:right="176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436" w14:paraId="5D9EED72" w14:textId="4B0983CF" w:rsidTr="008F6436">
        <w:trPr>
          <w:trHeight w:val="32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37A5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AC4D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Czas reakcji od momentu zgłoszenia usterki max 24 godziny, wyłączając dni ustawowo wolne od pracy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78A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A02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8F6436" w14:paraId="59D31F91" w14:textId="2ADF8874" w:rsidTr="008F6436">
        <w:trPr>
          <w:trHeight w:val="325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28B3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E1F4A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A0F3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88EE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8F6436" w14:paraId="6E007FAB" w14:textId="16CBF48B" w:rsidTr="008F6436">
        <w:trPr>
          <w:trHeight w:val="325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D4AC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798B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Czas naprawy gwarancyjnej przedłużający okres gwarancji liczony od momentu zgłoszenia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71D1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96C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8F6436" w14:paraId="01CE3B82" w14:textId="7A1A6E4D" w:rsidTr="008F6436">
        <w:trPr>
          <w:trHeight w:val="325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A97A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6598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Minimalna liczba napraw powodująca wymianę podzespołu na nowy 3- naprawy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DBD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7768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8F6436" w14:paraId="04F357DE" w14:textId="0A1FBF4E" w:rsidTr="008F6436">
        <w:trPr>
          <w:trHeight w:val="325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A20C" w14:textId="77777777" w:rsidR="008F6436" w:rsidRPr="00844FF0" w:rsidRDefault="008F6436" w:rsidP="004C6EBB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 w:rsidRPr="00844FF0"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9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8C90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Czas usunięcia usterki nie wymagający wymiany podzespołów nie wliczając godzin zawartych w dniach ustawowo wolnych max 48 godzin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65FF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C3BC" w14:textId="77777777" w:rsidR="008F6436" w:rsidRDefault="008F6436" w:rsidP="004C6EBB">
            <w:pPr>
              <w:widowControl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4CC2FB3D" w14:textId="343E7AEC" w:rsidR="0083050A" w:rsidRDefault="00E17466" w:rsidP="0083050A">
      <w:pPr>
        <w:jc w:val="both"/>
      </w:pPr>
      <w:r>
        <w:br w:type="textWrapping" w:clear="all"/>
      </w:r>
    </w:p>
    <w:p w14:paraId="3FC3046C" w14:textId="77777777" w:rsidR="005658C7" w:rsidRPr="005658C7" w:rsidRDefault="005658C7" w:rsidP="005658C7">
      <w:pPr>
        <w:jc w:val="both"/>
        <w:rPr>
          <w:rFonts w:ascii="Verdana" w:hAnsi="Verdana"/>
          <w:sz w:val="18"/>
          <w:szCs w:val="18"/>
        </w:rPr>
      </w:pPr>
      <w:r w:rsidRPr="005658C7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 przez osobę(osoby) upoważnioną (upoważnione) do reprezentacji wykonawcy</w:t>
      </w:r>
    </w:p>
    <w:p w14:paraId="532CD53F" w14:textId="77777777" w:rsidR="00656400" w:rsidRDefault="00656400"/>
    <w:sectPr w:rsidR="00656400" w:rsidSect="005658C7">
      <w:footerReference w:type="default" r:id="rId8"/>
      <w:headerReference w:type="first" r:id="rId9"/>
      <w:pgSz w:w="11906" w:h="16838"/>
      <w:pgMar w:top="709" w:right="1417" w:bottom="851" w:left="1417" w:header="708" w:footer="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8032E" w14:textId="77777777" w:rsidR="005658C7" w:rsidRDefault="005658C7" w:rsidP="005658C7">
      <w:r>
        <w:separator/>
      </w:r>
    </w:p>
  </w:endnote>
  <w:endnote w:type="continuationSeparator" w:id="0">
    <w:p w14:paraId="50D6AFCC" w14:textId="77777777" w:rsidR="005658C7" w:rsidRDefault="005658C7" w:rsidP="0056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3778"/>
      <w:docPartObj>
        <w:docPartGallery w:val="Page Numbers (Bottom of Page)"/>
        <w:docPartUnique/>
      </w:docPartObj>
    </w:sdtPr>
    <w:sdtContent>
      <w:p w14:paraId="3C0F773E" w14:textId="14D1233D" w:rsidR="005658C7" w:rsidRDefault="005658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F4439D7" w14:textId="77777777" w:rsidR="005658C7" w:rsidRDefault="00565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7910" w14:textId="77777777" w:rsidR="005658C7" w:rsidRDefault="005658C7" w:rsidP="005658C7">
      <w:r>
        <w:separator/>
      </w:r>
    </w:p>
  </w:footnote>
  <w:footnote w:type="continuationSeparator" w:id="0">
    <w:p w14:paraId="33E032C1" w14:textId="77777777" w:rsidR="005658C7" w:rsidRDefault="005658C7" w:rsidP="0056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8" w:type="dxa"/>
      <w:jc w:val="center"/>
      <w:tblLayout w:type="fixed"/>
      <w:tblLook w:val="04A0" w:firstRow="1" w:lastRow="0" w:firstColumn="1" w:lastColumn="0" w:noHBand="0" w:noVBand="1"/>
    </w:tblPr>
    <w:tblGrid>
      <w:gridCol w:w="1703"/>
      <w:gridCol w:w="2080"/>
      <w:gridCol w:w="898"/>
      <w:gridCol w:w="3262"/>
      <w:gridCol w:w="425"/>
      <w:gridCol w:w="1417"/>
      <w:gridCol w:w="1843"/>
    </w:tblGrid>
    <w:tr w:rsidR="005658C7" w14:paraId="0B0D9F04" w14:textId="77777777" w:rsidTr="005658C7">
      <w:trPr>
        <w:jc w:val="center"/>
      </w:trPr>
      <w:tc>
        <w:tcPr>
          <w:tcW w:w="1702" w:type="dxa"/>
          <w:vAlign w:val="center"/>
          <w:hideMark/>
        </w:tcPr>
        <w:p w14:paraId="019D4F44" w14:textId="10A58B83" w:rsidR="005658C7" w:rsidRDefault="005658C7">
          <w:pPr>
            <w:pStyle w:val="Nagwek"/>
            <w:rPr>
              <w:b/>
            </w:rPr>
          </w:pPr>
          <w:r>
            <w:rPr>
              <w:noProof/>
              <w14:ligatures w14:val="standardContextual"/>
            </w:rPr>
            <w:drawing>
              <wp:inline distT="0" distB="0" distL="0" distR="0" wp14:anchorId="43E0CCBC" wp14:editId="5E341F67">
                <wp:extent cx="866140" cy="866140"/>
                <wp:effectExtent l="0" t="0" r="0" b="0"/>
                <wp:docPr id="9" name="Obraz 9" descr="Opis: 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0AF68AD2" w14:textId="77777777" w:rsidR="005658C7" w:rsidRDefault="005658C7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2F3846B9" w14:textId="77777777" w:rsidR="005658C7" w:rsidRDefault="005658C7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CFE0189" w14:textId="77777777" w:rsidR="005658C7" w:rsidRDefault="005658C7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578DAA31" w14:textId="77777777" w:rsidR="005658C7" w:rsidRDefault="005658C7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70C6EB95" w14:textId="77777777" w:rsidR="005658C7" w:rsidRDefault="005658C7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1A48AA1E" w14:textId="77777777" w:rsidR="005658C7" w:rsidRDefault="005658C7">
          <w:pPr>
            <w:pStyle w:val="Tytu"/>
            <w:rPr>
              <w:b w:val="0"/>
              <w:noProof/>
            </w:rPr>
          </w:pPr>
        </w:p>
        <w:p w14:paraId="70B30575" w14:textId="1C7CA90B" w:rsidR="005658C7" w:rsidRDefault="005658C7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  <w14:ligatures w14:val="standardContextual"/>
            </w:rPr>
            <w:drawing>
              <wp:anchor distT="0" distB="0" distL="114300" distR="114300" simplePos="0" relativeHeight="251658240" behindDoc="1" locked="0" layoutInCell="1" allowOverlap="1" wp14:anchorId="3A96BD16" wp14:editId="69E1F4E3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  <w14:ligatures w14:val="standardContextual"/>
            </w:rPr>
            <w:drawing>
              <wp:inline distT="0" distB="0" distL="0" distR="0" wp14:anchorId="221B16AD" wp14:editId="242CF119">
                <wp:extent cx="590550" cy="873760"/>
                <wp:effectExtent l="0" t="0" r="0" b="2540"/>
                <wp:docPr id="8" name="Obraz 8" descr="Opis: 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pis: 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EE53B10" w14:textId="6CD43F77" w:rsidR="005658C7" w:rsidRDefault="005658C7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  <w14:ligatures w14:val="standardContextual"/>
            </w:rPr>
            <w:drawing>
              <wp:inline distT="0" distB="0" distL="0" distR="0" wp14:anchorId="04419E2D" wp14:editId="74BF6009">
                <wp:extent cx="534035" cy="46101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179B78" w14:textId="77777777" w:rsidR="005658C7" w:rsidRDefault="005658C7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33B42F73" w14:textId="77777777" w:rsidR="005658C7" w:rsidRDefault="005658C7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228D14FD" w14:textId="77777777" w:rsidR="005658C7" w:rsidRDefault="005658C7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196AE8F5" w14:textId="6506102C" w:rsidR="005658C7" w:rsidRDefault="005658C7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  <w14:ligatures w14:val="standardContextual"/>
            </w:rPr>
            <w:drawing>
              <wp:inline distT="0" distB="0" distL="0" distR="0" wp14:anchorId="645DE815" wp14:editId="525D6C06">
                <wp:extent cx="550545" cy="534035"/>
                <wp:effectExtent l="0" t="0" r="190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77B793" w14:textId="77777777" w:rsidR="005658C7" w:rsidRDefault="005658C7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4CCA6190" w14:textId="77777777" w:rsidR="005658C7" w:rsidRDefault="005658C7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5658C7" w14:paraId="4775B735" w14:textId="77777777" w:rsidTr="005658C7">
      <w:trPr>
        <w:jc w:val="center"/>
      </w:trPr>
      <w:tc>
        <w:tcPr>
          <w:tcW w:w="11625" w:type="dxa"/>
          <w:gridSpan w:val="7"/>
        </w:tcPr>
        <w:p w14:paraId="249A1DCB" w14:textId="77777777" w:rsidR="005658C7" w:rsidRDefault="005658C7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5658C7" w14:paraId="7759D607" w14:textId="77777777" w:rsidTr="005658C7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0A024A84" w14:textId="77777777" w:rsidR="005658C7" w:rsidRDefault="005658C7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14F170C3" w14:textId="77777777" w:rsidR="005658C7" w:rsidRDefault="005658C7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0D7FB545" w14:textId="77777777" w:rsidR="005658C7" w:rsidRDefault="005658C7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5658C7" w14:paraId="0EF6B000" w14:textId="77777777" w:rsidTr="005658C7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4C74D310" w14:textId="77777777" w:rsidR="005658C7" w:rsidRDefault="005658C7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38D1E4DB" w14:textId="77777777" w:rsidR="005658C7" w:rsidRDefault="005658C7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67456971" w14:textId="77777777" w:rsidR="005658C7" w:rsidRDefault="005658C7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6CEB039E" w14:textId="77777777" w:rsidR="005658C7" w:rsidRDefault="005658C7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600B38C3" w14:textId="77777777" w:rsidR="005658C7" w:rsidRDefault="005658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3"/>
    <w:rsid w:val="000C1A1D"/>
    <w:rsid w:val="00112DB9"/>
    <w:rsid w:val="004C6EBB"/>
    <w:rsid w:val="00560849"/>
    <w:rsid w:val="005658C7"/>
    <w:rsid w:val="006549B7"/>
    <w:rsid w:val="00656400"/>
    <w:rsid w:val="0083050A"/>
    <w:rsid w:val="008F6436"/>
    <w:rsid w:val="00A66536"/>
    <w:rsid w:val="00BD607F"/>
    <w:rsid w:val="00D12339"/>
    <w:rsid w:val="00D1442C"/>
    <w:rsid w:val="00E17466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BF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3050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050A"/>
    <w:pPr>
      <w:ind w:left="720"/>
    </w:pPr>
    <w:rPr>
      <w:kern w:val="2"/>
      <w14:ligatures w14:val="standardContextua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3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3050A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Bezodstpw">
    <w:name w:val="No Spacing"/>
    <w:qFormat/>
    <w:rsid w:val="0083050A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05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050A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5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8C7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658C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5658C7"/>
    <w:pPr>
      <w:spacing w:before="100" w:after="100"/>
      <w:jc w:val="both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658C7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5658C7"/>
    <w:rPr>
      <w:rFonts w:ascii="Calibri Light" w:eastAsia="Times New Roman" w:hAnsi="Calibri Light" w:cs="Calibri Light"/>
      <w:b/>
      <w:bCs/>
      <w:sz w:val="32"/>
      <w:szCs w:val="32"/>
      <w:lang w:eastAsia="pl-PL"/>
      <w14:ligatures w14:val="none"/>
    </w:rPr>
  </w:style>
  <w:style w:type="paragraph" w:styleId="Podtytu">
    <w:name w:val="Subtitle"/>
    <w:basedOn w:val="Normalny"/>
    <w:link w:val="PodtytuZnak"/>
    <w:uiPriority w:val="99"/>
    <w:qFormat/>
    <w:rsid w:val="005658C7"/>
    <w:pPr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5658C7"/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8C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3050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050A"/>
    <w:pPr>
      <w:ind w:left="720"/>
    </w:pPr>
    <w:rPr>
      <w:kern w:val="2"/>
      <w14:ligatures w14:val="standardContextua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3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3050A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Bezodstpw">
    <w:name w:val="No Spacing"/>
    <w:qFormat/>
    <w:rsid w:val="0083050A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05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050A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5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8C7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658C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5658C7"/>
    <w:pPr>
      <w:spacing w:before="100" w:after="100"/>
      <w:jc w:val="both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658C7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5658C7"/>
    <w:rPr>
      <w:rFonts w:ascii="Calibri Light" w:eastAsia="Times New Roman" w:hAnsi="Calibri Light" w:cs="Calibri Light"/>
      <w:b/>
      <w:bCs/>
      <w:sz w:val="32"/>
      <w:szCs w:val="32"/>
      <w:lang w:eastAsia="pl-PL"/>
      <w14:ligatures w14:val="none"/>
    </w:rPr>
  </w:style>
  <w:style w:type="paragraph" w:styleId="Podtytu">
    <w:name w:val="Subtitle"/>
    <w:basedOn w:val="Normalny"/>
    <w:link w:val="PodtytuZnak"/>
    <w:uiPriority w:val="99"/>
    <w:qFormat/>
    <w:rsid w:val="005658C7"/>
    <w:pPr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5658C7"/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8C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00EB-7E10-4645-8947-90460F47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Kołt-Kunecka</dc:creator>
  <cp:keywords/>
  <dc:description/>
  <cp:lastModifiedBy>Karolina Nykiel</cp:lastModifiedBy>
  <cp:revision>7</cp:revision>
  <dcterms:created xsi:type="dcterms:W3CDTF">2023-10-30T10:49:00Z</dcterms:created>
  <dcterms:modified xsi:type="dcterms:W3CDTF">2023-10-30T11:25:00Z</dcterms:modified>
</cp:coreProperties>
</file>