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CC2BE" w14:textId="447F711C" w:rsidR="00614F6D" w:rsidRPr="004D74BA" w:rsidRDefault="00614F6D" w:rsidP="000717A9">
      <w:pPr>
        <w:jc w:val="right"/>
        <w:rPr>
          <w:rFonts w:asciiTheme="majorHAnsi" w:hAnsiTheme="majorHAnsi" w:cstheme="minorHAnsi"/>
          <w:b/>
          <w:szCs w:val="20"/>
        </w:rPr>
      </w:pPr>
      <w:r w:rsidRPr="004D74BA">
        <w:rPr>
          <w:rFonts w:asciiTheme="majorHAnsi" w:hAnsiTheme="majorHAnsi" w:cstheme="minorHAnsi"/>
          <w:b/>
          <w:szCs w:val="20"/>
        </w:rPr>
        <w:t xml:space="preserve">Załącznik nr </w:t>
      </w:r>
      <w:r w:rsidR="00416206" w:rsidRPr="004D74BA">
        <w:rPr>
          <w:rFonts w:asciiTheme="majorHAnsi" w:hAnsiTheme="majorHAnsi" w:cstheme="minorHAnsi"/>
          <w:b/>
          <w:szCs w:val="20"/>
        </w:rPr>
        <w:t>7</w:t>
      </w:r>
      <w:r w:rsidRPr="004D74BA">
        <w:rPr>
          <w:rFonts w:asciiTheme="majorHAnsi" w:hAnsiTheme="majorHAnsi" w:cstheme="minorHAnsi"/>
          <w:b/>
          <w:szCs w:val="20"/>
        </w:rPr>
        <w:t xml:space="preserve"> do SWZ</w:t>
      </w:r>
    </w:p>
    <w:p w14:paraId="6717CD9C" w14:textId="77777777" w:rsidR="00FF193E" w:rsidRPr="004D74BA" w:rsidRDefault="00FF193E" w:rsidP="000717A9">
      <w:pPr>
        <w:jc w:val="right"/>
        <w:rPr>
          <w:rFonts w:asciiTheme="majorHAnsi" w:hAnsiTheme="majorHAnsi" w:cstheme="minorHAnsi"/>
          <w:b/>
          <w:szCs w:val="20"/>
        </w:rPr>
      </w:pPr>
    </w:p>
    <w:p w14:paraId="5266B24D" w14:textId="66BF5AA1" w:rsidR="00FF193E" w:rsidRPr="004D74BA" w:rsidRDefault="002161C9" w:rsidP="004D74BA">
      <w:pPr>
        <w:jc w:val="right"/>
        <w:rPr>
          <w:rFonts w:asciiTheme="majorHAnsi" w:hAnsiTheme="majorHAnsi" w:cstheme="minorHAnsi"/>
          <w:b/>
          <w:szCs w:val="20"/>
        </w:rPr>
      </w:pPr>
      <w:r>
        <w:rPr>
          <w:rFonts w:asciiTheme="majorHAnsi" w:hAnsiTheme="majorHAnsi" w:cstheme="minorHAnsi"/>
          <w:b/>
          <w:szCs w:val="20"/>
        </w:rPr>
        <w:t>Szczegółowy opis przedmiotu zamówienia</w:t>
      </w:r>
      <w:r w:rsidR="0063364F" w:rsidRPr="004D74BA">
        <w:rPr>
          <w:rFonts w:asciiTheme="majorHAnsi" w:hAnsiTheme="majorHAnsi" w:cstheme="minorHAnsi"/>
          <w:b/>
          <w:szCs w:val="20"/>
        </w:rPr>
        <w:t xml:space="preserve"> </w:t>
      </w:r>
    </w:p>
    <w:p w14:paraId="6297E3D0" w14:textId="77777777" w:rsidR="00156798" w:rsidRPr="004D74BA" w:rsidRDefault="00156798" w:rsidP="00CF0D33">
      <w:pPr>
        <w:jc w:val="center"/>
        <w:rPr>
          <w:rFonts w:asciiTheme="majorHAnsi" w:hAnsiTheme="majorHAnsi" w:cstheme="minorHAnsi"/>
          <w:szCs w:val="20"/>
        </w:rPr>
      </w:pPr>
    </w:p>
    <w:p w14:paraId="780B86AA" w14:textId="77777777" w:rsidR="00156798" w:rsidRPr="004D74BA" w:rsidRDefault="00156798" w:rsidP="00156798">
      <w:pPr>
        <w:rPr>
          <w:rFonts w:asciiTheme="majorHAnsi" w:hAnsiTheme="majorHAnsi" w:cstheme="minorHAnsi"/>
          <w:szCs w:val="20"/>
        </w:rPr>
      </w:pPr>
      <w:r w:rsidRPr="004D74BA">
        <w:rPr>
          <w:rFonts w:asciiTheme="majorHAnsi" w:hAnsiTheme="majorHAnsi" w:cstheme="minorHAnsi"/>
          <w:szCs w:val="20"/>
        </w:rPr>
        <w:t xml:space="preserve">Postanowienia Opisu Przedmiotu Zamówienia (OPZ) mają pierwszeństwo przed dokumentem potwierdzającym zawarcie umowy ubezpieczenia, który z kolei ma pierwszeństwo przed ogólnymi warunkami ubezpieczenia lub innymi równoważnymi warunkami ubezpieczenia - w sytuacji, w której dokumenty te rozszerzają ochronę ubezpieczeniową wynikającą z warunków ogólnych. </w:t>
      </w:r>
    </w:p>
    <w:p w14:paraId="6D3A1B5F" w14:textId="364082B5" w:rsidR="00F70332" w:rsidRPr="004D74BA" w:rsidRDefault="00156798" w:rsidP="00092F38">
      <w:pPr>
        <w:rPr>
          <w:rFonts w:asciiTheme="majorHAnsi" w:hAnsiTheme="majorHAnsi" w:cstheme="minorHAnsi"/>
          <w:szCs w:val="20"/>
        </w:rPr>
      </w:pPr>
      <w:r w:rsidRPr="004D74BA">
        <w:rPr>
          <w:rFonts w:asciiTheme="majorHAnsi" w:hAnsiTheme="majorHAnsi" w:cstheme="minorHAnsi"/>
          <w:szCs w:val="20"/>
        </w:rPr>
        <w:t xml:space="preserve">Wyłączenia i definicje zawarte w ogólnych warunkach ubezpieczenia lub innych równoważnych warunkach ubezpieczenia obowiązujących w dniu opublikowania ogłoszenia o zamówieniu są skuteczne, o ile nie ograniczają ani nie wyłączają z ochrony działalności prowadzonej przez </w:t>
      </w:r>
      <w:r w:rsidR="00092F38" w:rsidRPr="004D74BA">
        <w:rPr>
          <w:rFonts w:asciiTheme="majorHAnsi" w:hAnsiTheme="majorHAnsi" w:cstheme="minorHAnsi"/>
          <w:szCs w:val="20"/>
        </w:rPr>
        <w:t xml:space="preserve">Przedsiębiorstwo Gospodarki Odpadami Sp. z o.o., Ul. Św. Tekli 62, Promnik 26-067 Strawczyn </w:t>
      </w:r>
      <w:r w:rsidRPr="004D74BA">
        <w:rPr>
          <w:rFonts w:asciiTheme="majorHAnsi" w:hAnsiTheme="majorHAnsi" w:cstheme="minorHAnsi"/>
          <w:szCs w:val="20"/>
        </w:rPr>
        <w:t>oraz nie wyłączają ani nie ograniczają zakresu ochrony podanego w Opisie Przedmiotu Zamówienia.</w:t>
      </w:r>
    </w:p>
    <w:p w14:paraId="6938EFD7" w14:textId="77777777" w:rsidR="00156798" w:rsidRPr="004D74BA" w:rsidRDefault="00156798" w:rsidP="00156798">
      <w:pPr>
        <w:rPr>
          <w:rFonts w:asciiTheme="majorHAnsi" w:hAnsiTheme="majorHAnsi" w:cstheme="minorHAnsi"/>
          <w:szCs w:val="20"/>
        </w:rPr>
      </w:pPr>
    </w:p>
    <w:p w14:paraId="4855ED56" w14:textId="77777777" w:rsidR="00156798" w:rsidRPr="004D74BA" w:rsidRDefault="00156798" w:rsidP="00156798">
      <w:pPr>
        <w:ind w:left="357" w:hanging="357"/>
        <w:rPr>
          <w:rFonts w:asciiTheme="majorHAnsi" w:hAnsiTheme="majorHAnsi" w:cstheme="minorHAnsi"/>
          <w:b/>
          <w:bCs/>
          <w:szCs w:val="20"/>
        </w:rPr>
      </w:pPr>
      <w:r w:rsidRPr="004D74BA">
        <w:rPr>
          <w:rFonts w:asciiTheme="majorHAnsi" w:hAnsiTheme="majorHAnsi" w:cstheme="minorHAnsi"/>
          <w:b/>
          <w:bCs/>
          <w:szCs w:val="20"/>
        </w:rPr>
        <w:t>I.</w:t>
      </w:r>
      <w:r w:rsidRPr="004D74BA">
        <w:rPr>
          <w:rFonts w:asciiTheme="majorHAnsi" w:hAnsiTheme="majorHAnsi" w:cstheme="minorHAnsi"/>
          <w:b/>
          <w:bCs/>
          <w:szCs w:val="20"/>
        </w:rPr>
        <w:tab/>
        <w:t>POSTANOWIENIA WSPÓLNE</w:t>
      </w:r>
    </w:p>
    <w:p w14:paraId="237EDB1A" w14:textId="77777777" w:rsidR="00156798" w:rsidRPr="004D74BA" w:rsidRDefault="00156798" w:rsidP="00156798">
      <w:pPr>
        <w:rPr>
          <w:rFonts w:asciiTheme="majorHAnsi" w:hAnsiTheme="majorHAnsi" w:cstheme="minorHAnsi"/>
          <w:szCs w:val="20"/>
        </w:rPr>
      </w:pPr>
    </w:p>
    <w:p w14:paraId="54A84CA3" w14:textId="3667FE01" w:rsidR="00156798" w:rsidRPr="004D74BA" w:rsidRDefault="00156798" w:rsidP="00156798">
      <w:pPr>
        <w:numPr>
          <w:ilvl w:val="0"/>
          <w:numId w:val="18"/>
        </w:numPr>
        <w:rPr>
          <w:rFonts w:asciiTheme="majorHAnsi" w:hAnsiTheme="majorHAnsi" w:cstheme="minorHAnsi"/>
          <w:szCs w:val="20"/>
        </w:rPr>
      </w:pPr>
      <w:r w:rsidRPr="004D74BA">
        <w:rPr>
          <w:rFonts w:asciiTheme="majorHAnsi" w:hAnsiTheme="majorHAnsi" w:cstheme="minorHAnsi"/>
          <w:szCs w:val="20"/>
        </w:rPr>
        <w:t xml:space="preserve">Przedmiotem ubezpieczenia są pojazdy, stanowiące własność lub będące w posiadaniu </w:t>
      </w:r>
      <w:r w:rsidR="00CC2CC5" w:rsidRPr="004D74BA">
        <w:rPr>
          <w:rFonts w:asciiTheme="majorHAnsi" w:hAnsiTheme="majorHAnsi" w:cstheme="minorHAnsi"/>
          <w:szCs w:val="20"/>
        </w:rPr>
        <w:t>Przedsiębiorstwo Gospodarki Odpadami Sp. z o.o., Ul. Św. Tekli 62, Promnik 26-067 Strawczyn</w:t>
      </w:r>
      <w:r w:rsidRPr="004D74BA">
        <w:rPr>
          <w:rFonts w:asciiTheme="majorHAnsi" w:hAnsiTheme="majorHAnsi" w:cstheme="minorHAnsi"/>
          <w:szCs w:val="20"/>
        </w:rPr>
        <w:t xml:space="preserve"> oraz pojazdy, w posiadanie których Ubezpieczony wejdzie w okresie ubezpieczenia.</w:t>
      </w:r>
    </w:p>
    <w:p w14:paraId="5790DB09" w14:textId="04282773" w:rsidR="002A2698" w:rsidRPr="00CF0D33" w:rsidRDefault="00156798" w:rsidP="002A2698">
      <w:pPr>
        <w:spacing w:before="120" w:line="276" w:lineRule="auto"/>
        <w:ind w:left="426" w:right="567"/>
        <w:rPr>
          <w:rFonts w:asciiTheme="majorHAnsi" w:hAnsiTheme="majorHAnsi" w:cstheme="minorHAnsi"/>
          <w:szCs w:val="20"/>
        </w:rPr>
      </w:pPr>
      <w:r w:rsidRPr="00CF0D33">
        <w:rPr>
          <w:rFonts w:asciiTheme="majorHAnsi" w:hAnsiTheme="majorHAnsi" w:cstheme="minorHAnsi"/>
          <w:szCs w:val="20"/>
        </w:rPr>
        <w:t xml:space="preserve">Usługa ubezpieczenia, objęta przedmiotem zamówienia, realizowana będzie w okresie </w:t>
      </w:r>
      <w:r w:rsidR="00DF4745" w:rsidRPr="00CF0D33">
        <w:rPr>
          <w:rFonts w:asciiTheme="majorHAnsi" w:hAnsiTheme="majorHAnsi" w:cstheme="minorHAnsi"/>
          <w:szCs w:val="20"/>
        </w:rPr>
        <w:t>01-01-202</w:t>
      </w:r>
      <w:r w:rsidR="002161C9" w:rsidRPr="00CF0D33">
        <w:rPr>
          <w:rFonts w:asciiTheme="majorHAnsi" w:hAnsiTheme="majorHAnsi" w:cstheme="minorHAnsi"/>
          <w:szCs w:val="20"/>
        </w:rPr>
        <w:t>5</w:t>
      </w:r>
      <w:r w:rsidR="0067620F" w:rsidRPr="00CF0D33">
        <w:rPr>
          <w:rFonts w:asciiTheme="majorHAnsi" w:hAnsiTheme="majorHAnsi" w:cstheme="minorHAnsi"/>
          <w:szCs w:val="20"/>
        </w:rPr>
        <w:t xml:space="preserve"> -31-12-202</w:t>
      </w:r>
      <w:r w:rsidR="00F46F6F" w:rsidRPr="00CF0D33">
        <w:rPr>
          <w:rFonts w:asciiTheme="majorHAnsi" w:hAnsiTheme="majorHAnsi" w:cstheme="minorHAnsi"/>
          <w:szCs w:val="20"/>
        </w:rPr>
        <w:t>6</w:t>
      </w:r>
    </w:p>
    <w:p w14:paraId="6B2FCF98" w14:textId="03D7340E" w:rsidR="00156798" w:rsidRPr="004D74BA" w:rsidRDefault="00156798" w:rsidP="002A2698">
      <w:pPr>
        <w:spacing w:before="120" w:line="276" w:lineRule="auto"/>
        <w:ind w:left="426" w:right="567"/>
        <w:rPr>
          <w:rFonts w:asciiTheme="majorHAnsi" w:hAnsiTheme="majorHAnsi" w:cstheme="minorHAnsi"/>
          <w:szCs w:val="20"/>
        </w:rPr>
      </w:pPr>
      <w:r w:rsidRPr="004D74BA">
        <w:rPr>
          <w:rFonts w:asciiTheme="majorHAnsi" w:hAnsiTheme="majorHAnsi" w:cstheme="minorHAnsi"/>
          <w:szCs w:val="20"/>
        </w:rPr>
        <w:t xml:space="preserve">Faktyczne składki za ubezpieczenia poszczególnych pojazdów będą naliczane wg stawek podanych w formularzu oferty, dla zaktualizowanych sum ubezpieczenia na dzień rozpoczęcia ochrony ubezpieczeniowej przedmiotowego pojazdu. Składka płatna </w:t>
      </w:r>
      <w:r w:rsidR="00564808" w:rsidRPr="004D74BA">
        <w:rPr>
          <w:rFonts w:asciiTheme="majorHAnsi" w:hAnsiTheme="majorHAnsi" w:cstheme="minorHAnsi"/>
          <w:szCs w:val="20"/>
        </w:rPr>
        <w:t>jednorazowo</w:t>
      </w:r>
      <w:r w:rsidR="00E67DF6" w:rsidRPr="004D74BA">
        <w:rPr>
          <w:rFonts w:asciiTheme="majorHAnsi" w:hAnsiTheme="majorHAnsi" w:cstheme="minorHAnsi"/>
          <w:szCs w:val="20"/>
        </w:rPr>
        <w:t xml:space="preserve">. </w:t>
      </w:r>
    </w:p>
    <w:p w14:paraId="243BE691" w14:textId="77777777" w:rsidR="00156798" w:rsidRPr="004D74BA" w:rsidRDefault="00156798" w:rsidP="00156798">
      <w:pPr>
        <w:numPr>
          <w:ilvl w:val="0"/>
          <w:numId w:val="18"/>
        </w:numPr>
        <w:rPr>
          <w:rFonts w:asciiTheme="majorHAnsi" w:hAnsiTheme="majorHAnsi" w:cstheme="minorHAnsi"/>
          <w:szCs w:val="20"/>
        </w:rPr>
      </w:pPr>
      <w:r w:rsidRPr="004D74BA">
        <w:rPr>
          <w:rFonts w:asciiTheme="majorHAnsi" w:hAnsiTheme="majorHAnsi" w:cstheme="minorHAnsi"/>
          <w:szCs w:val="20"/>
        </w:rPr>
        <w:t xml:space="preserve">Podstawowe dokumenty stanowić będą: </w:t>
      </w:r>
    </w:p>
    <w:p w14:paraId="29091554"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Umowa Generalna regulująca zasady funkcjonowania ubezpieczenia flotowego, tj. ujmująca całość warunków merytorycznych i finansowych, na mocy której będzie zawierane ubezpieczenie pojazdów,</w:t>
      </w:r>
    </w:p>
    <w:p w14:paraId="5C840A63"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indywidualne lub zbiorcze polisy oraz potwierdzenia OC dla ubezpieczanych pojazdów,</w:t>
      </w:r>
    </w:p>
    <w:p w14:paraId="508F4DC2"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Ogólne Warunki Ubezpieczenia.</w:t>
      </w:r>
    </w:p>
    <w:p w14:paraId="24A6E47E" w14:textId="6A0DE763" w:rsidR="00156798" w:rsidRPr="004D74BA" w:rsidRDefault="00156798" w:rsidP="00364AA4">
      <w:pPr>
        <w:pStyle w:val="Akapitzlist"/>
        <w:numPr>
          <w:ilvl w:val="0"/>
          <w:numId w:val="18"/>
        </w:numPr>
        <w:rPr>
          <w:rFonts w:asciiTheme="majorHAnsi" w:hAnsiTheme="majorHAnsi" w:cstheme="minorHAnsi"/>
          <w:szCs w:val="20"/>
        </w:rPr>
      </w:pPr>
      <w:r w:rsidRPr="004D74BA">
        <w:rPr>
          <w:rFonts w:asciiTheme="majorHAnsi" w:hAnsiTheme="majorHAnsi" w:cstheme="minorHAnsi"/>
          <w:szCs w:val="20"/>
        </w:rPr>
        <w:t xml:space="preserve">Płatnikiem składek będzie </w:t>
      </w:r>
      <w:r w:rsidR="0074042A" w:rsidRPr="004D74BA">
        <w:rPr>
          <w:rFonts w:asciiTheme="majorHAnsi" w:hAnsiTheme="majorHAnsi" w:cstheme="minorHAnsi"/>
          <w:szCs w:val="20"/>
        </w:rPr>
        <w:t>Przedsiębiorstwo Gospodarki Odpadami Sp. z o.o.</w:t>
      </w:r>
      <w:r w:rsidR="002161C9">
        <w:rPr>
          <w:rFonts w:asciiTheme="majorHAnsi" w:hAnsiTheme="majorHAnsi" w:cstheme="minorHAnsi"/>
          <w:szCs w:val="20"/>
        </w:rPr>
        <w:t xml:space="preserve"> w Promniku</w:t>
      </w:r>
      <w:r w:rsidR="0074042A" w:rsidRPr="004D74BA">
        <w:rPr>
          <w:rFonts w:asciiTheme="majorHAnsi" w:hAnsiTheme="majorHAnsi" w:cstheme="minorHAnsi"/>
          <w:szCs w:val="20"/>
        </w:rPr>
        <w:t>, Ul. Św. Tekli 62, Promnik 26-067 Strawczyn.</w:t>
      </w:r>
    </w:p>
    <w:p w14:paraId="31988785" w14:textId="1DF61922" w:rsidR="00156798" w:rsidRPr="004D74BA" w:rsidRDefault="00156798" w:rsidP="00156798">
      <w:pPr>
        <w:numPr>
          <w:ilvl w:val="0"/>
          <w:numId w:val="18"/>
        </w:numPr>
        <w:rPr>
          <w:rFonts w:asciiTheme="majorHAnsi" w:hAnsiTheme="majorHAnsi" w:cstheme="minorHAnsi"/>
          <w:szCs w:val="20"/>
        </w:rPr>
      </w:pPr>
      <w:r w:rsidRPr="004D74BA">
        <w:rPr>
          <w:rFonts w:asciiTheme="majorHAnsi" w:hAnsiTheme="majorHAnsi" w:cstheme="minorHAnsi"/>
          <w:szCs w:val="20"/>
        </w:rPr>
        <w:t xml:space="preserve">Ubezpieczyciel wystawi odpowiednią polisę w jednym egzemplarzu bez konieczności jej podpisu przez osobę uprawnioną. </w:t>
      </w:r>
    </w:p>
    <w:p w14:paraId="4393D9AD" w14:textId="15AC8AFE" w:rsidR="001211F4" w:rsidRPr="004D74BA" w:rsidRDefault="00156798" w:rsidP="001211F4">
      <w:pPr>
        <w:numPr>
          <w:ilvl w:val="0"/>
          <w:numId w:val="18"/>
        </w:numPr>
        <w:rPr>
          <w:rFonts w:asciiTheme="majorHAnsi" w:hAnsiTheme="majorHAnsi" w:cstheme="minorHAnsi"/>
          <w:color w:val="000000" w:themeColor="text1"/>
          <w:szCs w:val="20"/>
        </w:rPr>
      </w:pPr>
      <w:r w:rsidRPr="004D74BA">
        <w:rPr>
          <w:rFonts w:asciiTheme="majorHAnsi" w:hAnsiTheme="majorHAnsi" w:cstheme="minorHAnsi"/>
          <w:szCs w:val="20"/>
        </w:rPr>
        <w:t>Na dzień ogłoszenia przetargu stan fl</w:t>
      </w:r>
      <w:r w:rsidRPr="00593929">
        <w:rPr>
          <w:rFonts w:asciiTheme="majorHAnsi" w:hAnsiTheme="majorHAnsi" w:cstheme="minorHAnsi"/>
          <w:szCs w:val="20"/>
        </w:rPr>
        <w:t xml:space="preserve">oty to </w:t>
      </w:r>
      <w:r w:rsidR="00EA4023">
        <w:rPr>
          <w:rFonts w:asciiTheme="majorHAnsi" w:hAnsiTheme="majorHAnsi" w:cstheme="minorHAnsi"/>
          <w:szCs w:val="20"/>
        </w:rPr>
        <w:t>40</w:t>
      </w:r>
      <w:bookmarkStart w:id="0" w:name="_GoBack"/>
      <w:bookmarkEnd w:id="0"/>
      <w:r w:rsidR="0063364F" w:rsidRPr="004D74BA">
        <w:rPr>
          <w:rFonts w:asciiTheme="majorHAnsi" w:hAnsiTheme="majorHAnsi" w:cstheme="minorHAnsi"/>
          <w:szCs w:val="20"/>
        </w:rPr>
        <w:t xml:space="preserve"> </w:t>
      </w:r>
      <w:r w:rsidRPr="004D74BA">
        <w:rPr>
          <w:rFonts w:asciiTheme="majorHAnsi" w:hAnsiTheme="majorHAnsi" w:cstheme="minorHAnsi"/>
          <w:szCs w:val="20"/>
        </w:rPr>
        <w:t xml:space="preserve"> po</w:t>
      </w:r>
      <w:r w:rsidR="00500E14" w:rsidRPr="004D74BA">
        <w:rPr>
          <w:rFonts w:asciiTheme="majorHAnsi" w:hAnsiTheme="majorHAnsi" w:cstheme="minorHAnsi"/>
          <w:szCs w:val="20"/>
        </w:rPr>
        <w:t>jazd</w:t>
      </w:r>
      <w:r w:rsidR="00DF1EED" w:rsidRPr="004D74BA">
        <w:rPr>
          <w:rFonts w:asciiTheme="majorHAnsi" w:hAnsiTheme="majorHAnsi" w:cstheme="minorHAnsi"/>
          <w:szCs w:val="20"/>
        </w:rPr>
        <w:t>ów</w:t>
      </w:r>
      <w:r w:rsidR="00500E14" w:rsidRPr="004D74BA">
        <w:rPr>
          <w:rFonts w:asciiTheme="majorHAnsi" w:hAnsiTheme="majorHAnsi" w:cstheme="minorHAnsi"/>
          <w:szCs w:val="20"/>
        </w:rPr>
        <w:t xml:space="preserve">, wskazane </w:t>
      </w:r>
      <w:r w:rsidR="002161C9">
        <w:rPr>
          <w:rFonts w:asciiTheme="majorHAnsi" w:hAnsiTheme="majorHAnsi" w:cstheme="minorHAnsi"/>
          <w:b/>
          <w:szCs w:val="20"/>
        </w:rPr>
        <w:t>Szczegółowym formularzu cenowym stanowiącym załącznik do Formularza ofertowego.</w:t>
      </w:r>
    </w:p>
    <w:p w14:paraId="1A128BF4" w14:textId="77777777" w:rsidR="00156798" w:rsidRPr="004D74BA" w:rsidRDefault="00156798" w:rsidP="00156798">
      <w:pPr>
        <w:numPr>
          <w:ilvl w:val="0"/>
          <w:numId w:val="18"/>
        </w:numPr>
        <w:rPr>
          <w:rFonts w:asciiTheme="majorHAnsi" w:hAnsiTheme="majorHAnsi" w:cstheme="minorHAnsi"/>
          <w:color w:val="000000"/>
          <w:szCs w:val="20"/>
        </w:rPr>
      </w:pPr>
      <w:r w:rsidRPr="004D74BA">
        <w:rPr>
          <w:rFonts w:asciiTheme="majorHAnsi" w:hAnsiTheme="majorHAnsi" w:cstheme="minorHAnsi"/>
          <w:color w:val="000000"/>
          <w:szCs w:val="20"/>
        </w:rPr>
        <w:t xml:space="preserve">Ewentualne nowe pojazdy będą objęte ubezpieczeniem na warunkach określonych w niniejszym OPZ, z zachowaniem zasad wynikających z ustawy Prawo zamówień publicznych dotyczących zamówień uzupełniających. Ubezpieczyciel ubezpieczy nowe pojazdy przy zastosowaniu dla danych rodzajów pojazdów i/lub ubezpieczonych jednostek składek takich, jak w złożonej przez Ubezpieczyciela ofercie (w przypadku ubezpieczenia autocasco składki będzie stanowić iloczyn sumy ubezpieczenia i określonych w ofercie stawek). Okres ubezpieczeń NNW i/lub </w:t>
      </w:r>
      <w:proofErr w:type="spellStart"/>
      <w:r w:rsidRPr="004D74BA">
        <w:rPr>
          <w:rFonts w:asciiTheme="majorHAnsi" w:hAnsiTheme="majorHAnsi" w:cstheme="minorHAnsi"/>
          <w:color w:val="000000"/>
          <w:szCs w:val="20"/>
        </w:rPr>
        <w:t>assistance</w:t>
      </w:r>
      <w:proofErr w:type="spellEnd"/>
      <w:r w:rsidRPr="004D74BA">
        <w:rPr>
          <w:rFonts w:asciiTheme="majorHAnsi" w:hAnsiTheme="majorHAnsi" w:cstheme="minorHAnsi"/>
          <w:color w:val="000000"/>
          <w:szCs w:val="20"/>
        </w:rPr>
        <w:t xml:space="preserve"> odpowiadać będzie okresowi ubezpieczenia odpowiedzialności cywilnej lub autocasco.</w:t>
      </w:r>
    </w:p>
    <w:p w14:paraId="548FDBC4" w14:textId="77777777" w:rsidR="00156798" w:rsidRPr="004D74BA" w:rsidRDefault="00156798" w:rsidP="00156798">
      <w:pPr>
        <w:numPr>
          <w:ilvl w:val="0"/>
          <w:numId w:val="18"/>
        </w:numPr>
        <w:rPr>
          <w:rFonts w:asciiTheme="majorHAnsi" w:hAnsiTheme="majorHAnsi" w:cstheme="minorHAnsi"/>
          <w:color w:val="000000"/>
          <w:szCs w:val="20"/>
        </w:rPr>
      </w:pPr>
      <w:r w:rsidRPr="004D74BA">
        <w:rPr>
          <w:rFonts w:asciiTheme="majorHAnsi" w:hAnsiTheme="majorHAnsi" w:cstheme="minorHAnsi"/>
          <w:color w:val="000000"/>
          <w:szCs w:val="20"/>
        </w:rPr>
        <w:t>Zgłoszenie pojazdu do ubezpieczenia powinno zawierać następujące dane:</w:t>
      </w:r>
    </w:p>
    <w:p w14:paraId="2DEEDD06"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Dane Ubezpieczającego (w tym nazwa, adres);</w:t>
      </w:r>
    </w:p>
    <w:p w14:paraId="3FA1FB75"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Dane właściciela (jeśli inny niż Ubezpieczający - w tym nazwa, adres);</w:t>
      </w:r>
    </w:p>
    <w:p w14:paraId="44388DE5"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Marka, model, typ i rodzaj pojazdu;</w:t>
      </w:r>
    </w:p>
    <w:p w14:paraId="48A87497"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Rok produkcji;</w:t>
      </w:r>
    </w:p>
    <w:p w14:paraId="018D9C00"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Data pierwszej rejestracji;</w:t>
      </w:r>
    </w:p>
    <w:p w14:paraId="30A668FE"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Pojemność silnika;</w:t>
      </w:r>
    </w:p>
    <w:p w14:paraId="7B16AC91"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Dopuszczalna ładowność, zgodnie z zapisem w dowodzie rejestracyjnym;</w:t>
      </w:r>
    </w:p>
    <w:p w14:paraId="2FE72948"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Nr rejestracyjny;</w:t>
      </w:r>
    </w:p>
    <w:p w14:paraId="52276EEB"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lastRenderedPageBreak/>
        <w:t>Nr VIN;</w:t>
      </w:r>
    </w:p>
    <w:p w14:paraId="4DD71D50"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Okres ubezpieczenia;</w:t>
      </w:r>
    </w:p>
    <w:p w14:paraId="508C6E23" w14:textId="77777777" w:rsidR="00156798" w:rsidRPr="004D74BA" w:rsidRDefault="00156798" w:rsidP="00156798">
      <w:pPr>
        <w:ind w:firstLine="360"/>
        <w:rPr>
          <w:rFonts w:asciiTheme="majorHAnsi" w:hAnsiTheme="majorHAnsi" w:cstheme="minorHAnsi"/>
          <w:color w:val="000000"/>
          <w:szCs w:val="20"/>
        </w:rPr>
      </w:pPr>
      <w:r w:rsidRPr="004D74BA">
        <w:rPr>
          <w:rFonts w:asciiTheme="majorHAnsi" w:hAnsiTheme="majorHAnsi" w:cstheme="minorHAnsi"/>
          <w:color w:val="000000"/>
          <w:szCs w:val="20"/>
        </w:rPr>
        <w:t>oraz dodatkowo w ubezpieczeniu AC:</w:t>
      </w:r>
    </w:p>
    <w:p w14:paraId="366A1A05"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aktualną sumę ubezpieczenia pojazdu, z zaznaczeniem czy suma zawiera podatek VAT;</w:t>
      </w:r>
    </w:p>
    <w:p w14:paraId="1F74FB79" w14:textId="77777777" w:rsidR="00156798" w:rsidRPr="004D74BA" w:rsidRDefault="00156798" w:rsidP="00156798">
      <w:pPr>
        <w:numPr>
          <w:ilvl w:val="1"/>
          <w:numId w:val="4"/>
        </w:numPr>
        <w:rPr>
          <w:rFonts w:asciiTheme="majorHAnsi" w:hAnsiTheme="majorHAnsi" w:cstheme="minorHAnsi"/>
          <w:szCs w:val="20"/>
        </w:rPr>
      </w:pPr>
      <w:r w:rsidRPr="004D74BA">
        <w:rPr>
          <w:rFonts w:asciiTheme="majorHAnsi" w:hAnsiTheme="majorHAnsi" w:cstheme="minorHAnsi"/>
          <w:szCs w:val="20"/>
        </w:rPr>
        <w:t>informację o dodatkowym wyposażeniu, które ma być objęte ochroną.</w:t>
      </w:r>
    </w:p>
    <w:p w14:paraId="65E019A3" w14:textId="77777777" w:rsidR="00156798" w:rsidRPr="004D74BA" w:rsidRDefault="00156798" w:rsidP="00156798">
      <w:pPr>
        <w:ind w:left="1080"/>
        <w:rPr>
          <w:rFonts w:asciiTheme="majorHAnsi" w:hAnsiTheme="majorHAnsi" w:cstheme="minorHAnsi"/>
          <w:color w:val="000000"/>
          <w:szCs w:val="20"/>
        </w:rPr>
      </w:pPr>
    </w:p>
    <w:p w14:paraId="61446365" w14:textId="77777777" w:rsidR="00156798" w:rsidRPr="004D74BA" w:rsidRDefault="00156798" w:rsidP="00156798">
      <w:pPr>
        <w:rPr>
          <w:rFonts w:asciiTheme="majorHAnsi" w:hAnsiTheme="majorHAnsi" w:cstheme="minorHAnsi"/>
          <w:szCs w:val="20"/>
        </w:rPr>
      </w:pPr>
      <w:r w:rsidRPr="004D74BA">
        <w:rPr>
          <w:rFonts w:asciiTheme="majorHAnsi" w:hAnsiTheme="majorHAnsi" w:cstheme="minorHAnsi"/>
          <w:szCs w:val="20"/>
        </w:rPr>
        <w:t xml:space="preserve">Zamawiający nie dopuszcza wprowadzania przez Wykonawcę dodatkowych wymogów obejmujących konieczność dokonywania dokumentacji fotograficznej w przypadku m.in. rozszerzania zakresu ubezpieczenia </w:t>
      </w:r>
      <w:proofErr w:type="spellStart"/>
      <w:r w:rsidRPr="004D74BA">
        <w:rPr>
          <w:rFonts w:asciiTheme="majorHAnsi" w:hAnsiTheme="majorHAnsi" w:cstheme="minorHAnsi"/>
          <w:szCs w:val="20"/>
        </w:rPr>
        <w:t>assistance</w:t>
      </w:r>
      <w:proofErr w:type="spellEnd"/>
      <w:r w:rsidRPr="004D74BA">
        <w:rPr>
          <w:rFonts w:asciiTheme="majorHAnsi" w:hAnsiTheme="majorHAnsi" w:cstheme="minorHAnsi"/>
          <w:szCs w:val="20"/>
        </w:rPr>
        <w:t xml:space="preserve"> czy autocasco, zmian sumy ubezpieczenia lub zakresu terytorialnego. W sytuacji, gdy</w:t>
      </w:r>
      <w:r w:rsidRPr="004D74BA">
        <w:rPr>
          <w:rFonts w:asciiTheme="majorHAnsi" w:eastAsia="@Arial Unicode MS" w:hAnsiTheme="majorHAnsi" w:cstheme="minorHAnsi"/>
          <w:color w:val="000000"/>
          <w:szCs w:val="20"/>
        </w:rPr>
        <w:t xml:space="preserve"> pojazd nie był ubezpieczony dotychczas w zakresie AC w żadnym innym zakładzie ubezpieczeń czy była przerwa w okresie ubezpieczenia Wykonawca może zawnioskować o dokumentację zdjęciową.</w:t>
      </w:r>
    </w:p>
    <w:p w14:paraId="17A60A16" w14:textId="77777777" w:rsidR="00156798" w:rsidRPr="004D74BA" w:rsidRDefault="00156798" w:rsidP="00156798">
      <w:pPr>
        <w:rPr>
          <w:rFonts w:asciiTheme="majorHAnsi" w:hAnsiTheme="majorHAnsi" w:cstheme="minorHAnsi"/>
          <w:szCs w:val="20"/>
        </w:rPr>
      </w:pPr>
    </w:p>
    <w:p w14:paraId="57DDB326" w14:textId="77777777" w:rsidR="00156798" w:rsidRPr="004D74BA" w:rsidRDefault="00156798" w:rsidP="00156798">
      <w:pPr>
        <w:ind w:left="357" w:hanging="357"/>
        <w:rPr>
          <w:rFonts w:asciiTheme="majorHAnsi" w:hAnsiTheme="majorHAnsi" w:cstheme="minorHAnsi"/>
          <w:b/>
          <w:bCs/>
          <w:szCs w:val="20"/>
        </w:rPr>
      </w:pPr>
      <w:r w:rsidRPr="004D74BA">
        <w:rPr>
          <w:rFonts w:asciiTheme="majorHAnsi" w:hAnsiTheme="majorHAnsi" w:cstheme="minorHAnsi"/>
          <w:b/>
          <w:bCs/>
          <w:szCs w:val="20"/>
        </w:rPr>
        <w:t>II.</w:t>
      </w:r>
      <w:r w:rsidRPr="004D74BA">
        <w:rPr>
          <w:rFonts w:asciiTheme="majorHAnsi" w:hAnsiTheme="majorHAnsi" w:cstheme="minorHAnsi"/>
          <w:b/>
          <w:bCs/>
          <w:szCs w:val="20"/>
        </w:rPr>
        <w:tab/>
        <w:t>UBEZPIECZENIE ODPOWIEDZIALNOŚCI CYWILNEJ POSIADACZA POJAZDÓW MECHANICZNYCH</w:t>
      </w:r>
    </w:p>
    <w:p w14:paraId="6F2EABBE" w14:textId="77777777" w:rsidR="00156798" w:rsidRPr="004D74BA" w:rsidRDefault="00156798" w:rsidP="00156798">
      <w:pPr>
        <w:rPr>
          <w:rFonts w:asciiTheme="majorHAnsi" w:hAnsiTheme="majorHAnsi" w:cstheme="minorHAnsi"/>
          <w:szCs w:val="20"/>
        </w:rPr>
      </w:pPr>
    </w:p>
    <w:p w14:paraId="6C7F8A49" w14:textId="77777777" w:rsidR="00156798" w:rsidRPr="004D74BA" w:rsidRDefault="00156798" w:rsidP="00156798">
      <w:pPr>
        <w:numPr>
          <w:ilvl w:val="0"/>
          <w:numId w:val="6"/>
        </w:numPr>
        <w:rPr>
          <w:rFonts w:asciiTheme="majorHAnsi" w:hAnsiTheme="majorHAnsi" w:cstheme="minorHAnsi"/>
          <w:b/>
          <w:szCs w:val="20"/>
        </w:rPr>
      </w:pPr>
      <w:r w:rsidRPr="004D74BA">
        <w:rPr>
          <w:rFonts w:asciiTheme="majorHAnsi" w:hAnsiTheme="majorHAnsi" w:cstheme="minorHAnsi"/>
          <w:b/>
          <w:szCs w:val="20"/>
        </w:rPr>
        <w:t>Zakres ubezpieczenia</w:t>
      </w:r>
    </w:p>
    <w:p w14:paraId="73E912DE" w14:textId="77777777" w:rsidR="00156798" w:rsidRPr="004D74BA" w:rsidRDefault="00156798" w:rsidP="00156798">
      <w:pPr>
        <w:rPr>
          <w:rFonts w:asciiTheme="majorHAnsi" w:hAnsiTheme="majorHAnsi" w:cstheme="minorHAnsi"/>
          <w:szCs w:val="20"/>
        </w:rPr>
      </w:pPr>
    </w:p>
    <w:p w14:paraId="4F85D4B2" w14:textId="77777777" w:rsidR="00156798" w:rsidRPr="004D74BA" w:rsidRDefault="00156798" w:rsidP="00156798">
      <w:pPr>
        <w:rPr>
          <w:rFonts w:asciiTheme="majorHAnsi" w:hAnsiTheme="majorHAnsi" w:cstheme="minorHAnsi"/>
          <w:szCs w:val="20"/>
        </w:rPr>
      </w:pPr>
      <w:r w:rsidRPr="004D74BA">
        <w:rPr>
          <w:rFonts w:asciiTheme="majorHAnsi" w:hAnsiTheme="majorHAnsi" w:cstheme="minorHAnsi"/>
          <w:szCs w:val="20"/>
        </w:rPr>
        <w:t>Odpowiedzialność cywilna posiadaczy pojazdów mechanicznych za szkody powstałe w związku z ruchem tych pojazdów zgodnie z Ustawą z dnia 22 maja 2003 r. o ubezpieczeniach obowiązkowych, Ubezpieczeniowym Funduszu Gwarancyjnym i Polskim Biurze Ubezpieczycieli Komunikacyjnych (</w:t>
      </w:r>
      <w:r w:rsidRPr="004D74BA">
        <w:rPr>
          <w:rFonts w:asciiTheme="majorHAnsi" w:hAnsiTheme="majorHAnsi" w:cstheme="minorHAnsi"/>
          <w:color w:val="000000"/>
          <w:szCs w:val="20"/>
        </w:rPr>
        <w:t xml:space="preserve">Dz.U.2013.392 z </w:t>
      </w:r>
      <w:proofErr w:type="spellStart"/>
      <w:r w:rsidRPr="004D74BA">
        <w:rPr>
          <w:rFonts w:asciiTheme="majorHAnsi" w:hAnsiTheme="majorHAnsi" w:cstheme="minorHAnsi"/>
          <w:color w:val="000000"/>
          <w:szCs w:val="20"/>
        </w:rPr>
        <w:t>późn</w:t>
      </w:r>
      <w:proofErr w:type="spellEnd"/>
      <w:r w:rsidRPr="004D74BA">
        <w:rPr>
          <w:rFonts w:asciiTheme="majorHAnsi" w:hAnsiTheme="majorHAnsi" w:cstheme="minorHAnsi"/>
          <w:color w:val="000000"/>
          <w:szCs w:val="20"/>
        </w:rPr>
        <w:t xml:space="preserve">. zm.) </w:t>
      </w:r>
      <w:r w:rsidRPr="004D74BA">
        <w:rPr>
          <w:rFonts w:asciiTheme="majorHAnsi" w:hAnsiTheme="majorHAnsi" w:cstheme="minorHAnsi"/>
          <w:szCs w:val="20"/>
        </w:rPr>
        <w:t>wraz z Zieloną Kartą (tam gdzie będzie wymagana – na osobny wniosek, wliczona w cenę OC posiadaczy pojazdów mechanicznych).</w:t>
      </w:r>
    </w:p>
    <w:p w14:paraId="5C3D88DA" w14:textId="77777777" w:rsidR="00156798" w:rsidRPr="004D74BA" w:rsidRDefault="00156798" w:rsidP="00156798">
      <w:pPr>
        <w:rPr>
          <w:rFonts w:asciiTheme="majorHAnsi" w:hAnsiTheme="majorHAnsi" w:cstheme="minorHAnsi"/>
          <w:szCs w:val="20"/>
        </w:rPr>
      </w:pPr>
    </w:p>
    <w:p w14:paraId="3FB80B61" w14:textId="77777777" w:rsidR="00156798" w:rsidRPr="004D74BA" w:rsidRDefault="00156798" w:rsidP="00156798">
      <w:pPr>
        <w:numPr>
          <w:ilvl w:val="0"/>
          <w:numId w:val="6"/>
        </w:numPr>
        <w:rPr>
          <w:rFonts w:asciiTheme="majorHAnsi" w:hAnsiTheme="majorHAnsi" w:cstheme="minorHAnsi"/>
          <w:b/>
          <w:szCs w:val="20"/>
        </w:rPr>
      </w:pPr>
      <w:r w:rsidRPr="004D74BA">
        <w:rPr>
          <w:rFonts w:asciiTheme="majorHAnsi" w:hAnsiTheme="majorHAnsi" w:cstheme="minorHAnsi"/>
          <w:b/>
          <w:szCs w:val="20"/>
        </w:rPr>
        <w:t xml:space="preserve">Suma gwarancyjna </w:t>
      </w:r>
    </w:p>
    <w:p w14:paraId="12996F91" w14:textId="77777777" w:rsidR="00156798" w:rsidRPr="004D74BA" w:rsidRDefault="00156798" w:rsidP="00156798">
      <w:pPr>
        <w:rPr>
          <w:rFonts w:asciiTheme="majorHAnsi" w:hAnsiTheme="majorHAnsi" w:cstheme="minorHAnsi"/>
          <w:szCs w:val="20"/>
        </w:rPr>
      </w:pPr>
    </w:p>
    <w:p w14:paraId="2359D3A9" w14:textId="77777777" w:rsidR="00156798" w:rsidRPr="004D74BA" w:rsidRDefault="00156798" w:rsidP="00156798">
      <w:pPr>
        <w:rPr>
          <w:rFonts w:asciiTheme="majorHAnsi" w:hAnsiTheme="majorHAnsi" w:cstheme="minorHAnsi"/>
          <w:szCs w:val="20"/>
        </w:rPr>
      </w:pPr>
      <w:r w:rsidRPr="004D74BA">
        <w:rPr>
          <w:rFonts w:asciiTheme="majorHAnsi" w:hAnsiTheme="majorHAnsi" w:cstheme="minorHAnsi"/>
          <w:szCs w:val="20"/>
        </w:rPr>
        <w:t>Ustawowa.</w:t>
      </w:r>
    </w:p>
    <w:p w14:paraId="4819C6E5" w14:textId="77777777" w:rsidR="00156798" w:rsidRPr="004D74BA" w:rsidRDefault="00156798" w:rsidP="00156798">
      <w:pPr>
        <w:numPr>
          <w:ilvl w:val="1"/>
          <w:numId w:val="7"/>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 xml:space="preserve">w przypadku szkód na osobie – 5 </w:t>
      </w:r>
      <w:r w:rsidR="0063364F" w:rsidRPr="004D74BA">
        <w:rPr>
          <w:rFonts w:asciiTheme="majorHAnsi" w:hAnsiTheme="majorHAnsi" w:cstheme="minorHAnsi"/>
          <w:szCs w:val="20"/>
        </w:rPr>
        <w:t>210</w:t>
      </w:r>
      <w:r w:rsidRPr="004D74BA">
        <w:rPr>
          <w:rFonts w:asciiTheme="majorHAnsi" w:hAnsiTheme="majorHAnsi" w:cstheme="minorHAnsi"/>
          <w:szCs w:val="20"/>
        </w:rPr>
        <w:t xml:space="preserve"> 000 euro w odniesieniu do jednego zdarzenia, którego skutki są objęte ubezpieczeniem bez względu na liczbę poszkodowanych,</w:t>
      </w:r>
    </w:p>
    <w:p w14:paraId="1FF02A7E" w14:textId="77777777" w:rsidR="00156798" w:rsidRPr="004D74BA" w:rsidRDefault="00156798" w:rsidP="00156798">
      <w:pPr>
        <w:numPr>
          <w:ilvl w:val="1"/>
          <w:numId w:val="7"/>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w przypadku szkód w mieniu – 1 0</w:t>
      </w:r>
      <w:r w:rsidR="0063364F" w:rsidRPr="004D74BA">
        <w:rPr>
          <w:rFonts w:asciiTheme="majorHAnsi" w:hAnsiTheme="majorHAnsi" w:cstheme="minorHAnsi"/>
          <w:szCs w:val="20"/>
        </w:rPr>
        <w:t>50</w:t>
      </w:r>
      <w:r w:rsidRPr="004D74BA">
        <w:rPr>
          <w:rFonts w:asciiTheme="majorHAnsi" w:hAnsiTheme="majorHAnsi" w:cstheme="minorHAnsi"/>
          <w:szCs w:val="20"/>
        </w:rPr>
        <w:t xml:space="preserve"> 000 euro w odniesieniu do jednego zdarzenia, którego skutki są objęte ubezpieczeniem bez względu na liczbę poszkodowanych.</w:t>
      </w:r>
    </w:p>
    <w:p w14:paraId="5B9ADB72" w14:textId="77777777" w:rsidR="00156798" w:rsidRPr="004D74BA" w:rsidRDefault="00156798" w:rsidP="00156798">
      <w:pPr>
        <w:rPr>
          <w:rFonts w:asciiTheme="majorHAnsi" w:hAnsiTheme="majorHAnsi" w:cstheme="minorHAnsi"/>
          <w:szCs w:val="20"/>
        </w:rPr>
      </w:pPr>
    </w:p>
    <w:p w14:paraId="5EE17CAE" w14:textId="77777777" w:rsidR="00156798" w:rsidRPr="004D74BA" w:rsidRDefault="00156798" w:rsidP="00156798">
      <w:pPr>
        <w:numPr>
          <w:ilvl w:val="0"/>
          <w:numId w:val="6"/>
        </w:numPr>
        <w:rPr>
          <w:rFonts w:asciiTheme="majorHAnsi" w:hAnsiTheme="majorHAnsi" w:cstheme="minorHAnsi"/>
          <w:b/>
          <w:szCs w:val="20"/>
        </w:rPr>
      </w:pPr>
      <w:r w:rsidRPr="004D74BA">
        <w:rPr>
          <w:rFonts w:asciiTheme="majorHAnsi" w:hAnsiTheme="majorHAnsi" w:cstheme="minorHAnsi"/>
          <w:b/>
          <w:szCs w:val="20"/>
        </w:rPr>
        <w:t>Okres polisowy</w:t>
      </w:r>
    </w:p>
    <w:p w14:paraId="0B78F801"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Ubezpieczenie zawierane jest na okres 12 miesięcy i rozpoczyna się najpóźniej od dnia zarejestrowania pojazdu lub ekspiracji poprzedniego ubezpieczenia. Za datę początku odpowiedzialności ubezpieczyciela przyjmuje się dzień złożenia wniosku/zgłoszenia do ubezpieczenia chyba, że podano datę późniejszą.</w:t>
      </w:r>
    </w:p>
    <w:p w14:paraId="3ACEFB35" w14:textId="77777777" w:rsidR="00156798" w:rsidRPr="004D74BA" w:rsidRDefault="00156798" w:rsidP="00156798">
      <w:pPr>
        <w:rPr>
          <w:rFonts w:asciiTheme="majorHAnsi" w:hAnsiTheme="majorHAnsi" w:cstheme="minorHAnsi"/>
          <w:color w:val="000000" w:themeColor="text1"/>
          <w:szCs w:val="20"/>
        </w:rPr>
      </w:pPr>
    </w:p>
    <w:p w14:paraId="3187E69D"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xml:space="preserve">Nowe pojazdy zakupione przez Ubezpieczonych zostaną automatycznie objęte ochroną od dnia ich zgłoszenia do Ubezpieczyciela. Zgłoszenie powinno nastąpić nie później niż w dniu rejestracji pojazdu. </w:t>
      </w:r>
    </w:p>
    <w:p w14:paraId="45A6DE04" w14:textId="77777777" w:rsidR="00156798" w:rsidRPr="004D74BA" w:rsidRDefault="00156798" w:rsidP="00156798">
      <w:pPr>
        <w:rPr>
          <w:rFonts w:asciiTheme="majorHAnsi" w:hAnsiTheme="majorHAnsi" w:cstheme="minorHAnsi"/>
          <w:color w:val="000000" w:themeColor="text1"/>
          <w:szCs w:val="20"/>
        </w:rPr>
      </w:pPr>
    </w:p>
    <w:p w14:paraId="2DA01626"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xml:space="preserve">Ubezpieczony ma możliwość dostarczenia niezbędnych do zawarcia umowy ubezpieczenia dokumentów w terminie 3 dni roboczych od dnia rejestracji pojazdu. </w:t>
      </w:r>
    </w:p>
    <w:p w14:paraId="717E6959" w14:textId="77777777" w:rsidR="00156798" w:rsidRPr="004D74BA" w:rsidRDefault="00156798" w:rsidP="00156798">
      <w:pPr>
        <w:rPr>
          <w:rFonts w:asciiTheme="majorHAnsi" w:hAnsiTheme="majorHAnsi" w:cstheme="minorHAnsi"/>
          <w:b/>
          <w:color w:val="000000" w:themeColor="text1"/>
          <w:szCs w:val="20"/>
        </w:rPr>
      </w:pPr>
    </w:p>
    <w:p w14:paraId="199C685B" w14:textId="77777777" w:rsidR="00156798" w:rsidRPr="004D74BA" w:rsidRDefault="00156798" w:rsidP="00156798">
      <w:pPr>
        <w:rPr>
          <w:rFonts w:asciiTheme="majorHAnsi" w:hAnsiTheme="majorHAnsi" w:cstheme="minorHAnsi"/>
          <w:color w:val="000000" w:themeColor="text1"/>
          <w:szCs w:val="20"/>
        </w:rPr>
      </w:pPr>
    </w:p>
    <w:p w14:paraId="205C29A0" w14:textId="77777777" w:rsidR="00156798" w:rsidRPr="004D74BA" w:rsidRDefault="00156798" w:rsidP="00156798">
      <w:pPr>
        <w:numPr>
          <w:ilvl w:val="0"/>
          <w:numId w:val="6"/>
        </w:numPr>
        <w:rPr>
          <w:rFonts w:asciiTheme="majorHAnsi" w:hAnsiTheme="majorHAnsi" w:cstheme="minorHAnsi"/>
          <w:b/>
          <w:szCs w:val="20"/>
        </w:rPr>
      </w:pPr>
      <w:r w:rsidRPr="004D74BA">
        <w:rPr>
          <w:rFonts w:asciiTheme="majorHAnsi" w:hAnsiTheme="majorHAnsi" w:cstheme="minorHAnsi"/>
          <w:b/>
          <w:szCs w:val="20"/>
        </w:rPr>
        <w:t>Pozostałe postanowienia obligatoryjne</w:t>
      </w:r>
    </w:p>
    <w:p w14:paraId="0AB5AC4E" w14:textId="77777777" w:rsidR="00156798" w:rsidRPr="004D74BA" w:rsidRDefault="00156798" w:rsidP="00156798">
      <w:pPr>
        <w:rPr>
          <w:rFonts w:asciiTheme="majorHAnsi" w:hAnsiTheme="majorHAnsi" w:cstheme="minorHAnsi"/>
          <w:color w:val="FF0000"/>
          <w:szCs w:val="20"/>
        </w:rPr>
      </w:pPr>
    </w:p>
    <w:p w14:paraId="769FE341" w14:textId="77777777" w:rsidR="00156798" w:rsidRPr="004D74BA" w:rsidRDefault="00156798" w:rsidP="00156798">
      <w:pPr>
        <w:numPr>
          <w:ilvl w:val="1"/>
          <w:numId w:val="9"/>
        </w:num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Wyrównanie okresów ubezpieczenia:</w:t>
      </w:r>
    </w:p>
    <w:p w14:paraId="6EDE3A48" w14:textId="503B0A79" w:rsidR="00156798" w:rsidRPr="004D74BA" w:rsidRDefault="00156798" w:rsidP="00156798">
      <w:pPr>
        <w:widowControl w:val="0"/>
        <w:numPr>
          <w:ilvl w:val="0"/>
          <w:numId w:val="30"/>
        </w:numPr>
        <w:autoSpaceDE w:val="0"/>
        <w:autoSpaceDN w:val="0"/>
        <w:spacing w:line="276" w:lineRule="auto"/>
        <w:ind w:left="1276" w:right="566" w:hanging="283"/>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xml:space="preserve">pierwsza rata składki jest obliczana za okres od dnia zawarcia umowy ubezpieczenia OC dla danego pojazdu do dnia wyrównania tj. </w:t>
      </w:r>
      <w:r w:rsidR="00242A42" w:rsidRPr="004D74BA">
        <w:rPr>
          <w:rFonts w:asciiTheme="majorHAnsi" w:hAnsiTheme="majorHAnsi" w:cstheme="minorHAnsi"/>
          <w:color w:val="000000" w:themeColor="text1"/>
          <w:szCs w:val="20"/>
        </w:rPr>
        <w:t>31-12-2025, 31-12-2026</w:t>
      </w:r>
      <w:r w:rsidR="00026C8E" w:rsidRPr="004D74BA">
        <w:rPr>
          <w:rFonts w:asciiTheme="majorHAnsi" w:hAnsiTheme="majorHAnsi" w:cstheme="minorHAnsi"/>
          <w:color w:val="000000" w:themeColor="text1"/>
          <w:szCs w:val="20"/>
        </w:rPr>
        <w:t>.</w:t>
      </w:r>
      <w:r w:rsidRPr="004D74BA">
        <w:rPr>
          <w:rFonts w:asciiTheme="majorHAnsi" w:hAnsiTheme="majorHAnsi" w:cstheme="minorHAnsi"/>
          <w:color w:val="000000" w:themeColor="text1"/>
          <w:szCs w:val="20"/>
        </w:rPr>
        <w:t xml:space="preserve"> Wysokość pierwszej raty składki jest obliczona jako iloczyn liczby dni ochrony ubezpieczeniowej i 1/365 składki rocznej;</w:t>
      </w:r>
    </w:p>
    <w:p w14:paraId="5E6EDE28" w14:textId="77777777" w:rsidR="00156798" w:rsidRPr="004D74BA" w:rsidRDefault="00156798" w:rsidP="00156798">
      <w:pPr>
        <w:widowControl w:val="0"/>
        <w:numPr>
          <w:ilvl w:val="0"/>
          <w:numId w:val="30"/>
        </w:numPr>
        <w:autoSpaceDE w:val="0"/>
        <w:autoSpaceDN w:val="0"/>
        <w:spacing w:line="276" w:lineRule="auto"/>
        <w:ind w:left="1276" w:right="566" w:hanging="283"/>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xml:space="preserve">druga rata składki ubezpieczeniowej jest obliczana za okres od pierwszego dnia po wyrównaniu okresów ubezpieczenia do ostatniego dnia okresu obowiązywania umowy ubezpieczenia dla danego pojazdu. Wysokość drugiej raty składki stanowi różnicę </w:t>
      </w:r>
      <w:r w:rsidRPr="004D74BA">
        <w:rPr>
          <w:rFonts w:asciiTheme="majorHAnsi" w:hAnsiTheme="majorHAnsi" w:cstheme="minorHAnsi"/>
          <w:color w:val="000000" w:themeColor="text1"/>
          <w:szCs w:val="20"/>
        </w:rPr>
        <w:lastRenderedPageBreak/>
        <w:t>pomiędzy wysokością składki rocznej, a wysokością pierwszej raty.</w:t>
      </w:r>
    </w:p>
    <w:p w14:paraId="5E4D8410" w14:textId="77777777" w:rsidR="00156798" w:rsidRPr="004D74BA" w:rsidRDefault="00156798" w:rsidP="00156798">
      <w:pPr>
        <w:spacing w:after="60" w:line="276" w:lineRule="auto"/>
        <w:ind w:left="993" w:right="566"/>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Strony zgodnie oświadczają, że rozwiążą na mocy porozumienia stron wszystkie indywidualne umowy ubezpieczenia OC bez dodatkowych obostrzeń, a druga rata składek nie będzie należna.</w:t>
      </w:r>
    </w:p>
    <w:p w14:paraId="5ED04A5A" w14:textId="77777777" w:rsidR="00156798" w:rsidRPr="004D74BA" w:rsidRDefault="00156798" w:rsidP="00156798">
      <w:pPr>
        <w:numPr>
          <w:ilvl w:val="1"/>
          <w:numId w:val="9"/>
        </w:numPr>
        <w:rPr>
          <w:rFonts w:asciiTheme="majorHAnsi" w:hAnsiTheme="majorHAnsi" w:cstheme="minorHAnsi"/>
          <w:szCs w:val="20"/>
        </w:rPr>
      </w:pPr>
      <w:r w:rsidRPr="004D74BA">
        <w:rPr>
          <w:rFonts w:asciiTheme="majorHAnsi" w:hAnsiTheme="majorHAnsi" w:cstheme="minorHAnsi"/>
          <w:szCs w:val="20"/>
        </w:rPr>
        <w:t>W razie sprzedaży lub wyrejestrowania pojazdu w okresie ubezpieczenia, Ubezpieczony przedstawi Ubezpieczycielowi poniżej wskazane dokumenty stwierdzające zbycie lub wyrejestrowanie pojazdu; poniższe dokumenty uznaje się za wystarczające do zwrotu składki za niewykorzystany okres ubezpieczenia:</w:t>
      </w:r>
    </w:p>
    <w:p w14:paraId="77C15827"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faktura/umowa sprzedaży,</w:t>
      </w:r>
    </w:p>
    <w:p w14:paraId="4F5FBADE"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pismo brokera dotyczące dot. sprzedaży lub wyrejestrowania pojazdu,</w:t>
      </w:r>
    </w:p>
    <w:p w14:paraId="2690A34D"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ewentualnie kserokopia wypowiedzenia OC podpisanego przez nowego nabywcę pojazdu.</w:t>
      </w:r>
    </w:p>
    <w:p w14:paraId="15D593D9" w14:textId="77777777" w:rsidR="00156798" w:rsidRPr="004D74BA" w:rsidRDefault="00156798" w:rsidP="00156798">
      <w:pPr>
        <w:numPr>
          <w:ilvl w:val="1"/>
          <w:numId w:val="9"/>
        </w:numPr>
        <w:rPr>
          <w:rFonts w:asciiTheme="majorHAnsi" w:hAnsiTheme="majorHAnsi" w:cstheme="minorHAnsi"/>
          <w:szCs w:val="20"/>
        </w:rPr>
      </w:pPr>
      <w:r w:rsidRPr="004D74BA">
        <w:rPr>
          <w:rFonts w:asciiTheme="majorHAnsi" w:hAnsiTheme="majorHAnsi" w:cstheme="minorHAnsi"/>
          <w:szCs w:val="20"/>
        </w:rPr>
        <w:t>Zwrot składki zgodnie z Ustawą z dnia 22 maja 2003 r. o ubezpieczeniach obowiązkowych, Ubezpieczeniowym Funduszu Gwarancyjnym i Polskim Biurze Ubezpieczycieli Komunikacyjnych (</w:t>
      </w:r>
      <w:r w:rsidRPr="004D74BA">
        <w:rPr>
          <w:rFonts w:asciiTheme="majorHAnsi" w:hAnsiTheme="majorHAnsi" w:cstheme="minorHAnsi"/>
          <w:color w:val="000000"/>
          <w:szCs w:val="20"/>
        </w:rPr>
        <w:t xml:space="preserve">Dz.U.2013.392 z </w:t>
      </w:r>
      <w:proofErr w:type="spellStart"/>
      <w:r w:rsidRPr="004D74BA">
        <w:rPr>
          <w:rFonts w:asciiTheme="majorHAnsi" w:hAnsiTheme="majorHAnsi" w:cstheme="minorHAnsi"/>
          <w:color w:val="000000"/>
          <w:szCs w:val="20"/>
        </w:rPr>
        <w:t>późn</w:t>
      </w:r>
      <w:proofErr w:type="spellEnd"/>
      <w:r w:rsidRPr="004D74BA">
        <w:rPr>
          <w:rFonts w:asciiTheme="majorHAnsi" w:hAnsiTheme="majorHAnsi" w:cstheme="minorHAnsi"/>
          <w:color w:val="000000"/>
          <w:szCs w:val="20"/>
        </w:rPr>
        <w:t>. zm.</w:t>
      </w:r>
      <w:r w:rsidRPr="004D74BA">
        <w:rPr>
          <w:rFonts w:asciiTheme="majorHAnsi" w:hAnsiTheme="majorHAnsi" w:cstheme="minorHAnsi"/>
          <w:szCs w:val="20"/>
        </w:rPr>
        <w:t>.).</w:t>
      </w:r>
    </w:p>
    <w:p w14:paraId="3D959B43" w14:textId="77777777" w:rsidR="00156798" w:rsidRPr="004D74BA" w:rsidRDefault="00156798" w:rsidP="00156798">
      <w:pPr>
        <w:rPr>
          <w:rFonts w:asciiTheme="majorHAnsi" w:hAnsiTheme="majorHAnsi" w:cstheme="minorHAnsi"/>
          <w:szCs w:val="20"/>
        </w:rPr>
      </w:pPr>
    </w:p>
    <w:p w14:paraId="2F72325B" w14:textId="77777777" w:rsidR="00156798" w:rsidRPr="004D74BA" w:rsidRDefault="00156798" w:rsidP="00156798">
      <w:pPr>
        <w:rPr>
          <w:rFonts w:asciiTheme="majorHAnsi" w:hAnsiTheme="majorHAnsi" w:cstheme="minorHAnsi"/>
          <w:szCs w:val="20"/>
        </w:rPr>
      </w:pPr>
    </w:p>
    <w:p w14:paraId="4B029ECE" w14:textId="77777777" w:rsidR="00156798" w:rsidRPr="004D74BA" w:rsidRDefault="00156798" w:rsidP="00156798">
      <w:pPr>
        <w:ind w:left="357" w:hanging="357"/>
        <w:rPr>
          <w:rFonts w:asciiTheme="majorHAnsi" w:hAnsiTheme="majorHAnsi" w:cstheme="minorHAnsi"/>
          <w:b/>
          <w:bCs/>
          <w:szCs w:val="20"/>
        </w:rPr>
      </w:pPr>
      <w:r w:rsidRPr="004D74BA">
        <w:rPr>
          <w:rFonts w:asciiTheme="majorHAnsi" w:hAnsiTheme="majorHAnsi" w:cstheme="minorHAnsi"/>
          <w:b/>
          <w:bCs/>
          <w:szCs w:val="20"/>
        </w:rPr>
        <w:t>III.</w:t>
      </w:r>
      <w:r w:rsidRPr="004D74BA">
        <w:rPr>
          <w:rFonts w:asciiTheme="majorHAnsi" w:hAnsiTheme="majorHAnsi" w:cstheme="minorHAnsi"/>
          <w:b/>
          <w:bCs/>
          <w:szCs w:val="20"/>
        </w:rPr>
        <w:tab/>
        <w:t>UBEZPIECZENIE AUTOCASCO</w:t>
      </w:r>
    </w:p>
    <w:p w14:paraId="3E932532" w14:textId="77777777" w:rsidR="00156798" w:rsidRPr="004D74BA" w:rsidRDefault="00156798" w:rsidP="00156798">
      <w:pPr>
        <w:rPr>
          <w:rFonts w:asciiTheme="majorHAnsi" w:hAnsiTheme="majorHAnsi" w:cstheme="minorHAnsi"/>
          <w:szCs w:val="20"/>
        </w:rPr>
      </w:pPr>
    </w:p>
    <w:p w14:paraId="2E06B945" w14:textId="77777777" w:rsidR="00156798" w:rsidRPr="004D74BA" w:rsidRDefault="00156798" w:rsidP="00156798">
      <w:pPr>
        <w:numPr>
          <w:ilvl w:val="0"/>
          <w:numId w:val="11"/>
        </w:numPr>
        <w:tabs>
          <w:tab w:val="clear" w:pos="1775"/>
          <w:tab w:val="num" w:pos="357"/>
        </w:tabs>
        <w:ind w:left="357"/>
        <w:rPr>
          <w:rFonts w:asciiTheme="majorHAnsi" w:hAnsiTheme="majorHAnsi" w:cstheme="minorHAnsi"/>
          <w:b/>
          <w:szCs w:val="20"/>
        </w:rPr>
      </w:pPr>
      <w:r w:rsidRPr="004D74BA">
        <w:rPr>
          <w:rFonts w:asciiTheme="majorHAnsi" w:hAnsiTheme="majorHAnsi" w:cstheme="minorHAnsi"/>
          <w:b/>
          <w:szCs w:val="20"/>
        </w:rPr>
        <w:t>Zakres ubezpieczenia</w:t>
      </w:r>
    </w:p>
    <w:p w14:paraId="52FE5831" w14:textId="77777777" w:rsidR="00156798" w:rsidRPr="004D74BA" w:rsidRDefault="00156798" w:rsidP="00156798">
      <w:pPr>
        <w:tabs>
          <w:tab w:val="num" w:pos="567"/>
        </w:tabs>
        <w:rPr>
          <w:rFonts w:asciiTheme="majorHAnsi" w:hAnsiTheme="majorHAnsi" w:cstheme="minorHAnsi"/>
          <w:szCs w:val="20"/>
        </w:rPr>
      </w:pPr>
    </w:p>
    <w:p w14:paraId="028A3EA0" w14:textId="77777777" w:rsidR="00156798" w:rsidRPr="004D74BA" w:rsidRDefault="00156798" w:rsidP="00156798">
      <w:pPr>
        <w:numPr>
          <w:ilvl w:val="1"/>
          <w:numId w:val="13"/>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Ochroną ubezpieczeniową objęte są wszystkie szkody polegające na uszkodzeniu, zniszczeniu lub utracie pojazdu, jego części lub wyposażenia wskutek wszelkich zdarzeń niezależnych od woli Ubezpieczonego lub osoby uprawnionej do korzystania z pojazdu. Ubezpieczyciel odpowiada również za szkody powstałe wskutek (o ile nie były one wynikiem rażącego niedbalstwa):</w:t>
      </w:r>
    </w:p>
    <w:p w14:paraId="0C91260B"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wjechania za wysokim pojazdem pod należycie oznakowany wiadukt lub most oraz wskutek wjechania za wysokim pojazdem do należycie oznakowanego parkingu podziemnego,</w:t>
      </w:r>
    </w:p>
    <w:p w14:paraId="376D2407"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samoistnego otwarcia się pokrywy silnika lub bagażnika oraz za szkody będące następstwem jazdy z otwartymi drzwiami lub pokrywą bagażnika,</w:t>
      </w:r>
    </w:p>
    <w:p w14:paraId="710BFB92"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samoczynnego stoczenia się pojazdu na terenie pochyłym,</w:t>
      </w:r>
    </w:p>
    <w:p w14:paraId="73BEF530"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dostania się do wnętrza pojazdu wody,</w:t>
      </w:r>
    </w:p>
    <w:p w14:paraId="7FD13B07"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wjechania w nierówność drogi.</w:t>
      </w:r>
    </w:p>
    <w:p w14:paraId="18D280D8" w14:textId="77777777" w:rsidR="00156798" w:rsidRPr="004D74BA" w:rsidRDefault="00156798" w:rsidP="00156798">
      <w:pPr>
        <w:ind w:firstLine="567"/>
        <w:rPr>
          <w:rFonts w:asciiTheme="majorHAnsi" w:hAnsiTheme="majorHAnsi" w:cstheme="minorHAnsi"/>
          <w:szCs w:val="20"/>
        </w:rPr>
      </w:pPr>
      <w:r w:rsidRPr="004D74BA">
        <w:rPr>
          <w:rFonts w:asciiTheme="majorHAnsi" w:hAnsiTheme="majorHAnsi" w:cstheme="minorHAnsi"/>
          <w:szCs w:val="20"/>
        </w:rPr>
        <w:t xml:space="preserve">oraz </w:t>
      </w:r>
    </w:p>
    <w:p w14:paraId="5EA59756"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wyrządzone przez przewożony, prawidłowo zamocowany ładunek,</w:t>
      </w:r>
    </w:p>
    <w:p w14:paraId="11ABB947"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załadunku oraz rozładunku</w:t>
      </w:r>
    </w:p>
    <w:p w14:paraId="03EF9603" w14:textId="77777777" w:rsidR="00156798" w:rsidRPr="004D74BA" w:rsidRDefault="00156798" w:rsidP="00156798">
      <w:pPr>
        <w:numPr>
          <w:ilvl w:val="0"/>
          <w:numId w:val="12"/>
        </w:numPr>
        <w:rPr>
          <w:rFonts w:asciiTheme="majorHAnsi" w:hAnsiTheme="majorHAnsi" w:cstheme="minorHAnsi"/>
          <w:szCs w:val="20"/>
        </w:rPr>
      </w:pPr>
      <w:r w:rsidRPr="004D74BA">
        <w:rPr>
          <w:rFonts w:asciiTheme="majorHAnsi" w:hAnsiTheme="majorHAnsi" w:cstheme="minorHAnsi"/>
          <w:szCs w:val="20"/>
        </w:rPr>
        <w:t>powstałe podczas podnoszenia pojazdu w celu dokonania naprawy.</w:t>
      </w:r>
    </w:p>
    <w:p w14:paraId="47B565D6" w14:textId="77777777" w:rsidR="00156798" w:rsidRPr="004D74BA" w:rsidRDefault="00156798" w:rsidP="00156798">
      <w:pPr>
        <w:rPr>
          <w:rFonts w:asciiTheme="majorHAnsi" w:hAnsiTheme="majorHAnsi" w:cstheme="minorHAnsi"/>
          <w:szCs w:val="20"/>
        </w:rPr>
      </w:pPr>
    </w:p>
    <w:p w14:paraId="15109B4F" w14:textId="77777777" w:rsidR="00156798" w:rsidRPr="004D74BA" w:rsidRDefault="00156798" w:rsidP="00156798">
      <w:pPr>
        <w:numPr>
          <w:ilvl w:val="0"/>
          <w:numId w:val="11"/>
        </w:numPr>
        <w:tabs>
          <w:tab w:val="clear" w:pos="1775"/>
          <w:tab w:val="num" w:pos="357"/>
        </w:tabs>
        <w:ind w:left="357"/>
        <w:rPr>
          <w:rFonts w:asciiTheme="majorHAnsi" w:hAnsiTheme="majorHAnsi" w:cstheme="minorHAnsi"/>
          <w:szCs w:val="20"/>
        </w:rPr>
      </w:pPr>
      <w:r w:rsidRPr="004D74BA">
        <w:rPr>
          <w:rFonts w:asciiTheme="majorHAnsi" w:hAnsiTheme="majorHAnsi" w:cstheme="minorHAnsi"/>
          <w:szCs w:val="20"/>
        </w:rPr>
        <w:t>Zakres terytorialny</w:t>
      </w:r>
    </w:p>
    <w:p w14:paraId="3922F400" w14:textId="77777777" w:rsidR="00E77ADA" w:rsidRPr="004D74BA" w:rsidRDefault="00E77ADA" w:rsidP="00E77ADA">
      <w:pPr>
        <w:ind w:left="357"/>
        <w:rPr>
          <w:rFonts w:asciiTheme="majorHAnsi" w:hAnsiTheme="majorHAnsi" w:cstheme="minorHAnsi"/>
          <w:szCs w:val="20"/>
        </w:rPr>
      </w:pPr>
    </w:p>
    <w:p w14:paraId="0CF776B9"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Ochroną ubezpieczeniową w zakresie AC i KR objęte są szkody powstałe na terytorium Rzeczypospolitej Polskiej oraz pozostałych krajów europejskich także Algierii, Maroka, Izraela i Tunezji z tym, że na terytorium Rosji, Białorusi, Ukrainy i Mołdawii ubezpieczeniem nie są objęte szkody powstałe wskutek następujących zdarzeń: kradzieży pojazdu, jego części lub wyposażenia oraz uszkodzenia pojazdu w następstwie jego zabrania w celu krótkotrwałego użycia. Rozszerzenie ochrony ubezpieczeniowej na terytorium Rosji, Białorusi, Ukrainy i Mołdawii o ryzyko kradzieży pojazdu, jego części lub wyposażenia oraz uszkodzenia pojazdu w następstwie jego zabrania w celu krótkotrwałego użycia, jest możliwe po opłaceniu dodatkowej składki.</w:t>
      </w:r>
    </w:p>
    <w:p w14:paraId="0C925F11" w14:textId="77777777" w:rsidR="00156798" w:rsidRPr="004D74BA" w:rsidRDefault="00156798" w:rsidP="00156798">
      <w:pPr>
        <w:rPr>
          <w:rFonts w:asciiTheme="majorHAnsi" w:hAnsiTheme="majorHAnsi" w:cstheme="minorHAnsi"/>
          <w:b/>
          <w:color w:val="000000" w:themeColor="text1"/>
          <w:szCs w:val="20"/>
        </w:rPr>
      </w:pPr>
    </w:p>
    <w:p w14:paraId="6655CA11" w14:textId="77777777" w:rsidR="00156798" w:rsidRPr="004D74BA" w:rsidRDefault="00156798" w:rsidP="00156798">
      <w:pPr>
        <w:rPr>
          <w:rFonts w:asciiTheme="majorHAnsi" w:hAnsiTheme="majorHAnsi" w:cstheme="minorHAnsi"/>
          <w:szCs w:val="20"/>
        </w:rPr>
      </w:pPr>
    </w:p>
    <w:p w14:paraId="0435E58A" w14:textId="77777777" w:rsidR="00156798" w:rsidRPr="004D74BA" w:rsidRDefault="00156798" w:rsidP="00156798">
      <w:pPr>
        <w:numPr>
          <w:ilvl w:val="0"/>
          <w:numId w:val="11"/>
        </w:numPr>
        <w:tabs>
          <w:tab w:val="clear" w:pos="1775"/>
          <w:tab w:val="num" w:pos="357"/>
        </w:tabs>
        <w:ind w:left="357"/>
        <w:rPr>
          <w:rFonts w:asciiTheme="majorHAnsi" w:hAnsiTheme="majorHAnsi" w:cstheme="minorHAnsi"/>
          <w:b/>
          <w:szCs w:val="20"/>
        </w:rPr>
      </w:pPr>
      <w:r w:rsidRPr="004D74BA">
        <w:rPr>
          <w:rFonts w:asciiTheme="majorHAnsi" w:hAnsiTheme="majorHAnsi" w:cstheme="minorHAnsi"/>
          <w:b/>
          <w:szCs w:val="20"/>
        </w:rPr>
        <w:t xml:space="preserve">Suma Ubezpieczenia </w:t>
      </w:r>
    </w:p>
    <w:p w14:paraId="22B3A02C" w14:textId="6349841D" w:rsidR="00156798" w:rsidRPr="004D74BA" w:rsidRDefault="00156798" w:rsidP="00156798">
      <w:pPr>
        <w:numPr>
          <w:ilvl w:val="1"/>
          <w:numId w:val="19"/>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Sumę ubezpieczenia pojazdów fabrycznie nowych w okresie pierwszych 6 miesięcy eksploatacji (za początek eksploatacji uznawana jest data pierwszej rejestracji pojazdu) stanowi cena zakupu pojazdu wraz z wyposażeniem, w tym wyposażeniem dodatkowym i specjalistycznym oraz zabezpieczeniami przed kradzieżą (bez potrzeby wyodrębniania sumy ubezpieczenia wyposażenia)</w:t>
      </w:r>
      <w:r w:rsidR="009B3E6C" w:rsidRPr="004D74BA">
        <w:rPr>
          <w:rFonts w:asciiTheme="majorHAnsi" w:hAnsiTheme="majorHAnsi" w:cstheme="minorHAnsi"/>
          <w:szCs w:val="20"/>
        </w:rPr>
        <w:t>.</w:t>
      </w:r>
    </w:p>
    <w:p w14:paraId="601484EF" w14:textId="0CC22D2F" w:rsidR="00156798" w:rsidRPr="004D74BA" w:rsidRDefault="00156798" w:rsidP="00156798">
      <w:pPr>
        <w:numPr>
          <w:ilvl w:val="1"/>
          <w:numId w:val="19"/>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lastRenderedPageBreak/>
        <w:t>Suma ubezpieczenia od 7 miesiąca eksploatacji stanowi wartość rynkową (</w:t>
      </w:r>
      <w:r w:rsidR="002F5712" w:rsidRPr="004D74BA">
        <w:rPr>
          <w:rFonts w:asciiTheme="majorHAnsi" w:hAnsiTheme="majorHAnsi" w:cstheme="minorHAnsi"/>
          <w:szCs w:val="20"/>
        </w:rPr>
        <w:t>w zależności czy wartość pojazdu zawiera podatek VAT, nie zawiera podatku VAT lub zawiera 50%VAT</w:t>
      </w:r>
      <w:r w:rsidRPr="004D74BA">
        <w:rPr>
          <w:rFonts w:asciiTheme="majorHAnsi" w:hAnsiTheme="majorHAnsi" w:cstheme="minorHAnsi"/>
          <w:szCs w:val="20"/>
        </w:rPr>
        <w:t>) wraz z wyposażeniem, w tym wyposażeniem dodatkowym i specjalistycznym oraz zabezpieczeniami przed kradzieżą (bez potrzeby wyodrębniania sumy ubezpieczenia wyposażenia), zgodna z Katalogiem Info-Ekspert lub zgłoszeniem klienta.</w:t>
      </w:r>
    </w:p>
    <w:p w14:paraId="0E3CB392" w14:textId="77777777" w:rsidR="00156798" w:rsidRPr="004D74BA" w:rsidRDefault="00156798" w:rsidP="00156798">
      <w:pPr>
        <w:rPr>
          <w:rFonts w:asciiTheme="majorHAnsi" w:hAnsiTheme="majorHAnsi" w:cstheme="minorHAnsi"/>
          <w:szCs w:val="20"/>
        </w:rPr>
      </w:pPr>
    </w:p>
    <w:p w14:paraId="49C1AD59" w14:textId="77777777" w:rsidR="00156798" w:rsidRPr="004D74BA" w:rsidRDefault="00156798" w:rsidP="00156798">
      <w:pPr>
        <w:numPr>
          <w:ilvl w:val="0"/>
          <w:numId w:val="11"/>
        </w:numPr>
        <w:tabs>
          <w:tab w:val="clear" w:pos="1775"/>
          <w:tab w:val="num" w:pos="357"/>
        </w:tabs>
        <w:ind w:left="357"/>
        <w:rPr>
          <w:rFonts w:asciiTheme="majorHAnsi" w:hAnsiTheme="majorHAnsi" w:cstheme="minorHAnsi"/>
          <w:b/>
          <w:szCs w:val="20"/>
        </w:rPr>
      </w:pPr>
      <w:r w:rsidRPr="004D74BA">
        <w:rPr>
          <w:rFonts w:asciiTheme="majorHAnsi" w:hAnsiTheme="majorHAnsi" w:cstheme="minorHAnsi"/>
          <w:b/>
          <w:szCs w:val="20"/>
        </w:rPr>
        <w:t>Okres polisowy</w:t>
      </w:r>
    </w:p>
    <w:p w14:paraId="262409D9" w14:textId="71FCE13D" w:rsidR="00156798" w:rsidRPr="004D74BA" w:rsidRDefault="00156798" w:rsidP="00156798">
      <w:pPr>
        <w:ind w:left="357"/>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xml:space="preserve">Wyrównywanie okresów ubezpieczenia do </w:t>
      </w:r>
      <w:r w:rsidR="00224E40" w:rsidRPr="004D74BA">
        <w:rPr>
          <w:rFonts w:asciiTheme="majorHAnsi" w:hAnsiTheme="majorHAnsi" w:cstheme="minorHAnsi"/>
          <w:color w:val="000000" w:themeColor="text1"/>
          <w:szCs w:val="20"/>
        </w:rPr>
        <w:t>31-12-2</w:t>
      </w:r>
      <w:r w:rsidR="006A4A54" w:rsidRPr="004D74BA">
        <w:rPr>
          <w:rFonts w:asciiTheme="majorHAnsi" w:hAnsiTheme="majorHAnsi" w:cstheme="minorHAnsi"/>
          <w:color w:val="000000" w:themeColor="text1"/>
          <w:szCs w:val="20"/>
        </w:rPr>
        <w:t>025</w:t>
      </w:r>
      <w:r w:rsidR="002F5712" w:rsidRPr="004D74BA">
        <w:rPr>
          <w:rFonts w:asciiTheme="majorHAnsi" w:hAnsiTheme="majorHAnsi" w:cstheme="minorHAnsi"/>
          <w:color w:val="000000" w:themeColor="text1"/>
          <w:szCs w:val="20"/>
        </w:rPr>
        <w:t>, 31-12-2026,</w:t>
      </w:r>
      <w:r w:rsidR="00E77ADA" w:rsidRPr="004D74BA">
        <w:rPr>
          <w:rFonts w:asciiTheme="majorHAnsi" w:hAnsiTheme="majorHAnsi" w:cstheme="minorHAnsi"/>
          <w:color w:val="000000" w:themeColor="text1"/>
          <w:szCs w:val="20"/>
        </w:rPr>
        <w:t xml:space="preserve"> </w:t>
      </w:r>
      <w:r w:rsidRPr="004D74BA">
        <w:rPr>
          <w:rFonts w:asciiTheme="majorHAnsi" w:hAnsiTheme="majorHAnsi" w:cstheme="minorHAnsi"/>
          <w:color w:val="000000" w:themeColor="text1"/>
          <w:szCs w:val="20"/>
        </w:rPr>
        <w:t xml:space="preserve"> na zasadzie pro rata temporis, co do dnia. Składka za ubezpieczenia dobrowolne zostanie naliczona według składek/stawek ubezpieczeniowych zaproponowanych przez Ubezpieczyciela, proporcjonalnie do udzielonego okresu ochrony ubezpieczeniowej przy założeniu, że składka za każdy rozpoczęty dzień ochrony wynosi 1/365 składki rocznej.</w:t>
      </w:r>
    </w:p>
    <w:p w14:paraId="4F9A8D7E" w14:textId="77777777" w:rsidR="00156798" w:rsidRPr="004D74BA" w:rsidRDefault="00156798" w:rsidP="00156798">
      <w:pPr>
        <w:ind w:left="357"/>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Ubezpieczenie rozpoczyna się najpóźniej od dnia zarejestrowania pojazdu lub ekspiracji poprzedniego ubezpieczenia. Za datę początku odpowiedzialności ubezpieczyciela przyjmuje się dzień złożenia wniosku/zgłoszenia do ubezpieczenia chyba, że podano datę późniejszą. Ubezpieczony ma możliwość dostarczenia niezbędnych do zawarcia umowy ubezpieczenia dokumentów w terminie 3 dni roboczych od dnia rejestracji pojazdu.</w:t>
      </w:r>
    </w:p>
    <w:p w14:paraId="7732F56F" w14:textId="77777777" w:rsidR="00156798" w:rsidRPr="004D74BA" w:rsidRDefault="00156798" w:rsidP="00156798">
      <w:pPr>
        <w:rPr>
          <w:rFonts w:asciiTheme="majorHAnsi" w:hAnsiTheme="majorHAnsi" w:cstheme="minorHAnsi"/>
          <w:szCs w:val="20"/>
        </w:rPr>
      </w:pPr>
    </w:p>
    <w:p w14:paraId="78FE9B48" w14:textId="77777777" w:rsidR="008352B3" w:rsidRPr="004D74BA" w:rsidRDefault="008352B3" w:rsidP="00156798">
      <w:pPr>
        <w:rPr>
          <w:rFonts w:asciiTheme="majorHAnsi" w:hAnsiTheme="majorHAnsi" w:cstheme="minorHAnsi"/>
          <w:szCs w:val="20"/>
        </w:rPr>
      </w:pPr>
    </w:p>
    <w:p w14:paraId="5A981204" w14:textId="77777777" w:rsidR="00156798" w:rsidRPr="004D74BA" w:rsidRDefault="00156798" w:rsidP="00156798">
      <w:pPr>
        <w:numPr>
          <w:ilvl w:val="0"/>
          <w:numId w:val="11"/>
        </w:numPr>
        <w:tabs>
          <w:tab w:val="clear" w:pos="1775"/>
          <w:tab w:val="num" w:pos="357"/>
        </w:tabs>
        <w:ind w:left="357"/>
        <w:rPr>
          <w:rFonts w:asciiTheme="majorHAnsi" w:hAnsiTheme="majorHAnsi" w:cstheme="minorHAnsi"/>
          <w:b/>
          <w:szCs w:val="20"/>
        </w:rPr>
      </w:pPr>
      <w:r w:rsidRPr="004D74BA">
        <w:rPr>
          <w:rFonts w:asciiTheme="majorHAnsi" w:hAnsiTheme="majorHAnsi" w:cstheme="minorHAnsi"/>
          <w:b/>
          <w:szCs w:val="20"/>
        </w:rPr>
        <w:t>Pozostałe postanowienia obligatoryjne</w:t>
      </w:r>
    </w:p>
    <w:p w14:paraId="16F7FCD8"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Nie ma zastosowania konsumpcja sumy ubezpieczenia.</w:t>
      </w:r>
    </w:p>
    <w:p w14:paraId="42ABB8B2" w14:textId="68259812"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 xml:space="preserve">Pojazdy wymienione w załączniku </w:t>
      </w:r>
      <w:r w:rsidR="00500E14" w:rsidRPr="004D74BA">
        <w:rPr>
          <w:rFonts w:asciiTheme="majorHAnsi" w:hAnsiTheme="majorHAnsi" w:cstheme="minorHAnsi"/>
          <w:szCs w:val="20"/>
        </w:rPr>
        <w:t>do SWZ wykaz pojazdów</w:t>
      </w:r>
      <w:r w:rsidRPr="004D74BA">
        <w:rPr>
          <w:rFonts w:asciiTheme="majorHAnsi" w:hAnsiTheme="majorHAnsi" w:cstheme="minorHAnsi"/>
          <w:szCs w:val="20"/>
        </w:rPr>
        <w:t xml:space="preserve"> oraz pojazdy nowe zakupione posiadające aktualną polisę AC (bez dnia przerwy) zgłaszane do ubezpieczenia bez konieczności dokonywania dokumentacji fotograficznej oraz oględzin.</w:t>
      </w:r>
    </w:p>
    <w:p w14:paraId="50D9506A"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W przypadku zgłoszenia do ubezpieczenia pojazdu fabrycznie nowego, Ubezpieczyciel nie będzie wymagał przeprowadzenia oględzin.</w:t>
      </w:r>
    </w:p>
    <w:p w14:paraId="3BEEE4D9"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Odszkodowanie będzie wypłacone także w przypadku braku badania technicznego - jeżeli w odniesieniu do tego pojazdu obowiązuje wymóg dokonywania okresowych badań technicznych, o ile stan techniczny pojazdu nie miał wpływu na powstanie i/lub rozmiar szkody.</w:t>
      </w:r>
    </w:p>
    <w:p w14:paraId="56CE39B7"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 xml:space="preserve">Odszkodowanie będzie wypłacone także w przypadku szkód spowodowanych przez upoważnionego kierującego, który nie posiadał w chwili powstania szkody wymaganych uprawnień do kierowania pojazdem, o ile nie miało to wpływu na powstanie i/lub rozmiar szkody. </w:t>
      </w:r>
    </w:p>
    <w:p w14:paraId="4088F600"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 xml:space="preserve">Ubezpieczyciel pokryje koszty badania technicznego (wymaganego zgodnie z ustawą Prawo o ruchu Drogowym), o ile badanie techniczne wykonywane jest w związku ze szkodą, za którą Ubezpieczyciel uprzednio przyjął odpowiedzialność. </w:t>
      </w:r>
    </w:p>
    <w:p w14:paraId="615233A4"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Franszyzy:</w:t>
      </w:r>
    </w:p>
    <w:p w14:paraId="29940C05" w14:textId="4006F348"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 xml:space="preserve">franszyza integralna </w:t>
      </w:r>
      <w:r w:rsidR="00CA793C" w:rsidRPr="004D74BA">
        <w:rPr>
          <w:rFonts w:asciiTheme="majorHAnsi" w:hAnsiTheme="majorHAnsi" w:cstheme="minorHAnsi"/>
          <w:szCs w:val="20"/>
        </w:rPr>
        <w:t xml:space="preserve">0 </w:t>
      </w:r>
      <w:r w:rsidR="00F675BF" w:rsidRPr="004D74BA">
        <w:rPr>
          <w:rFonts w:asciiTheme="majorHAnsi" w:hAnsiTheme="majorHAnsi" w:cstheme="minorHAnsi"/>
          <w:szCs w:val="20"/>
        </w:rPr>
        <w:t>zł</w:t>
      </w:r>
      <w:r w:rsidRPr="004D74BA">
        <w:rPr>
          <w:rFonts w:asciiTheme="majorHAnsi" w:hAnsiTheme="majorHAnsi" w:cstheme="minorHAnsi"/>
          <w:szCs w:val="20"/>
        </w:rPr>
        <w:t>,</w:t>
      </w:r>
    </w:p>
    <w:p w14:paraId="2F9DF5CE"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franszyza redukcyjna zniesiona,</w:t>
      </w:r>
    </w:p>
    <w:p w14:paraId="59EBBF71"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udział własny w szkodzie nie ma zastosowania.</w:t>
      </w:r>
    </w:p>
    <w:p w14:paraId="441C4990"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Ubezpieczyciel odpowiada za szkody powstałe w czasie, gdy pojazd znajdował się w komisie, zakładzie naprawczym, konserwacyjnym, myjni oraz podczas prób technicznych, jak również podczas jazd przed lub po naprawie, dokonywanych przez pracowników takiego zakładu, z zachowaniem prawa regresu do przedsiębiorcy wykonującego powyższe czynności.</w:t>
      </w:r>
    </w:p>
    <w:p w14:paraId="0C3EE84A"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 xml:space="preserve">Klauzula daty składki </w:t>
      </w:r>
    </w:p>
    <w:p w14:paraId="64622397" w14:textId="77777777" w:rsidR="00156798" w:rsidRPr="004D74BA" w:rsidRDefault="00156798" w:rsidP="00156798">
      <w:pPr>
        <w:ind w:firstLine="567"/>
        <w:rPr>
          <w:rFonts w:asciiTheme="majorHAnsi" w:hAnsiTheme="majorHAnsi" w:cstheme="minorHAnsi"/>
          <w:szCs w:val="20"/>
        </w:rPr>
      </w:pPr>
      <w:r w:rsidRPr="004D74BA">
        <w:rPr>
          <w:rFonts w:asciiTheme="majorHAnsi" w:hAnsiTheme="majorHAnsi" w:cstheme="minorHAnsi"/>
          <w:szCs w:val="20"/>
        </w:rPr>
        <w:t>Uzgadnia się, co następuje:</w:t>
      </w:r>
    </w:p>
    <w:p w14:paraId="23FC475A"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dniem zapłaty składki (raty składki) jest dzień złożenia dyspozycji przelewu kwoty należnej z tytułu opłaty składki (raty składki); o ile stan środków na rachunku bankowym Ubezpieczonego pozwalał na zrealizowanie płatności,</w:t>
      </w:r>
    </w:p>
    <w:p w14:paraId="204A05F7"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nieopłacenie raty składki (lub całości składki w przypadku płatności jednorazowej) upoważnia Ubezpieczyciela do odstąpienia od umowy ubezpieczenia po uprzednim bezskutecznym wezwaniu do zapłaty i upłynięciu wyznaczonego dodatkowego terminu, nie krótszego niż 7 dni od daty doręczenia (nieopłacenie składki nie powoduje automatycznego wygaśnięcia ochrony ubezpieczeniowej).</w:t>
      </w:r>
    </w:p>
    <w:p w14:paraId="52D38608"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Nie ma zastosowania zasada proporcji.</w:t>
      </w:r>
    </w:p>
    <w:p w14:paraId="17C9CEAE" w14:textId="77777777" w:rsidR="00156798" w:rsidRPr="004D74BA" w:rsidRDefault="00156798" w:rsidP="00156798">
      <w:pPr>
        <w:numPr>
          <w:ilvl w:val="1"/>
          <w:numId w:val="15"/>
        </w:numPr>
        <w:rPr>
          <w:rFonts w:asciiTheme="majorHAnsi" w:hAnsiTheme="majorHAnsi" w:cstheme="minorHAnsi"/>
          <w:color w:val="000000" w:themeColor="text1"/>
          <w:szCs w:val="20"/>
        </w:rPr>
      </w:pPr>
      <w:r w:rsidRPr="004D74BA">
        <w:rPr>
          <w:rFonts w:asciiTheme="majorHAnsi" w:eastAsia="Calibri" w:hAnsiTheme="majorHAnsi" w:cstheme="minorHAnsi"/>
          <w:color w:val="000000" w:themeColor="text1"/>
          <w:spacing w:val="4"/>
          <w:szCs w:val="20"/>
        </w:rPr>
        <w:lastRenderedPageBreak/>
        <w:t>Nie ma zastosowania amortyzacja części, z wyłączeniem ustalenia odszkodowania za szkody powstałe w ogumieniu</w:t>
      </w:r>
      <w:r w:rsidRPr="004D74BA">
        <w:rPr>
          <w:rFonts w:asciiTheme="majorHAnsi" w:hAnsiTheme="majorHAnsi" w:cstheme="minorHAnsi"/>
          <w:color w:val="000000" w:themeColor="text1"/>
          <w:szCs w:val="20"/>
        </w:rPr>
        <w:t>.</w:t>
      </w:r>
    </w:p>
    <w:p w14:paraId="6EE2C02B" w14:textId="15BBACD9" w:rsidR="00577745" w:rsidRPr="004D74BA" w:rsidRDefault="00577745" w:rsidP="00156798">
      <w:pPr>
        <w:numPr>
          <w:ilvl w:val="1"/>
          <w:numId w:val="15"/>
        </w:numPr>
        <w:rPr>
          <w:rFonts w:asciiTheme="majorHAnsi" w:hAnsiTheme="majorHAnsi" w:cstheme="minorHAnsi"/>
          <w:color w:val="000000" w:themeColor="text1"/>
          <w:szCs w:val="20"/>
        </w:rPr>
      </w:pPr>
      <w:r w:rsidRPr="004D74BA">
        <w:rPr>
          <w:rFonts w:asciiTheme="majorHAnsi" w:hAnsiTheme="majorHAnsi"/>
          <w:szCs w:val="20"/>
        </w:rPr>
        <w:t>Odpowiedzialność wskutek zassania wody przez pracujący silnik z rozlewisk powstałych w wyniku silnych opadów atmosferycznych, powodzi, itp. – dwa zdarzenia dla wszystkich ubezpieczonych pojazdów</w:t>
      </w:r>
      <w:r w:rsidR="00904E69" w:rsidRPr="004D74BA">
        <w:rPr>
          <w:rFonts w:asciiTheme="majorHAnsi" w:hAnsiTheme="majorHAnsi"/>
          <w:szCs w:val="20"/>
        </w:rPr>
        <w:t>.</w:t>
      </w:r>
    </w:p>
    <w:p w14:paraId="461B05D6" w14:textId="2E59D710" w:rsidR="00904E69" w:rsidRPr="004D74BA" w:rsidRDefault="00904E69" w:rsidP="00156798">
      <w:pPr>
        <w:numPr>
          <w:ilvl w:val="1"/>
          <w:numId w:val="15"/>
        </w:numPr>
        <w:rPr>
          <w:rFonts w:asciiTheme="majorHAnsi" w:hAnsiTheme="majorHAnsi" w:cstheme="minorHAnsi"/>
          <w:color w:val="000000" w:themeColor="text1"/>
          <w:szCs w:val="20"/>
        </w:rPr>
      </w:pPr>
      <w:r w:rsidRPr="004D74BA">
        <w:rPr>
          <w:rFonts w:asciiTheme="majorHAnsi" w:hAnsiTheme="majorHAnsi"/>
          <w:szCs w:val="20"/>
        </w:rPr>
        <w:t>Odpowiedzialność za szkody wyrządzone przez pojazdy należące do jednego właściciela.</w:t>
      </w:r>
    </w:p>
    <w:p w14:paraId="340AA0A9"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Stawka za ubezpieczenie wyposażenia dodatkowego będzie tożsama ze stawką ubezpieczenia AC.</w:t>
      </w:r>
    </w:p>
    <w:p w14:paraId="16C236C2"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W wypłacie odszkodowania nie uwzględnia się ograniczenia w związku z popełnionymi wykroczeniami drogowymi.</w:t>
      </w:r>
    </w:p>
    <w:p w14:paraId="180B8CFC" w14:textId="277AA1E0" w:rsidR="00577745" w:rsidRPr="004D74BA" w:rsidRDefault="00577745" w:rsidP="00904E69">
      <w:pPr>
        <w:numPr>
          <w:ilvl w:val="1"/>
          <w:numId w:val="15"/>
        </w:numPr>
        <w:rPr>
          <w:rFonts w:asciiTheme="majorHAnsi" w:hAnsiTheme="majorHAnsi" w:cstheme="minorHAnsi"/>
          <w:szCs w:val="20"/>
        </w:rPr>
      </w:pPr>
      <w:r w:rsidRPr="004D74BA">
        <w:rPr>
          <w:rFonts w:asciiTheme="majorHAnsi" w:hAnsiTheme="majorHAnsi"/>
          <w:szCs w:val="20"/>
        </w:rPr>
        <w:t>Odpowiedzialność za szkody powstałe w pojeździe w wyniku pożaru lub wybuchu, którego źródło powstało wewnątrz pojazdu, w tym spowodowanego zwarciem w instalacji elektrycznej itp.</w:t>
      </w:r>
    </w:p>
    <w:p w14:paraId="38A865C9"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 xml:space="preserve">Ubezpieczyciel zwróci poniesione i udokumentowane koszty wymiany wkładek zamków oraz przekodowania modułów zabezpieczeń antykradzieżowych, w przypadku utraty kluczy (fabrycznych urządzeń służących do otwarcia pojazdu). </w:t>
      </w:r>
    </w:p>
    <w:p w14:paraId="2F55A0F2" w14:textId="7E138C8C"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 xml:space="preserve">Ubezpieczyciel akceptuje istniejące zabezpieczenia </w:t>
      </w:r>
      <w:proofErr w:type="spellStart"/>
      <w:r w:rsidRPr="004D74BA">
        <w:rPr>
          <w:rFonts w:asciiTheme="majorHAnsi" w:hAnsiTheme="majorHAnsi" w:cstheme="minorHAnsi"/>
          <w:szCs w:val="20"/>
        </w:rPr>
        <w:t>przeciwkradzieżowe</w:t>
      </w:r>
      <w:proofErr w:type="spellEnd"/>
      <w:r w:rsidRPr="004D74BA">
        <w:rPr>
          <w:rFonts w:asciiTheme="majorHAnsi" w:hAnsiTheme="majorHAnsi" w:cstheme="minorHAnsi"/>
          <w:szCs w:val="20"/>
        </w:rPr>
        <w:t xml:space="preserve"> jako wystarczające do ubezpieczenia</w:t>
      </w:r>
      <w:r w:rsidR="00C87579" w:rsidRPr="004D74BA">
        <w:rPr>
          <w:rFonts w:asciiTheme="majorHAnsi" w:hAnsiTheme="majorHAnsi" w:cstheme="minorHAnsi"/>
          <w:szCs w:val="20"/>
        </w:rPr>
        <w:t xml:space="preserve"> bez konieczności ich podawania. </w:t>
      </w:r>
    </w:p>
    <w:p w14:paraId="030C1DFD"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Szkody spowodowane przez osoby trzecie mogą być na wniosek Ubezpieczonego likwidowane z ubezpieczenia autocasco z zachowaniem prawa regresu do sprawcy przez Ubezpieczyciela. Po uzyskaniu zwrotu wypłaconego odszkodowania od podmiotu / osoby odpowiedzialnej za wyrządzenie szkody kwota spełnionego regresu nie będzie obciążała szkodowości klienta i wpływała na wysokość stawki ubezpieczeniowej.</w:t>
      </w:r>
    </w:p>
    <w:p w14:paraId="02E71DA0"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 xml:space="preserve">Wypłata odszkodowania za szkody wynikłe z kradzieży będzie następowała w ciągu 30 dni, bez względu na zaawansowanie postępów w śledztwie. </w:t>
      </w:r>
    </w:p>
    <w:p w14:paraId="776824C4"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W razie sprzedaży lub wyrejestrowania pojazdu w okresie ubezpieczenia, Ubezpieczony przedstawi Ubezpieczycielowi poniżej wskazane dokumenty stwierdzające zbycie lub wyrejestrowanie pojazdu; poniższe dokumenty uznaje się za wystarczające do zwrotu składki za niewykorzystany okres ubezpieczenia:</w:t>
      </w:r>
    </w:p>
    <w:p w14:paraId="71577964"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faktura/umowa sprzedaży,</w:t>
      </w:r>
    </w:p>
    <w:p w14:paraId="43D8F62D" w14:textId="77777777" w:rsidR="00156798" w:rsidRPr="004D74BA" w:rsidRDefault="00156798" w:rsidP="00156798">
      <w:pPr>
        <w:numPr>
          <w:ilvl w:val="0"/>
          <w:numId w:val="10"/>
        </w:numPr>
        <w:rPr>
          <w:rFonts w:asciiTheme="majorHAnsi" w:hAnsiTheme="majorHAnsi" w:cstheme="minorHAnsi"/>
          <w:szCs w:val="20"/>
        </w:rPr>
      </w:pPr>
      <w:r w:rsidRPr="004D74BA">
        <w:rPr>
          <w:rFonts w:asciiTheme="majorHAnsi" w:hAnsiTheme="majorHAnsi" w:cstheme="minorHAnsi"/>
          <w:szCs w:val="20"/>
        </w:rPr>
        <w:t>pismo brokera dotyczące sprzedaży lub wyrejestrowania pojazdu.</w:t>
      </w:r>
    </w:p>
    <w:p w14:paraId="7568F822" w14:textId="77777777" w:rsidR="00156798" w:rsidRPr="004D74BA" w:rsidRDefault="00156798" w:rsidP="00156798">
      <w:pPr>
        <w:ind w:left="567"/>
        <w:rPr>
          <w:rFonts w:asciiTheme="majorHAnsi" w:hAnsiTheme="majorHAnsi" w:cstheme="minorHAnsi"/>
          <w:szCs w:val="20"/>
        </w:rPr>
      </w:pPr>
      <w:r w:rsidRPr="004D74BA">
        <w:rPr>
          <w:rFonts w:asciiTheme="majorHAnsi" w:hAnsiTheme="majorHAnsi" w:cstheme="minorHAnsi"/>
          <w:szCs w:val="20"/>
        </w:rPr>
        <w:t>Składka za okres niewykorzystany zostanie naliczona w proporcji od liczby dni niewykorzystanego pokrycia i zwrócona na konto Ubezpieczonego w terminie 30 dni od dnia otrzymania przez Ubezpieczyciela zgłoszenia. Zwrot składki nastąpi bez potrącania kosztów manipulacyjnych</w:t>
      </w:r>
    </w:p>
    <w:p w14:paraId="57041DBF" w14:textId="77777777" w:rsidR="00156798" w:rsidRPr="004D74BA" w:rsidRDefault="00156798" w:rsidP="00156798">
      <w:pPr>
        <w:numPr>
          <w:ilvl w:val="1"/>
          <w:numId w:val="15"/>
        </w:numPr>
        <w:rPr>
          <w:rFonts w:asciiTheme="majorHAnsi" w:hAnsiTheme="majorHAnsi" w:cstheme="minorHAnsi"/>
          <w:szCs w:val="20"/>
        </w:rPr>
      </w:pPr>
      <w:r w:rsidRPr="004D74BA">
        <w:rPr>
          <w:rFonts w:asciiTheme="majorHAnsi" w:hAnsiTheme="majorHAnsi" w:cstheme="minorHAnsi"/>
          <w:szCs w:val="20"/>
        </w:rPr>
        <w:t>Wszystkie koszty naprawy pojazdu ustalane będą na podstawie cen części oryginalnych serwisowych.</w:t>
      </w:r>
    </w:p>
    <w:p w14:paraId="53F609B8" w14:textId="77777777" w:rsidR="00156798" w:rsidRPr="004D74BA" w:rsidRDefault="00156798" w:rsidP="00156798">
      <w:pPr>
        <w:ind w:left="567"/>
        <w:rPr>
          <w:rFonts w:asciiTheme="majorHAnsi" w:hAnsiTheme="majorHAnsi" w:cstheme="minorHAnsi"/>
          <w:szCs w:val="20"/>
        </w:rPr>
      </w:pPr>
    </w:p>
    <w:p w14:paraId="20DFAFD0" w14:textId="77777777" w:rsidR="008352B3" w:rsidRPr="004D74BA" w:rsidRDefault="008352B3" w:rsidP="00156798">
      <w:pPr>
        <w:ind w:left="567"/>
        <w:rPr>
          <w:rFonts w:asciiTheme="majorHAnsi" w:hAnsiTheme="majorHAnsi" w:cstheme="minorHAnsi"/>
          <w:szCs w:val="20"/>
        </w:rPr>
      </w:pPr>
    </w:p>
    <w:p w14:paraId="40687B7B" w14:textId="77777777" w:rsidR="00156798" w:rsidRPr="004D74BA" w:rsidRDefault="00156798" w:rsidP="008352B3">
      <w:pPr>
        <w:numPr>
          <w:ilvl w:val="0"/>
          <w:numId w:val="11"/>
        </w:numPr>
        <w:tabs>
          <w:tab w:val="clear" w:pos="1775"/>
          <w:tab w:val="num" w:pos="357"/>
        </w:tabs>
        <w:ind w:left="357"/>
        <w:rPr>
          <w:rFonts w:asciiTheme="majorHAnsi" w:hAnsiTheme="majorHAnsi" w:cstheme="minorHAnsi"/>
          <w:b/>
          <w:szCs w:val="20"/>
          <w:u w:val="single"/>
        </w:rPr>
      </w:pPr>
      <w:r w:rsidRPr="004D74BA">
        <w:rPr>
          <w:rFonts w:asciiTheme="majorHAnsi" w:hAnsiTheme="majorHAnsi" w:cstheme="minorHAnsi"/>
          <w:b/>
          <w:szCs w:val="20"/>
          <w:u w:val="single"/>
        </w:rPr>
        <w:t>Klauzule fakultatywne – brak akceptacji nie powoduje odrzucenia oferty, ma jednakże wpływ na jej ocenę.</w:t>
      </w:r>
    </w:p>
    <w:p w14:paraId="08E27258" w14:textId="50DF554F" w:rsidR="00577745" w:rsidRPr="004D74BA" w:rsidRDefault="00577745" w:rsidP="006A4A54">
      <w:pPr>
        <w:pStyle w:val="Akapitzlist"/>
        <w:numPr>
          <w:ilvl w:val="0"/>
          <w:numId w:val="42"/>
        </w:numPr>
        <w:adjustRightInd w:val="0"/>
        <w:spacing w:before="240"/>
        <w:rPr>
          <w:rFonts w:asciiTheme="majorHAnsi" w:eastAsia="@Arial Unicode MS" w:hAnsiTheme="majorHAnsi" w:cstheme="minorHAnsi"/>
          <w:color w:val="000000"/>
          <w:szCs w:val="20"/>
        </w:rPr>
      </w:pPr>
      <w:r w:rsidRPr="004D74BA">
        <w:rPr>
          <w:rFonts w:asciiTheme="majorHAnsi" w:hAnsiTheme="majorHAnsi"/>
          <w:b/>
          <w:szCs w:val="20"/>
        </w:rPr>
        <w:t>Klauzula nietrzeźwości</w:t>
      </w:r>
      <w:r w:rsidRPr="004D74BA">
        <w:rPr>
          <w:rFonts w:asciiTheme="majorHAnsi" w:hAnsiTheme="majorHAnsi"/>
          <w:szCs w:val="20"/>
        </w:rPr>
        <w:t xml:space="preserve"> - Odpowiedzialność za szkody wyrządzone przez kierującego pojazdem w stanie nietrzeźwości lub w stanie po użyciu alkoholu albo pod wpływem środków odurzających, substancji psychotropowych lub innych środków zastępczych w rozumieniu przepisów o przeciwdziałaniu narkomanii – dwa zdarzenia w okresie ubezpieczenia.</w:t>
      </w:r>
    </w:p>
    <w:p w14:paraId="0355EB03" w14:textId="3B8F70AD" w:rsidR="00156798" w:rsidRPr="004D74BA" w:rsidRDefault="00DF1EED" w:rsidP="00577745">
      <w:pPr>
        <w:adjustRightInd w:val="0"/>
        <w:spacing w:before="240"/>
        <w:ind w:left="284"/>
        <w:rPr>
          <w:rFonts w:asciiTheme="majorHAnsi" w:hAnsiTheme="majorHAnsi" w:cstheme="minorHAnsi"/>
          <w:color w:val="000000"/>
          <w:szCs w:val="20"/>
        </w:rPr>
      </w:pPr>
      <w:r w:rsidRPr="004D74BA">
        <w:rPr>
          <w:rFonts w:asciiTheme="majorHAnsi" w:eastAsia="@Arial Unicode MS" w:hAnsiTheme="majorHAnsi" w:cstheme="minorHAnsi"/>
          <w:color w:val="000000"/>
          <w:szCs w:val="20"/>
        </w:rPr>
        <w:t>2.</w:t>
      </w:r>
      <w:r w:rsidR="00156798" w:rsidRPr="004D74BA">
        <w:rPr>
          <w:rFonts w:asciiTheme="majorHAnsi" w:eastAsia="@Arial Unicode MS" w:hAnsiTheme="majorHAnsi" w:cstheme="minorHAnsi"/>
          <w:b/>
          <w:bCs/>
          <w:color w:val="000000"/>
          <w:szCs w:val="20"/>
        </w:rPr>
        <w:t>Gwarantowana suma ubezpieczenia</w:t>
      </w:r>
      <w:r w:rsidR="00156798" w:rsidRPr="004D74BA">
        <w:rPr>
          <w:rFonts w:asciiTheme="majorHAnsi" w:eastAsia="@Arial Unicode MS" w:hAnsiTheme="majorHAnsi" w:cstheme="minorHAnsi"/>
          <w:color w:val="000000"/>
          <w:szCs w:val="20"/>
        </w:rPr>
        <w:t>: Wykonawca przyjmuje w 12-miesięcznym okresie ubezpieczenia za wartość rynkową pojazdu z dnia szkody, przyjętą w umowie sumę ubezpieczenia (utrzymanie początkowej sumy ubezpieczenia  pojazdu na okres 12 miesięcy).</w:t>
      </w:r>
      <w:r w:rsidR="00156798" w:rsidRPr="004D74BA">
        <w:rPr>
          <w:rFonts w:asciiTheme="majorHAnsi" w:hAnsiTheme="majorHAnsi" w:cstheme="minorHAnsi"/>
          <w:color w:val="000000"/>
          <w:szCs w:val="20"/>
        </w:rPr>
        <w:t xml:space="preserve"> </w:t>
      </w:r>
    </w:p>
    <w:p w14:paraId="62A8FD90" w14:textId="5CF64EBE" w:rsidR="00AE56E2" w:rsidRPr="004D74BA" w:rsidRDefault="00AE56E2" w:rsidP="00AE56E2">
      <w:pPr>
        <w:adjustRightInd w:val="0"/>
        <w:spacing w:before="240"/>
        <w:ind w:left="284"/>
        <w:rPr>
          <w:rFonts w:asciiTheme="majorHAnsi" w:hAnsiTheme="majorHAnsi" w:cstheme="minorHAnsi"/>
          <w:color w:val="000000"/>
          <w:szCs w:val="20"/>
        </w:rPr>
      </w:pPr>
      <w:r w:rsidRPr="004D74BA">
        <w:rPr>
          <w:rFonts w:asciiTheme="majorHAnsi" w:hAnsiTheme="majorHAnsi" w:cstheme="minorHAnsi"/>
          <w:color w:val="000000"/>
          <w:szCs w:val="20"/>
        </w:rPr>
        <w:t>3</w:t>
      </w:r>
      <w:r w:rsidRPr="004D74BA">
        <w:rPr>
          <w:rFonts w:asciiTheme="majorHAnsi" w:hAnsiTheme="majorHAnsi" w:cstheme="minorHAnsi"/>
          <w:b/>
          <w:bCs/>
          <w:color w:val="000000"/>
          <w:szCs w:val="20"/>
        </w:rPr>
        <w:t>. Klauzula wypłaty odszkodowania za szkody w ogumieniu:</w:t>
      </w:r>
      <w:r w:rsidRPr="004D74BA">
        <w:rPr>
          <w:rFonts w:asciiTheme="majorHAnsi" w:hAnsiTheme="majorHAnsi" w:cstheme="minorHAnsi"/>
          <w:color w:val="000000"/>
          <w:szCs w:val="20"/>
        </w:rPr>
        <w:t xml:space="preserve"> Ubezpieczyciel wypłaci odszkodowanie w przypadku uszkodzenie lub/i zniszczenie opon w ubezpieczonym pojeździe (przecięcie, przebicie, rozerwanie) pod warunkiem, że przedmiot szkody był nie starszy niż 2 lata.</w:t>
      </w:r>
      <w:r w:rsidR="00AF1397" w:rsidRPr="004D74BA">
        <w:rPr>
          <w:rFonts w:asciiTheme="majorHAnsi" w:hAnsiTheme="majorHAnsi" w:cstheme="minorHAnsi"/>
          <w:color w:val="000000"/>
          <w:szCs w:val="20"/>
        </w:rPr>
        <w:t xml:space="preserve"> </w:t>
      </w:r>
      <w:r w:rsidRPr="004D74BA">
        <w:rPr>
          <w:rFonts w:asciiTheme="majorHAnsi" w:hAnsiTheme="majorHAnsi" w:cstheme="minorHAnsi"/>
          <w:color w:val="000000"/>
          <w:szCs w:val="20"/>
        </w:rPr>
        <w:t>Limit odpowiedzialności Ubezpieczyciela z tego tytułu wynosi 5.000 zł na jedno zdarzenie.</w:t>
      </w:r>
    </w:p>
    <w:p w14:paraId="42229B36" w14:textId="3D682BDC" w:rsidR="007A1449" w:rsidRPr="004D74BA" w:rsidRDefault="007A1449" w:rsidP="007A1449">
      <w:pPr>
        <w:adjustRightInd w:val="0"/>
        <w:spacing w:before="240"/>
        <w:ind w:left="284"/>
        <w:rPr>
          <w:rFonts w:asciiTheme="majorHAnsi" w:hAnsiTheme="majorHAnsi" w:cstheme="minorHAnsi"/>
          <w:color w:val="000000"/>
          <w:szCs w:val="20"/>
        </w:rPr>
      </w:pPr>
      <w:r w:rsidRPr="004D74BA">
        <w:rPr>
          <w:rFonts w:asciiTheme="majorHAnsi" w:hAnsiTheme="majorHAnsi" w:cstheme="minorHAnsi"/>
          <w:color w:val="000000"/>
          <w:szCs w:val="20"/>
        </w:rPr>
        <w:lastRenderedPageBreak/>
        <w:t xml:space="preserve">4. </w:t>
      </w:r>
      <w:r w:rsidRPr="004D74BA">
        <w:rPr>
          <w:rFonts w:asciiTheme="majorHAnsi" w:hAnsiTheme="majorHAnsi" w:cstheme="minorHAnsi"/>
          <w:b/>
          <w:bCs/>
          <w:color w:val="000000"/>
          <w:szCs w:val="20"/>
        </w:rPr>
        <w:t>Klauzula wypłaty odszkodowania za szkody wynikające z przemieszczenia się towaru w części ładunkowej:</w:t>
      </w:r>
      <w:r w:rsidRPr="004D74BA">
        <w:rPr>
          <w:rFonts w:asciiTheme="majorHAnsi" w:hAnsiTheme="majorHAnsi" w:cstheme="minorHAnsi"/>
          <w:color w:val="000000"/>
          <w:szCs w:val="20"/>
        </w:rPr>
        <w:t xml:space="preserve"> Ubezpieczyciel wypłaci odszkodowanie, jeśli podczas ruchu na skutek przemieszczenia się towaru wewnątrz części ładunkowej doszło do uszkodzenia ubezpieczonego pojazdu ciężarowego. Limit odpowiedzialności ubezpieczyciela z tego tytułu wynosi 10.000 zł na jedno zdarzenie.</w:t>
      </w:r>
    </w:p>
    <w:p w14:paraId="4C503185" w14:textId="025F256A" w:rsidR="00241E4F" w:rsidRPr="004D74BA" w:rsidRDefault="00241E4F" w:rsidP="00241E4F">
      <w:pPr>
        <w:adjustRightInd w:val="0"/>
        <w:spacing w:before="240"/>
        <w:ind w:left="284"/>
        <w:rPr>
          <w:rFonts w:asciiTheme="majorHAnsi" w:hAnsiTheme="majorHAnsi" w:cstheme="minorHAnsi"/>
          <w:color w:val="000000"/>
          <w:szCs w:val="20"/>
        </w:rPr>
      </w:pPr>
      <w:r w:rsidRPr="004D74BA">
        <w:rPr>
          <w:rFonts w:asciiTheme="majorHAnsi" w:hAnsiTheme="majorHAnsi" w:cstheme="minorHAnsi"/>
          <w:color w:val="000000"/>
          <w:szCs w:val="20"/>
        </w:rPr>
        <w:t xml:space="preserve">5. </w:t>
      </w:r>
      <w:r w:rsidRPr="004D74BA">
        <w:rPr>
          <w:rFonts w:asciiTheme="majorHAnsi" w:hAnsiTheme="majorHAnsi" w:cstheme="minorHAnsi"/>
          <w:b/>
          <w:bCs/>
          <w:color w:val="000000"/>
          <w:szCs w:val="20"/>
        </w:rPr>
        <w:t>Klauzula wypłaty odszkodowania za szkody wynikające z kradzieży paliwa ze zbiorników pojazdu</w:t>
      </w:r>
      <w:r w:rsidRPr="004D74BA">
        <w:rPr>
          <w:rFonts w:asciiTheme="majorHAnsi" w:hAnsiTheme="majorHAnsi" w:cstheme="minorHAnsi"/>
          <w:color w:val="000000"/>
          <w:szCs w:val="20"/>
        </w:rPr>
        <w:t>: Ubezpieczyciel wypłaci odszkodowanie za kradzież paliwa ze zbiorników ubezpieczonego pojazdu ciężarowego, pod warunkiem widocznych śladów włamania. Limit odpowiedzialności ubezpieczyciela z tego tytułu wynosi 2.000 zł na jedno i 10.000 zł na wszystkie zdarzenia.</w:t>
      </w:r>
    </w:p>
    <w:p w14:paraId="122596F4" w14:textId="77777777" w:rsidR="00156798" w:rsidRPr="004D74BA" w:rsidRDefault="00156798" w:rsidP="00156798">
      <w:pPr>
        <w:ind w:left="567"/>
        <w:rPr>
          <w:rFonts w:asciiTheme="majorHAnsi" w:hAnsiTheme="majorHAnsi" w:cstheme="minorHAnsi"/>
          <w:szCs w:val="20"/>
        </w:rPr>
      </w:pPr>
    </w:p>
    <w:p w14:paraId="471CBF58" w14:textId="77777777" w:rsidR="00156798" w:rsidRPr="004D74BA" w:rsidRDefault="00156798" w:rsidP="00156798">
      <w:pPr>
        <w:ind w:left="357" w:hanging="357"/>
        <w:rPr>
          <w:rFonts w:asciiTheme="majorHAnsi" w:hAnsiTheme="majorHAnsi" w:cstheme="minorHAnsi"/>
          <w:b/>
          <w:bCs/>
          <w:szCs w:val="20"/>
        </w:rPr>
      </w:pPr>
      <w:r w:rsidRPr="004D74BA">
        <w:rPr>
          <w:rFonts w:asciiTheme="majorHAnsi" w:hAnsiTheme="majorHAnsi" w:cstheme="minorHAnsi"/>
          <w:b/>
          <w:bCs/>
          <w:szCs w:val="20"/>
        </w:rPr>
        <w:t>IV.</w:t>
      </w:r>
      <w:r w:rsidRPr="004D74BA">
        <w:rPr>
          <w:rFonts w:asciiTheme="majorHAnsi" w:hAnsiTheme="majorHAnsi" w:cstheme="minorHAnsi"/>
          <w:b/>
          <w:bCs/>
          <w:szCs w:val="20"/>
        </w:rPr>
        <w:tab/>
        <w:t>UBEZPIECZENIE NNW</w:t>
      </w:r>
    </w:p>
    <w:p w14:paraId="34E56F5B" w14:textId="77777777" w:rsidR="00156798" w:rsidRPr="004D74BA" w:rsidRDefault="00156798" w:rsidP="00156798">
      <w:pPr>
        <w:rPr>
          <w:rFonts w:asciiTheme="majorHAnsi" w:hAnsiTheme="majorHAnsi" w:cstheme="minorHAnsi"/>
          <w:szCs w:val="20"/>
        </w:rPr>
      </w:pPr>
    </w:p>
    <w:p w14:paraId="60EDCE79" w14:textId="77777777" w:rsidR="00156798" w:rsidRPr="004D74BA" w:rsidRDefault="00156798" w:rsidP="00156798">
      <w:pPr>
        <w:numPr>
          <w:ilvl w:val="0"/>
          <w:numId w:val="16"/>
        </w:numPr>
        <w:rPr>
          <w:rFonts w:asciiTheme="majorHAnsi" w:hAnsiTheme="majorHAnsi" w:cstheme="minorHAnsi"/>
          <w:b/>
          <w:szCs w:val="20"/>
        </w:rPr>
      </w:pPr>
      <w:r w:rsidRPr="004D74BA">
        <w:rPr>
          <w:rFonts w:asciiTheme="majorHAnsi" w:hAnsiTheme="majorHAnsi" w:cstheme="minorHAnsi"/>
          <w:b/>
          <w:szCs w:val="20"/>
        </w:rPr>
        <w:t xml:space="preserve">Suma ubezpieczenia </w:t>
      </w:r>
    </w:p>
    <w:p w14:paraId="1E16DEB0" w14:textId="77777777" w:rsidR="00156798" w:rsidRPr="004D74BA" w:rsidRDefault="00156798" w:rsidP="00156798">
      <w:pPr>
        <w:tabs>
          <w:tab w:val="num" w:pos="567"/>
        </w:tabs>
        <w:rPr>
          <w:rFonts w:asciiTheme="majorHAnsi" w:hAnsiTheme="majorHAnsi" w:cstheme="minorHAnsi"/>
          <w:szCs w:val="20"/>
        </w:rPr>
      </w:pPr>
    </w:p>
    <w:p w14:paraId="6E69BA89" w14:textId="77777777" w:rsidR="00156798" w:rsidRPr="004D74BA" w:rsidRDefault="00156798" w:rsidP="00156798">
      <w:pPr>
        <w:numPr>
          <w:ilvl w:val="1"/>
          <w:numId w:val="17"/>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10 000 zł na każdą osobę na każde zdarzenie</w:t>
      </w:r>
    </w:p>
    <w:p w14:paraId="6926073D" w14:textId="77777777" w:rsidR="00156798" w:rsidRPr="004D74BA" w:rsidRDefault="00156798" w:rsidP="00156798">
      <w:pPr>
        <w:numPr>
          <w:ilvl w:val="1"/>
          <w:numId w:val="17"/>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Suma ubezpieczenia na wypadek śmierci: 100%</w:t>
      </w:r>
    </w:p>
    <w:p w14:paraId="72F09788" w14:textId="77777777" w:rsidR="00156798" w:rsidRPr="004D74BA" w:rsidRDefault="00156798" w:rsidP="00156798">
      <w:pPr>
        <w:numPr>
          <w:ilvl w:val="1"/>
          <w:numId w:val="17"/>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Świadczenie w przypadku uszczerbku na zdrowiu wynosi 1% sumy ubezpieczenia za każdy procent uszczerbku,</w:t>
      </w:r>
    </w:p>
    <w:p w14:paraId="12F23D96" w14:textId="77777777" w:rsidR="00156798" w:rsidRPr="004D74BA" w:rsidRDefault="00156798" w:rsidP="00156798">
      <w:pPr>
        <w:numPr>
          <w:ilvl w:val="1"/>
          <w:numId w:val="17"/>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Świadczenie na wypadek całkowitego trwałego uszczerbku na zdrowiu wynosi 100% sumy ubezpieczenia.</w:t>
      </w:r>
    </w:p>
    <w:p w14:paraId="72315CA9" w14:textId="77777777" w:rsidR="00156798" w:rsidRPr="004D74BA" w:rsidRDefault="00156798" w:rsidP="00156798">
      <w:pPr>
        <w:rPr>
          <w:rFonts w:asciiTheme="majorHAnsi" w:hAnsiTheme="majorHAnsi" w:cstheme="minorHAnsi"/>
          <w:szCs w:val="20"/>
        </w:rPr>
      </w:pPr>
    </w:p>
    <w:p w14:paraId="6ABCAFEF" w14:textId="77777777" w:rsidR="00156798" w:rsidRPr="004D74BA" w:rsidRDefault="00156798" w:rsidP="00156798">
      <w:pPr>
        <w:numPr>
          <w:ilvl w:val="0"/>
          <w:numId w:val="16"/>
        </w:numPr>
        <w:rPr>
          <w:rFonts w:asciiTheme="majorHAnsi" w:hAnsiTheme="majorHAnsi" w:cstheme="minorHAnsi"/>
          <w:b/>
          <w:szCs w:val="20"/>
        </w:rPr>
      </w:pPr>
      <w:r w:rsidRPr="004D74BA">
        <w:rPr>
          <w:rFonts w:asciiTheme="majorHAnsi" w:hAnsiTheme="majorHAnsi" w:cstheme="minorHAnsi"/>
          <w:b/>
          <w:szCs w:val="20"/>
        </w:rPr>
        <w:t>Pozostałe postanowienia obligatoryjne</w:t>
      </w:r>
    </w:p>
    <w:p w14:paraId="63B65D6E" w14:textId="77777777" w:rsidR="00156798" w:rsidRPr="004D74BA" w:rsidRDefault="00156798" w:rsidP="00156798">
      <w:pPr>
        <w:rPr>
          <w:rFonts w:asciiTheme="majorHAnsi" w:hAnsiTheme="majorHAnsi" w:cstheme="minorHAnsi"/>
          <w:szCs w:val="20"/>
        </w:rPr>
      </w:pPr>
    </w:p>
    <w:p w14:paraId="662B3D98" w14:textId="09A7FCD8" w:rsidR="00156798" w:rsidRPr="004D74BA" w:rsidRDefault="00156798" w:rsidP="00156798">
      <w:pPr>
        <w:numPr>
          <w:ilvl w:val="1"/>
          <w:numId w:val="20"/>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 xml:space="preserve">Wyrównywania okresów ubezpieczenia do </w:t>
      </w:r>
      <w:r w:rsidR="00AA023D" w:rsidRPr="004D74BA">
        <w:rPr>
          <w:rFonts w:asciiTheme="majorHAnsi" w:hAnsiTheme="majorHAnsi" w:cstheme="minorHAnsi"/>
          <w:szCs w:val="20"/>
        </w:rPr>
        <w:t>31-12-2025</w:t>
      </w:r>
      <w:r w:rsidR="00B61F26" w:rsidRPr="004D74BA">
        <w:rPr>
          <w:rFonts w:asciiTheme="majorHAnsi" w:hAnsiTheme="majorHAnsi" w:cstheme="minorHAnsi"/>
          <w:szCs w:val="20"/>
        </w:rPr>
        <w:t xml:space="preserve">, 31-12-2026, </w:t>
      </w:r>
      <w:r w:rsidR="00E77ADA" w:rsidRPr="004D74BA">
        <w:rPr>
          <w:rFonts w:asciiTheme="majorHAnsi" w:hAnsiTheme="majorHAnsi" w:cstheme="minorHAnsi"/>
          <w:szCs w:val="20"/>
        </w:rPr>
        <w:t xml:space="preserve">  </w:t>
      </w:r>
      <w:r w:rsidRPr="004D74BA">
        <w:rPr>
          <w:rFonts w:asciiTheme="majorHAnsi" w:hAnsiTheme="majorHAnsi" w:cstheme="minorHAnsi"/>
          <w:szCs w:val="20"/>
        </w:rPr>
        <w:t xml:space="preserve"> na zasadzie pro rata temporis, co do dnia.</w:t>
      </w:r>
    </w:p>
    <w:p w14:paraId="23E6DAFE" w14:textId="77777777" w:rsidR="00156798" w:rsidRPr="004D74BA" w:rsidRDefault="00156798" w:rsidP="00156798">
      <w:pPr>
        <w:numPr>
          <w:ilvl w:val="1"/>
          <w:numId w:val="20"/>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Zwrot składki bez potrącania kosztów manipulacyjnych.</w:t>
      </w:r>
    </w:p>
    <w:p w14:paraId="6A6C15E4" w14:textId="77777777" w:rsidR="00156798" w:rsidRPr="004D74BA" w:rsidRDefault="00156798" w:rsidP="00156798">
      <w:pPr>
        <w:numPr>
          <w:ilvl w:val="1"/>
          <w:numId w:val="20"/>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Udział własny nie ma zastosowania.</w:t>
      </w:r>
    </w:p>
    <w:p w14:paraId="4F90C0F1" w14:textId="77777777" w:rsidR="00156798" w:rsidRPr="004D74BA" w:rsidRDefault="00156798" w:rsidP="00156798">
      <w:pPr>
        <w:numPr>
          <w:ilvl w:val="1"/>
          <w:numId w:val="20"/>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Zakres terytorialny: Europa</w:t>
      </w:r>
    </w:p>
    <w:p w14:paraId="7F46B3B7" w14:textId="77777777" w:rsidR="00156798" w:rsidRPr="004D74BA" w:rsidRDefault="00156798" w:rsidP="00156798">
      <w:pPr>
        <w:numPr>
          <w:ilvl w:val="1"/>
          <w:numId w:val="20"/>
        </w:numPr>
        <w:tabs>
          <w:tab w:val="num" w:pos="567"/>
        </w:tabs>
        <w:ind w:left="567" w:hanging="567"/>
        <w:rPr>
          <w:rFonts w:asciiTheme="majorHAnsi" w:hAnsiTheme="majorHAnsi" w:cstheme="minorHAnsi"/>
          <w:szCs w:val="20"/>
        </w:rPr>
      </w:pPr>
      <w:r w:rsidRPr="004D74BA">
        <w:rPr>
          <w:rFonts w:asciiTheme="majorHAnsi" w:hAnsiTheme="majorHAnsi" w:cstheme="minorHAnsi"/>
          <w:szCs w:val="20"/>
        </w:rPr>
        <w:t>Ubezpieczeniem objęte są również trwałe następstwa zawału serca oraz krwotoku śródmózgowego powstałe u kierowcy podczas ruchu pojazdu mechanicznego.</w:t>
      </w:r>
    </w:p>
    <w:p w14:paraId="56696F56" w14:textId="77777777" w:rsidR="00156798" w:rsidRPr="004D74BA" w:rsidRDefault="00156798" w:rsidP="00156798">
      <w:pPr>
        <w:rPr>
          <w:rFonts w:asciiTheme="majorHAnsi" w:hAnsiTheme="majorHAnsi" w:cstheme="minorHAnsi"/>
          <w:szCs w:val="20"/>
        </w:rPr>
      </w:pPr>
    </w:p>
    <w:p w14:paraId="25E119D3" w14:textId="77777777" w:rsidR="00156798" w:rsidRPr="004D74BA" w:rsidRDefault="00156798" w:rsidP="00156798">
      <w:pPr>
        <w:rPr>
          <w:rFonts w:asciiTheme="majorHAnsi" w:hAnsiTheme="majorHAnsi" w:cstheme="minorHAnsi"/>
          <w:szCs w:val="20"/>
        </w:rPr>
      </w:pPr>
    </w:p>
    <w:p w14:paraId="47A8767D" w14:textId="77777777" w:rsidR="00156798" w:rsidRPr="004D74BA" w:rsidRDefault="00156798" w:rsidP="00156798">
      <w:pPr>
        <w:ind w:left="357" w:hanging="357"/>
        <w:rPr>
          <w:rFonts w:asciiTheme="majorHAnsi" w:hAnsiTheme="majorHAnsi" w:cstheme="minorHAnsi"/>
          <w:b/>
          <w:bCs/>
          <w:szCs w:val="20"/>
        </w:rPr>
      </w:pPr>
      <w:r w:rsidRPr="004D74BA">
        <w:rPr>
          <w:rFonts w:asciiTheme="majorHAnsi" w:hAnsiTheme="majorHAnsi" w:cstheme="minorHAnsi"/>
          <w:b/>
          <w:bCs/>
          <w:szCs w:val="20"/>
        </w:rPr>
        <w:t>V.</w:t>
      </w:r>
      <w:r w:rsidRPr="004D74BA">
        <w:rPr>
          <w:rFonts w:asciiTheme="majorHAnsi" w:hAnsiTheme="majorHAnsi" w:cstheme="minorHAnsi"/>
          <w:b/>
          <w:bCs/>
          <w:szCs w:val="20"/>
        </w:rPr>
        <w:tab/>
        <w:t>ASSISTANCE</w:t>
      </w:r>
    </w:p>
    <w:p w14:paraId="24D67426" w14:textId="77777777" w:rsidR="00E77ADA" w:rsidRPr="004D74BA" w:rsidRDefault="00E77ADA" w:rsidP="00156798">
      <w:pPr>
        <w:rPr>
          <w:rFonts w:asciiTheme="majorHAnsi" w:hAnsiTheme="majorHAnsi" w:cstheme="minorHAnsi"/>
          <w:color w:val="000000" w:themeColor="text1"/>
          <w:szCs w:val="20"/>
        </w:rPr>
      </w:pPr>
    </w:p>
    <w:p w14:paraId="5232AE5F"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W ramach ubezpieczenia Assistance realizowanego w ramach składki za ubezpieczenie AC Wykonawca zapewni dla samochodów osobowych,  samochodów ciężarowych o dopuszczalnej masie całkowitej do 3,5 tony, przyczep kempingowych, przyczep ciężarowych o ładowności do 2 ton oraz motocykli pomoc w przypadku awarii, kolizji, wypadku drogowego, utraty bądź kradzieży pojazdu na terenie Europy. W ramach ubezpieczenia Wykonawca odpowiada co najmniej za: </w:t>
      </w:r>
    </w:p>
    <w:p w14:paraId="7D5840CF"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xml:space="preserve">- koszty holowania pojazdu tj. zorganizowanie i pokrycie kosztów holowania unieruchomionego wskutek awarii, wypadku lub kradzieży do miejsca wskazanego przez Zamawiającego na odległość co najmniej 100 km, </w:t>
      </w:r>
    </w:p>
    <w:p w14:paraId="3DBB3E49" w14:textId="43F0468F"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koszty zorganizowania i naprawy pojazdu w miejscu awarii</w:t>
      </w:r>
      <w:r w:rsidR="00EB379D" w:rsidRPr="004D74BA">
        <w:rPr>
          <w:rFonts w:asciiTheme="majorHAnsi" w:hAnsiTheme="majorHAnsi" w:cstheme="minorHAnsi"/>
          <w:color w:val="000000" w:themeColor="text1"/>
          <w:szCs w:val="20"/>
        </w:rPr>
        <w:t>,</w:t>
      </w:r>
    </w:p>
    <w:p w14:paraId="53513E60"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xml:space="preserve">- koszty organizacji pomocy w przypadku unieruchomienia pojazdu w skutek braku paliwa lub niewłaściwego paliwa w zbiorniku pojazdu, przebicia opony, uszkodzenia kluczy służących do otwarcia i uruchomienia pojazdu, rozładowania akumulatora. </w:t>
      </w:r>
    </w:p>
    <w:p w14:paraId="6ED2CA21" w14:textId="4116F318"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 pokrycie kosztów wynajęcia pojazdu zastępczego w każdym przypadku  na okres co najmniej</w:t>
      </w:r>
      <w:r w:rsidR="00E77ADA" w:rsidRPr="004D74BA">
        <w:rPr>
          <w:rFonts w:asciiTheme="majorHAnsi" w:hAnsiTheme="majorHAnsi" w:cstheme="minorHAnsi"/>
          <w:color w:val="000000" w:themeColor="text1"/>
          <w:szCs w:val="20"/>
        </w:rPr>
        <w:t xml:space="preserve"> </w:t>
      </w:r>
      <w:r w:rsidRPr="004D74BA">
        <w:rPr>
          <w:rFonts w:asciiTheme="majorHAnsi" w:hAnsiTheme="majorHAnsi" w:cstheme="minorHAnsi"/>
          <w:color w:val="000000" w:themeColor="text1"/>
          <w:szCs w:val="20"/>
        </w:rPr>
        <w:t xml:space="preserve"> 5 dni</w:t>
      </w:r>
      <w:r w:rsidR="00655066" w:rsidRPr="004D74BA">
        <w:rPr>
          <w:rFonts w:asciiTheme="majorHAnsi" w:hAnsiTheme="majorHAnsi" w:cstheme="minorHAnsi"/>
          <w:color w:val="000000" w:themeColor="text1"/>
          <w:szCs w:val="20"/>
        </w:rPr>
        <w:t xml:space="preserve"> kalendarzowych</w:t>
      </w:r>
      <w:r w:rsidRPr="004D74BA">
        <w:rPr>
          <w:rFonts w:asciiTheme="majorHAnsi" w:hAnsiTheme="majorHAnsi" w:cstheme="minorHAnsi"/>
          <w:color w:val="000000" w:themeColor="text1"/>
          <w:szCs w:val="20"/>
        </w:rPr>
        <w:t>,</w:t>
      </w:r>
    </w:p>
    <w:p w14:paraId="27A14B5A" w14:textId="77777777" w:rsidR="00E77ADA" w:rsidRPr="004D74BA" w:rsidRDefault="00E77ADA" w:rsidP="00156798">
      <w:pPr>
        <w:rPr>
          <w:rFonts w:asciiTheme="majorHAnsi" w:hAnsiTheme="majorHAnsi" w:cstheme="minorHAnsi"/>
          <w:color w:val="000000" w:themeColor="text1"/>
          <w:szCs w:val="20"/>
        </w:rPr>
      </w:pPr>
    </w:p>
    <w:p w14:paraId="71D47CCE" w14:textId="77777777" w:rsidR="00156798" w:rsidRPr="004D74BA" w:rsidRDefault="00156798" w:rsidP="00156798">
      <w:pPr>
        <w:rPr>
          <w:rFonts w:asciiTheme="majorHAnsi" w:hAnsiTheme="majorHAnsi" w:cstheme="minorHAnsi"/>
          <w:color w:val="000000" w:themeColor="text1"/>
          <w:szCs w:val="20"/>
        </w:rPr>
      </w:pPr>
      <w:r w:rsidRPr="004D74BA">
        <w:rPr>
          <w:rFonts w:asciiTheme="majorHAnsi" w:hAnsiTheme="majorHAnsi" w:cstheme="minorHAnsi"/>
          <w:color w:val="000000" w:themeColor="text1"/>
          <w:szCs w:val="20"/>
        </w:rPr>
        <w:t>Nie mają zastosowania inne niż uwzględnione powyżej franszyzy kilometrowe oraz limity ilościowe za poszczególne świadczenia.</w:t>
      </w:r>
    </w:p>
    <w:p w14:paraId="7FC4E51E" w14:textId="77777777" w:rsidR="00156798" w:rsidRPr="004D74BA" w:rsidRDefault="00156798" w:rsidP="00156798">
      <w:pPr>
        <w:rPr>
          <w:rFonts w:asciiTheme="majorHAnsi" w:hAnsiTheme="majorHAnsi" w:cstheme="minorHAnsi"/>
          <w:color w:val="FF0000"/>
          <w:szCs w:val="20"/>
        </w:rPr>
      </w:pPr>
    </w:p>
    <w:p w14:paraId="3F969A86" w14:textId="77777777" w:rsidR="00156798" w:rsidRPr="004D74BA" w:rsidRDefault="00156798" w:rsidP="00156798">
      <w:pPr>
        <w:ind w:left="357" w:hanging="357"/>
        <w:rPr>
          <w:rFonts w:asciiTheme="majorHAnsi" w:hAnsiTheme="majorHAnsi" w:cstheme="minorHAnsi"/>
          <w:b/>
          <w:bCs/>
          <w:szCs w:val="20"/>
        </w:rPr>
      </w:pPr>
      <w:r w:rsidRPr="004D74BA">
        <w:rPr>
          <w:rFonts w:asciiTheme="majorHAnsi" w:hAnsiTheme="majorHAnsi" w:cstheme="minorHAnsi"/>
          <w:b/>
          <w:bCs/>
          <w:szCs w:val="20"/>
        </w:rPr>
        <w:t>VI.</w:t>
      </w:r>
      <w:r w:rsidRPr="004D74BA">
        <w:rPr>
          <w:rFonts w:asciiTheme="majorHAnsi" w:hAnsiTheme="majorHAnsi" w:cstheme="minorHAnsi"/>
          <w:b/>
          <w:bCs/>
          <w:szCs w:val="20"/>
        </w:rPr>
        <w:tab/>
        <w:t>LIKWIDACJA SZKÓD</w:t>
      </w:r>
    </w:p>
    <w:p w14:paraId="0FB2CC71" w14:textId="77777777" w:rsidR="00156798" w:rsidRPr="004D74BA" w:rsidRDefault="00156798" w:rsidP="00156798">
      <w:pPr>
        <w:ind w:left="357" w:hanging="357"/>
        <w:rPr>
          <w:rFonts w:asciiTheme="majorHAnsi" w:hAnsiTheme="majorHAnsi" w:cstheme="minorHAnsi"/>
          <w:b/>
          <w:bCs/>
          <w:szCs w:val="20"/>
        </w:rPr>
      </w:pPr>
    </w:p>
    <w:p w14:paraId="638D2B9A" w14:textId="1F440A52" w:rsidR="00156798" w:rsidRPr="004D74BA" w:rsidRDefault="00156798" w:rsidP="00156798">
      <w:pPr>
        <w:numPr>
          <w:ilvl w:val="0"/>
          <w:numId w:val="21"/>
        </w:numPr>
        <w:tabs>
          <w:tab w:val="left" w:pos="1701"/>
        </w:tabs>
        <w:rPr>
          <w:rFonts w:asciiTheme="majorHAnsi" w:hAnsiTheme="majorHAnsi" w:cstheme="minorHAnsi"/>
          <w:snapToGrid w:val="0"/>
          <w:color w:val="000000" w:themeColor="text1"/>
          <w:szCs w:val="20"/>
        </w:rPr>
      </w:pPr>
      <w:r w:rsidRPr="004D74BA">
        <w:rPr>
          <w:rFonts w:asciiTheme="majorHAnsi" w:hAnsiTheme="majorHAnsi" w:cstheme="minorHAnsi"/>
          <w:color w:val="000000" w:themeColor="text1"/>
          <w:szCs w:val="20"/>
        </w:rPr>
        <w:lastRenderedPageBreak/>
        <w:t xml:space="preserve">Wykonanie oględzin pojazdu oraz oceny technicznej poza siedzibą ubezpieczyciela odbywa się najdalej w ciągu </w:t>
      </w:r>
      <w:r w:rsidR="00DD6F1C" w:rsidRPr="004D74BA">
        <w:rPr>
          <w:rFonts w:asciiTheme="majorHAnsi" w:hAnsiTheme="majorHAnsi" w:cstheme="minorHAnsi"/>
          <w:color w:val="000000" w:themeColor="text1"/>
          <w:szCs w:val="20"/>
        </w:rPr>
        <w:t>2</w:t>
      </w:r>
      <w:r w:rsidRPr="004D74BA">
        <w:rPr>
          <w:rFonts w:asciiTheme="majorHAnsi" w:hAnsiTheme="majorHAnsi" w:cstheme="minorHAnsi"/>
          <w:color w:val="000000" w:themeColor="text1"/>
          <w:szCs w:val="20"/>
        </w:rPr>
        <w:t xml:space="preserve"> dni roboczych po zgłoszeniu szkody. W przypadku nie wykonania oględzin pojazdu oraz oceny technicznej w ciągu </w:t>
      </w:r>
      <w:r w:rsidR="00DD6F1C" w:rsidRPr="004D74BA">
        <w:rPr>
          <w:rFonts w:asciiTheme="majorHAnsi" w:hAnsiTheme="majorHAnsi" w:cstheme="minorHAnsi"/>
          <w:color w:val="000000" w:themeColor="text1"/>
          <w:szCs w:val="20"/>
        </w:rPr>
        <w:t>2</w:t>
      </w:r>
      <w:r w:rsidRPr="004D74BA">
        <w:rPr>
          <w:rFonts w:asciiTheme="majorHAnsi" w:hAnsiTheme="majorHAnsi" w:cstheme="minorHAnsi"/>
          <w:color w:val="000000" w:themeColor="text1"/>
          <w:szCs w:val="20"/>
        </w:rPr>
        <w:t xml:space="preserve"> dni roboczych po zgłoszeniu szkody Ubezpieczający ma prawo do rozpoczęcia naprawy pojazdu. Odszkodowanie zostanie wówczas wypłacone na podstawie dostarczonych do Ubezpieczyciela faktur za naprawę w należnej kwocie.</w:t>
      </w:r>
    </w:p>
    <w:p w14:paraId="4471A764" w14:textId="77777777" w:rsidR="00156798" w:rsidRPr="004D74BA" w:rsidRDefault="00156798" w:rsidP="00156798">
      <w:pPr>
        <w:numPr>
          <w:ilvl w:val="0"/>
          <w:numId w:val="21"/>
        </w:numPr>
        <w:tabs>
          <w:tab w:val="left" w:pos="1701"/>
        </w:tabs>
        <w:rPr>
          <w:rFonts w:asciiTheme="majorHAnsi" w:hAnsiTheme="majorHAnsi" w:cstheme="minorHAnsi"/>
          <w:snapToGrid w:val="0"/>
          <w:color w:val="000000" w:themeColor="text1"/>
          <w:szCs w:val="20"/>
        </w:rPr>
      </w:pPr>
      <w:r w:rsidRPr="004D74BA">
        <w:rPr>
          <w:rFonts w:asciiTheme="majorHAnsi" w:hAnsiTheme="majorHAnsi" w:cstheme="minorHAnsi"/>
          <w:snapToGrid w:val="0"/>
          <w:color w:val="000000" w:themeColor="text1"/>
          <w:szCs w:val="20"/>
        </w:rPr>
        <w:t>Ubezpieczyciel zobowiązuje się do zweryfikowania / zatwierdzenia kosztorysu i/lub faktur naprawy przekazanego przez warsztat lub Ubezpieczonego lub korzystającego najpóźniej w ciągu 3 dni roboczych po dostarczeniu dokumentów do Ubezpieczyciela. Nie dokonanie weryfikacji kosztorysu i/lub faktur w w/w terminie będzie uznawane za zatwierdzenie kosztorysu bez zastrzeżeń i zgodę na wykonywanie naprawy wedle przedstawionych kosztów. Po akceptacji kosztorysu Ubezpieczyciel ma obowiązek niezwłocznego pisemnego (w pierwszej kolejności drogą elektroniczną) poinformowania o tym Ubezpieczonego i/lub warsztat, w którym pojazd jest naprawiany.</w:t>
      </w:r>
    </w:p>
    <w:p w14:paraId="572F7135" w14:textId="77777777" w:rsidR="00156798" w:rsidRPr="004D74BA" w:rsidRDefault="00156798" w:rsidP="00156798">
      <w:pPr>
        <w:numPr>
          <w:ilvl w:val="0"/>
          <w:numId w:val="21"/>
        </w:numPr>
        <w:tabs>
          <w:tab w:val="left" w:pos="1701"/>
        </w:tabs>
        <w:rPr>
          <w:rFonts w:asciiTheme="majorHAnsi" w:hAnsiTheme="majorHAnsi" w:cstheme="minorHAnsi"/>
          <w:szCs w:val="20"/>
        </w:rPr>
      </w:pPr>
      <w:r w:rsidRPr="004D74BA">
        <w:rPr>
          <w:rFonts w:asciiTheme="majorHAnsi" w:hAnsiTheme="majorHAnsi" w:cstheme="minorHAnsi"/>
          <w:color w:val="000000" w:themeColor="text1"/>
          <w:szCs w:val="20"/>
        </w:rPr>
        <w:t xml:space="preserve">W przypadku wystąpienia szkody całkowitej Ubezpieczyciel każdorazowo udzieli aktywnej pomocy </w:t>
      </w:r>
      <w:r w:rsidRPr="004D74BA">
        <w:rPr>
          <w:rFonts w:asciiTheme="majorHAnsi" w:hAnsiTheme="majorHAnsi" w:cstheme="minorHAnsi"/>
          <w:szCs w:val="20"/>
        </w:rPr>
        <w:t xml:space="preserve">w zagospodarowaniu pozostałości uszkodzonego pojazdu poprzez poszukiwanie wiążących ofert ich zakupu. W przypadku nabycia pojazdu w stanie uszkodzonym (pozostałości) przez podmiot wskazany przez Ubezpieczyciela, rozliczenie szkody całkowitej jest dokonywane z uwzględnieniem rzeczywistej ceny sprzedaży (brutto). W przypadku braku nabywcy na pojazd w stanie uszkodzonym (pozostałości) lub w przypadku rezygnacji przez Ubezpieczonego z oferty nabycia pozostałości przez podmiot wskazany przez Ubezpieczyciela, Ubezpieczyciel ustala odszkodowanie w kwocie odpowiadającej wartości pojazdu bezpośrednio przed zaistnieniem szkody, pomniejszonej o wartość pozostałości powypadkowych ustaloną w oparciu o stosowane u Ubezpieczyciela systemy eksperckie. Przy czym obie wartości określane są w dniu ustalenia odszkodowania. </w:t>
      </w:r>
    </w:p>
    <w:p w14:paraId="5216DBD7" w14:textId="77777777" w:rsidR="00156798" w:rsidRPr="004D74BA" w:rsidRDefault="00156798" w:rsidP="00156798">
      <w:pPr>
        <w:numPr>
          <w:ilvl w:val="0"/>
          <w:numId w:val="21"/>
        </w:numPr>
        <w:tabs>
          <w:tab w:val="left" w:pos="1701"/>
        </w:tabs>
        <w:rPr>
          <w:rFonts w:asciiTheme="majorHAnsi" w:hAnsiTheme="majorHAnsi" w:cstheme="minorHAnsi"/>
          <w:szCs w:val="20"/>
        </w:rPr>
      </w:pPr>
      <w:r w:rsidRPr="004D74BA">
        <w:rPr>
          <w:rFonts w:asciiTheme="majorHAnsi" w:hAnsiTheme="majorHAnsi" w:cstheme="minorHAnsi"/>
          <w:szCs w:val="20"/>
        </w:rPr>
        <w:t>Ubezpieczyciel wyraża zgodę na uwierzytelnianie podpisu przez przedstawiciela Ubezpieczającego na wszystkich niezbędnych do likwidacji szkody dokumentach.</w:t>
      </w:r>
    </w:p>
    <w:p w14:paraId="51FC9BEC" w14:textId="77777777" w:rsidR="00156798" w:rsidRPr="004D74BA" w:rsidRDefault="00156798" w:rsidP="00156798">
      <w:pPr>
        <w:numPr>
          <w:ilvl w:val="0"/>
          <w:numId w:val="21"/>
        </w:numPr>
        <w:rPr>
          <w:rFonts w:asciiTheme="majorHAnsi" w:hAnsiTheme="majorHAnsi" w:cstheme="minorHAnsi"/>
          <w:szCs w:val="20"/>
        </w:rPr>
      </w:pPr>
      <w:r w:rsidRPr="004D74BA">
        <w:rPr>
          <w:rFonts w:asciiTheme="majorHAnsi" w:hAnsiTheme="majorHAnsi" w:cstheme="minorHAnsi"/>
          <w:szCs w:val="20"/>
        </w:rPr>
        <w:t>Ubezpieczyciel zobowiązuje się do obligatoryjnego przesyłania klientowi decyzji o wypłacie odszkodowania w przypadku każdej szkody.</w:t>
      </w:r>
    </w:p>
    <w:p w14:paraId="62F69E40" w14:textId="418FFFC2" w:rsidR="00156798" w:rsidRPr="004D74BA" w:rsidRDefault="00156798" w:rsidP="00156798">
      <w:pPr>
        <w:numPr>
          <w:ilvl w:val="0"/>
          <w:numId w:val="21"/>
        </w:numPr>
        <w:tabs>
          <w:tab w:val="left" w:pos="1701"/>
        </w:tabs>
        <w:rPr>
          <w:rFonts w:asciiTheme="majorHAnsi" w:hAnsiTheme="majorHAnsi" w:cstheme="minorHAnsi"/>
          <w:szCs w:val="20"/>
        </w:rPr>
      </w:pPr>
      <w:r w:rsidRPr="004D74BA">
        <w:rPr>
          <w:rFonts w:asciiTheme="majorHAnsi" w:hAnsiTheme="majorHAnsi" w:cstheme="minorHAnsi"/>
          <w:szCs w:val="20"/>
        </w:rPr>
        <w:t xml:space="preserve">Odszkodowania wypłacane są </w:t>
      </w:r>
      <w:r w:rsidR="002A6FDC" w:rsidRPr="004D74BA">
        <w:rPr>
          <w:rFonts w:asciiTheme="majorHAnsi" w:hAnsiTheme="majorHAnsi" w:cstheme="minorHAnsi"/>
          <w:szCs w:val="20"/>
        </w:rPr>
        <w:t xml:space="preserve">zgodnie z rodzajem wartości wskazanym </w:t>
      </w:r>
      <w:r w:rsidR="003B140B" w:rsidRPr="004D74BA">
        <w:rPr>
          <w:rFonts w:asciiTheme="majorHAnsi" w:hAnsiTheme="majorHAnsi" w:cstheme="minorHAnsi"/>
          <w:szCs w:val="20"/>
        </w:rPr>
        <w:t>do Sumy Ubezpieczenia (netto, brutto, netto+50%VAT)</w:t>
      </w:r>
      <w:r w:rsidRPr="004D74BA">
        <w:rPr>
          <w:rFonts w:asciiTheme="majorHAnsi" w:hAnsiTheme="majorHAnsi" w:cstheme="minorHAnsi"/>
          <w:szCs w:val="20"/>
        </w:rPr>
        <w:t>, bez konieczności przedstawiania przez Ubezpieczonego jakichkolwiek deklaracji lub potwierdzeń mówiących o braku możliwości odliczenia podatku VAT - w odniesieniu do jednostek nie mających możliwości odliczenia podatku VAT.</w:t>
      </w:r>
    </w:p>
    <w:p w14:paraId="2A21DE35" w14:textId="77777777" w:rsidR="00156798" w:rsidRPr="004D74BA" w:rsidRDefault="00156798" w:rsidP="00156798">
      <w:pPr>
        <w:numPr>
          <w:ilvl w:val="0"/>
          <w:numId w:val="21"/>
        </w:numPr>
        <w:tabs>
          <w:tab w:val="left" w:pos="1701"/>
        </w:tabs>
        <w:rPr>
          <w:rFonts w:asciiTheme="majorHAnsi" w:hAnsiTheme="majorHAnsi" w:cstheme="minorHAnsi"/>
          <w:szCs w:val="20"/>
        </w:rPr>
      </w:pPr>
      <w:r w:rsidRPr="004D74BA">
        <w:rPr>
          <w:rFonts w:asciiTheme="majorHAnsi" w:hAnsiTheme="majorHAnsi" w:cstheme="minorHAnsi"/>
          <w:szCs w:val="20"/>
        </w:rPr>
        <w:t>Ubezpieczyciel, w przypadku naprawy powypadkowej pojazdu, będzie akceptował stawki za roboczo godzinę w wysokości stosowanej przez autoryzowane serwisy danych marek w miejscu naprawiania pojazdu.</w:t>
      </w:r>
    </w:p>
    <w:p w14:paraId="4AA2D08F" w14:textId="16AA5E30" w:rsidR="00904E69" w:rsidRPr="004D74BA" w:rsidRDefault="00904E69" w:rsidP="00904E69">
      <w:pPr>
        <w:numPr>
          <w:ilvl w:val="0"/>
          <w:numId w:val="21"/>
        </w:numPr>
        <w:tabs>
          <w:tab w:val="left" w:pos="1701"/>
        </w:tabs>
        <w:rPr>
          <w:rFonts w:asciiTheme="majorHAnsi" w:hAnsiTheme="majorHAnsi" w:cstheme="minorHAnsi"/>
          <w:szCs w:val="20"/>
        </w:rPr>
      </w:pPr>
      <w:r w:rsidRPr="004D74BA">
        <w:rPr>
          <w:rFonts w:asciiTheme="majorHAnsi" w:hAnsiTheme="majorHAnsi"/>
          <w:szCs w:val="20"/>
        </w:rPr>
        <w:t xml:space="preserve">W przypadku szkód, których wartość szacunkowa nie przekracza </w:t>
      </w:r>
      <w:r w:rsidR="000C270A" w:rsidRPr="004D74BA">
        <w:rPr>
          <w:rFonts w:asciiTheme="majorHAnsi" w:hAnsiTheme="majorHAnsi"/>
          <w:szCs w:val="20"/>
        </w:rPr>
        <w:t>5</w:t>
      </w:r>
      <w:r w:rsidRPr="004D74BA">
        <w:rPr>
          <w:rFonts w:asciiTheme="majorHAnsi" w:hAnsiTheme="majorHAnsi"/>
          <w:szCs w:val="20"/>
        </w:rPr>
        <w:t xml:space="preserve"> 000 zł</w:t>
      </w:r>
      <w:r w:rsidR="00F514CB" w:rsidRPr="004D74BA">
        <w:rPr>
          <w:rFonts w:asciiTheme="majorHAnsi" w:hAnsiTheme="majorHAnsi"/>
          <w:szCs w:val="20"/>
        </w:rPr>
        <w:t xml:space="preserve"> na każdy pojazd osobowy, ciężarowy w nadwoziu samochodu osobowego i ciężarowy o ładowności do 2,5 tony DMC oraz 7 000 zł na każdy pojazd ciężarowy</w:t>
      </w:r>
      <w:r w:rsidRPr="004D74BA">
        <w:rPr>
          <w:rFonts w:asciiTheme="majorHAnsi" w:hAnsiTheme="majorHAnsi"/>
          <w:szCs w:val="20"/>
        </w:rPr>
        <w:t xml:space="preserve">, </w:t>
      </w:r>
      <w:r w:rsidR="00653414" w:rsidRPr="004D74BA">
        <w:rPr>
          <w:rFonts w:asciiTheme="majorHAnsi" w:hAnsiTheme="majorHAnsi"/>
          <w:szCs w:val="20"/>
        </w:rPr>
        <w:t>Zamawiający</w:t>
      </w:r>
      <w:r w:rsidRPr="004D74BA">
        <w:rPr>
          <w:rFonts w:asciiTheme="majorHAnsi" w:hAnsiTheme="majorHAnsi"/>
          <w:szCs w:val="20"/>
        </w:rPr>
        <w:t xml:space="preserve"> może dokonać likwidacji szkody samodzielnie lub poprzez wyspecjalizowany serwis bez konieczności  uprzedniego informowania Ubezpieczyciela, wykonania zdjęć przez likwidatora itp. W takim przypadku dokumentami potwierdzającymi fakt powstania szkody i poniesionych strat jest:</w:t>
      </w:r>
    </w:p>
    <w:p w14:paraId="6327C9B3" w14:textId="77777777" w:rsidR="00904E69" w:rsidRPr="004D74BA" w:rsidRDefault="00904E69" w:rsidP="00904E69">
      <w:pPr>
        <w:pStyle w:val="bodytext3"/>
        <w:numPr>
          <w:ilvl w:val="0"/>
          <w:numId w:val="44"/>
        </w:numPr>
        <w:suppressAutoHyphens/>
        <w:spacing w:line="240" w:lineRule="auto"/>
        <w:ind w:firstLine="63"/>
        <w:rPr>
          <w:rFonts w:asciiTheme="majorHAnsi" w:hAnsiTheme="majorHAnsi" w:cs="Times New Roman"/>
          <w:sz w:val="20"/>
          <w:szCs w:val="20"/>
        </w:rPr>
      </w:pPr>
      <w:r w:rsidRPr="004D74BA">
        <w:rPr>
          <w:rFonts w:asciiTheme="majorHAnsi" w:hAnsiTheme="majorHAnsi" w:cs="Times New Roman"/>
          <w:sz w:val="20"/>
          <w:szCs w:val="20"/>
        </w:rPr>
        <w:t>zgłoszenie szkody uwzględniające datę, miejsce i okoliczności powstania szkody,</w:t>
      </w:r>
    </w:p>
    <w:p w14:paraId="0871CA5F" w14:textId="77777777" w:rsidR="00904E69" w:rsidRPr="004D74BA" w:rsidRDefault="00904E69" w:rsidP="00904E69">
      <w:pPr>
        <w:pStyle w:val="bodytext3"/>
        <w:numPr>
          <w:ilvl w:val="0"/>
          <w:numId w:val="44"/>
        </w:numPr>
        <w:suppressAutoHyphens/>
        <w:spacing w:line="240" w:lineRule="auto"/>
        <w:ind w:firstLine="63"/>
        <w:rPr>
          <w:rFonts w:asciiTheme="majorHAnsi" w:hAnsiTheme="majorHAnsi" w:cs="Times New Roman"/>
          <w:sz w:val="20"/>
          <w:szCs w:val="20"/>
        </w:rPr>
      </w:pPr>
      <w:r w:rsidRPr="004D74BA">
        <w:rPr>
          <w:rFonts w:asciiTheme="majorHAnsi" w:hAnsiTheme="majorHAnsi" w:cs="Times New Roman"/>
          <w:sz w:val="20"/>
          <w:szCs w:val="20"/>
        </w:rPr>
        <w:t>rachunki za naprawę lub zakup części, ewentualnie kosztorys naprawy,</w:t>
      </w:r>
    </w:p>
    <w:p w14:paraId="106D5909" w14:textId="77777777" w:rsidR="00904E69" w:rsidRPr="004D74BA" w:rsidRDefault="00904E69" w:rsidP="00904E69">
      <w:pPr>
        <w:pStyle w:val="bodytext3"/>
        <w:numPr>
          <w:ilvl w:val="0"/>
          <w:numId w:val="44"/>
        </w:numPr>
        <w:suppressAutoHyphens/>
        <w:spacing w:line="240" w:lineRule="auto"/>
        <w:ind w:firstLine="63"/>
        <w:rPr>
          <w:rFonts w:asciiTheme="majorHAnsi" w:hAnsiTheme="majorHAnsi" w:cs="Times New Roman"/>
          <w:sz w:val="20"/>
          <w:szCs w:val="20"/>
        </w:rPr>
      </w:pPr>
      <w:r w:rsidRPr="004D74BA">
        <w:rPr>
          <w:rFonts w:asciiTheme="majorHAnsi" w:hAnsiTheme="majorHAnsi" w:cs="Times New Roman"/>
          <w:sz w:val="20"/>
          <w:szCs w:val="20"/>
        </w:rPr>
        <w:t>notatka policyjna - w przypadku szkód powstałych w wyniku czynów karalnych,</w:t>
      </w:r>
    </w:p>
    <w:p w14:paraId="4DFD5C6D" w14:textId="77777777" w:rsidR="00904E69" w:rsidRPr="004D74BA" w:rsidRDefault="00904E69" w:rsidP="00904E69">
      <w:pPr>
        <w:pStyle w:val="bodytext3"/>
        <w:numPr>
          <w:ilvl w:val="0"/>
          <w:numId w:val="44"/>
        </w:numPr>
        <w:suppressAutoHyphens/>
        <w:spacing w:line="240" w:lineRule="auto"/>
        <w:ind w:left="1418" w:hanging="567"/>
        <w:rPr>
          <w:rFonts w:asciiTheme="majorHAnsi" w:hAnsiTheme="majorHAnsi"/>
          <w:sz w:val="20"/>
          <w:szCs w:val="20"/>
        </w:rPr>
      </w:pPr>
      <w:r w:rsidRPr="004D74BA">
        <w:rPr>
          <w:rFonts w:asciiTheme="majorHAnsi" w:hAnsiTheme="majorHAnsi"/>
          <w:sz w:val="20"/>
          <w:szCs w:val="20"/>
        </w:rPr>
        <w:t>zdjęcia całego pojazdu, z widoczną tablicą rejestracyjną, wykonane po tej samej przekątnej: jedno z przodu, drugie z tyłu pojazdu - ujęcie pierwsze ma obejmować przód i jeden bok, natomiast drugie tył i drugi bok pojazdu,</w:t>
      </w:r>
    </w:p>
    <w:p w14:paraId="0BCF973F" w14:textId="77777777" w:rsidR="00904E69" w:rsidRPr="004D74BA" w:rsidRDefault="00904E69" w:rsidP="00904E69">
      <w:pPr>
        <w:pStyle w:val="bodytext3"/>
        <w:numPr>
          <w:ilvl w:val="0"/>
          <w:numId w:val="44"/>
        </w:numPr>
        <w:suppressAutoHyphens/>
        <w:spacing w:line="240" w:lineRule="auto"/>
        <w:ind w:left="1418" w:hanging="567"/>
        <w:rPr>
          <w:rFonts w:asciiTheme="majorHAnsi" w:hAnsiTheme="majorHAnsi"/>
          <w:sz w:val="20"/>
          <w:szCs w:val="20"/>
        </w:rPr>
      </w:pPr>
      <w:r w:rsidRPr="004D74BA">
        <w:rPr>
          <w:rFonts w:asciiTheme="majorHAnsi" w:hAnsiTheme="majorHAnsi"/>
          <w:sz w:val="20"/>
          <w:szCs w:val="20"/>
        </w:rPr>
        <w:t>zdjęcia dokumentujące zakres uszkodzeń; w przypadku uszkodzeń mało widocznych należy je zaznaczyć poprzez przyłożenie wskaźnika np. długopisu albo obrysować np. przy pomocy flamastra.</w:t>
      </w:r>
    </w:p>
    <w:p w14:paraId="3A594A3E" w14:textId="0E81EDDD" w:rsidR="00904E69" w:rsidRPr="004D74BA" w:rsidRDefault="00904E69" w:rsidP="00156798">
      <w:pPr>
        <w:pStyle w:val="Akapitzlist"/>
        <w:numPr>
          <w:ilvl w:val="0"/>
          <w:numId w:val="21"/>
        </w:numPr>
        <w:rPr>
          <w:rFonts w:asciiTheme="majorHAnsi" w:hAnsiTheme="majorHAnsi" w:cstheme="minorHAnsi"/>
          <w:color w:val="000000" w:themeColor="text1"/>
          <w:szCs w:val="20"/>
        </w:rPr>
      </w:pPr>
      <w:r w:rsidRPr="004D74BA">
        <w:rPr>
          <w:rFonts w:asciiTheme="majorHAnsi" w:hAnsiTheme="majorHAnsi"/>
          <w:szCs w:val="20"/>
        </w:rPr>
        <w:t>Ubezpieczyciel nie będzie kwestionował wyboru zakładu naprawczego wykonującego naprawę, ze względu na wymogi prawne wynikające z gwarancji dla danego pojazdu; ubezpieczycielowi przysługuje prawo weryfikacji w zakresie rzeczowym kosztorysu naprawczego, w pozostałym zakresie (szczególnie w zakresie kosztów roboczogodzin jak i użytych materiałów do naprawy pojazdu) ubezpieczyciel zaakceptuje ceny (stawki) serwisu wykonującego takie naprawy.</w:t>
      </w:r>
    </w:p>
    <w:p w14:paraId="3F7CB48C" w14:textId="40F82517" w:rsidR="00156798" w:rsidRPr="004D74BA" w:rsidRDefault="00156798" w:rsidP="00156798">
      <w:pPr>
        <w:numPr>
          <w:ilvl w:val="0"/>
          <w:numId w:val="21"/>
        </w:numPr>
        <w:tabs>
          <w:tab w:val="left" w:pos="1701"/>
        </w:tabs>
        <w:rPr>
          <w:rFonts w:asciiTheme="majorHAnsi" w:hAnsiTheme="majorHAnsi" w:cstheme="minorHAnsi"/>
          <w:szCs w:val="20"/>
        </w:rPr>
      </w:pPr>
      <w:r w:rsidRPr="004D74BA">
        <w:rPr>
          <w:rFonts w:asciiTheme="majorHAnsi" w:hAnsiTheme="majorHAnsi" w:cstheme="minorHAnsi"/>
          <w:szCs w:val="20"/>
        </w:rPr>
        <w:lastRenderedPageBreak/>
        <w:t>Zbiorczy rejestr szkód i statystyka szkodowa prowadzona będzie przez Wykonawcę i przesyłana do Zamawiającego w odstępach półrocznych bez konieczności każdorazowego występowania przez Zamawiającego (lub jego brokera)  o powyższe. Rejestr szkód powinien zawierać w szczególności: podział na poszczególne ryzyka (OC, AC, NNW, ASS i ZK), nr szkody, datę szkody, datę zgłoszenia, nr rejestracyjny pojazdu, jednostkę organizacyjną Zamawiającego, nr polisy, wysokość wypłaty, rezerwy, wysokość regresu oraz przedmiot szkody</w:t>
      </w:r>
      <w:r w:rsidR="002C7E62" w:rsidRPr="004D74BA">
        <w:rPr>
          <w:rFonts w:asciiTheme="majorHAnsi" w:hAnsiTheme="majorHAnsi" w:cstheme="minorHAnsi"/>
          <w:szCs w:val="20"/>
        </w:rPr>
        <w:t>)</w:t>
      </w:r>
      <w:r w:rsidRPr="004D74BA">
        <w:rPr>
          <w:rFonts w:asciiTheme="majorHAnsi" w:hAnsiTheme="majorHAnsi" w:cstheme="minorHAnsi"/>
          <w:szCs w:val="20"/>
        </w:rPr>
        <w:t xml:space="preserve">.  </w:t>
      </w:r>
    </w:p>
    <w:p w14:paraId="3E018E91" w14:textId="0B782F67" w:rsidR="00904E69" w:rsidRPr="004D74BA" w:rsidRDefault="00904E69" w:rsidP="00904E69">
      <w:pPr>
        <w:widowControl w:val="0"/>
        <w:tabs>
          <w:tab w:val="left" w:pos="851"/>
        </w:tabs>
        <w:suppressAutoHyphens/>
        <w:autoSpaceDE w:val="0"/>
        <w:ind w:left="360"/>
        <w:rPr>
          <w:rFonts w:asciiTheme="majorHAnsi" w:hAnsiTheme="majorHAnsi"/>
          <w:szCs w:val="20"/>
        </w:rPr>
      </w:pPr>
      <w:r w:rsidRPr="004D74BA">
        <w:rPr>
          <w:rFonts w:asciiTheme="majorHAnsi" w:hAnsiTheme="majorHAnsi" w:cstheme="minorHAnsi"/>
          <w:b/>
          <w:szCs w:val="20"/>
          <w:u w:val="single"/>
        </w:rPr>
        <w:t xml:space="preserve"> </w:t>
      </w:r>
    </w:p>
    <w:p w14:paraId="03B7D20A" w14:textId="77777777" w:rsidR="00904E69" w:rsidRPr="004D74BA" w:rsidRDefault="00904E69" w:rsidP="003B3CCA">
      <w:pPr>
        <w:rPr>
          <w:rFonts w:asciiTheme="majorHAnsi" w:hAnsiTheme="majorHAnsi" w:cstheme="minorHAnsi"/>
          <w:b/>
          <w:szCs w:val="20"/>
          <w:u w:val="single"/>
        </w:rPr>
      </w:pPr>
    </w:p>
    <w:sectPr w:rsidR="00904E69" w:rsidRPr="004D74BA" w:rsidSect="00614F6D">
      <w:headerReference w:type="default" r:id="rId10"/>
      <w:footerReference w:type="even" r:id="rId11"/>
      <w:footerReference w:type="default" r:id="rId12"/>
      <w:pgSz w:w="11906" w:h="16838"/>
      <w:pgMar w:top="1134" w:right="1134" w:bottom="1276" w:left="1276"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5AE761E2" w16cex:dateUtc="2024-11-12T13:5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29172A" w14:textId="77777777" w:rsidR="00427787" w:rsidRDefault="00427787">
      <w:r>
        <w:separator/>
      </w:r>
    </w:p>
  </w:endnote>
  <w:endnote w:type="continuationSeparator" w:id="0">
    <w:p w14:paraId="5F004DE8" w14:textId="77777777" w:rsidR="00427787" w:rsidRDefault="00427787">
      <w:r>
        <w:continuationSeparator/>
      </w:r>
    </w:p>
  </w:endnote>
  <w:endnote w:type="continuationNotice" w:id="1">
    <w:p w14:paraId="537F288C" w14:textId="77777777" w:rsidR="00427787" w:rsidRDefault="004277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altName w:val="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EE"/>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5D18A9" w14:textId="77777777" w:rsidR="00E76F26" w:rsidRDefault="00E76F26" w:rsidP="00614F6D">
    <w:pPr>
      <w:framePr w:wrap="around" w:vAnchor="text" w:hAnchor="margin" w:xAlign="right" w:y="1"/>
    </w:pPr>
    <w:r>
      <w:fldChar w:fldCharType="begin"/>
    </w:r>
    <w:r>
      <w:instrText xml:space="preserve">PAGE  </w:instrText>
    </w:r>
    <w:r>
      <w:fldChar w:fldCharType="end"/>
    </w:r>
  </w:p>
  <w:p w14:paraId="318809CD" w14:textId="77777777" w:rsidR="00E76F26" w:rsidRDefault="00E76F26" w:rsidP="00614F6D">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C58F7F" w14:textId="77777777" w:rsidR="00E76F26" w:rsidRPr="00E92CD8" w:rsidRDefault="00E76F26" w:rsidP="00614F6D">
    <w:pPr>
      <w:framePr w:wrap="around" w:vAnchor="text" w:hAnchor="margin" w:xAlign="right" w:y="1"/>
      <w:rPr>
        <w:sz w:val="18"/>
        <w:szCs w:val="18"/>
      </w:rPr>
    </w:pPr>
    <w:r w:rsidRPr="00E92CD8">
      <w:rPr>
        <w:sz w:val="18"/>
        <w:szCs w:val="18"/>
      </w:rPr>
      <w:t xml:space="preserve">Strona </w:t>
    </w:r>
    <w:r w:rsidRPr="00E92CD8">
      <w:rPr>
        <w:sz w:val="18"/>
        <w:szCs w:val="18"/>
      </w:rPr>
      <w:fldChar w:fldCharType="begin"/>
    </w:r>
    <w:r w:rsidRPr="00E92CD8">
      <w:rPr>
        <w:sz w:val="18"/>
        <w:szCs w:val="18"/>
      </w:rPr>
      <w:instrText xml:space="preserve"> PAGE </w:instrText>
    </w:r>
    <w:r w:rsidRPr="00E92CD8">
      <w:rPr>
        <w:sz w:val="18"/>
        <w:szCs w:val="18"/>
      </w:rPr>
      <w:fldChar w:fldCharType="separate"/>
    </w:r>
    <w:r w:rsidR="002C7E62">
      <w:rPr>
        <w:noProof/>
        <w:sz w:val="18"/>
        <w:szCs w:val="18"/>
      </w:rPr>
      <w:t>7</w:t>
    </w:r>
    <w:r w:rsidRPr="00E92CD8">
      <w:rPr>
        <w:sz w:val="18"/>
        <w:szCs w:val="18"/>
      </w:rPr>
      <w:fldChar w:fldCharType="end"/>
    </w:r>
    <w:r w:rsidRPr="00E92CD8">
      <w:rPr>
        <w:sz w:val="18"/>
        <w:szCs w:val="18"/>
      </w:rPr>
      <w:t xml:space="preserve"> z </w:t>
    </w:r>
    <w:r w:rsidRPr="00E92CD8">
      <w:rPr>
        <w:sz w:val="18"/>
        <w:szCs w:val="18"/>
      </w:rPr>
      <w:fldChar w:fldCharType="begin"/>
    </w:r>
    <w:r w:rsidRPr="00E92CD8">
      <w:rPr>
        <w:sz w:val="18"/>
        <w:szCs w:val="18"/>
      </w:rPr>
      <w:instrText xml:space="preserve"> NUMPAGES </w:instrText>
    </w:r>
    <w:r w:rsidRPr="00E92CD8">
      <w:rPr>
        <w:sz w:val="18"/>
        <w:szCs w:val="18"/>
      </w:rPr>
      <w:fldChar w:fldCharType="separate"/>
    </w:r>
    <w:r w:rsidR="002C7E62">
      <w:rPr>
        <w:noProof/>
        <w:sz w:val="18"/>
        <w:szCs w:val="18"/>
      </w:rPr>
      <w:t>8</w:t>
    </w:r>
    <w:r w:rsidRPr="00E92CD8">
      <w:rPr>
        <w:sz w:val="18"/>
        <w:szCs w:val="18"/>
      </w:rPr>
      <w:fldChar w:fldCharType="end"/>
    </w:r>
  </w:p>
  <w:p w14:paraId="711EE29C" w14:textId="77777777" w:rsidR="00E76F26" w:rsidRDefault="00E76F26" w:rsidP="00614F6D">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D0AB18" w14:textId="77777777" w:rsidR="00427787" w:rsidRDefault="00427787">
      <w:r>
        <w:separator/>
      </w:r>
    </w:p>
  </w:footnote>
  <w:footnote w:type="continuationSeparator" w:id="0">
    <w:p w14:paraId="4675DD1A" w14:textId="77777777" w:rsidR="00427787" w:rsidRDefault="00427787">
      <w:r>
        <w:continuationSeparator/>
      </w:r>
    </w:p>
  </w:footnote>
  <w:footnote w:type="continuationNotice" w:id="1">
    <w:p w14:paraId="26CA63BA" w14:textId="77777777" w:rsidR="00427787" w:rsidRDefault="004277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DBBC47" w14:textId="06C7B18C" w:rsidR="004D74BA" w:rsidRDefault="004D74BA" w:rsidP="004D74BA">
    <w:pPr>
      <w:pStyle w:val="Nagwek"/>
    </w:pPr>
    <w:r>
      <w:rPr>
        <w:noProof/>
      </w:rPr>
      <mc:AlternateContent>
        <mc:Choice Requires="wps">
          <w:drawing>
            <wp:anchor distT="45720" distB="45720" distL="114300" distR="114300" simplePos="0" relativeHeight="251659264" behindDoc="0" locked="0" layoutInCell="1" allowOverlap="1" wp14:anchorId="7C5BF572" wp14:editId="37FCABEC">
              <wp:simplePos x="0" y="0"/>
              <wp:positionH relativeFrom="column">
                <wp:posOffset>1070196</wp:posOffset>
              </wp:positionH>
              <wp:positionV relativeFrom="paragraph">
                <wp:posOffset>97514</wp:posOffset>
              </wp:positionV>
              <wp:extent cx="5422900" cy="762000"/>
              <wp:effectExtent l="0" t="0" r="6350" b="0"/>
              <wp:wrapSquare wrapText="bothSides"/>
              <wp:docPr id="217" name="Pole tekstowe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2900" cy="762000"/>
                      </a:xfrm>
                      <a:prstGeom prst="rect">
                        <a:avLst/>
                      </a:prstGeom>
                      <a:solidFill>
                        <a:srgbClr val="FFFFFF"/>
                      </a:solidFill>
                      <a:ln w="9525">
                        <a:noFill/>
                        <a:miter lim="800000"/>
                        <a:headEnd/>
                        <a:tailEnd/>
                      </a:ln>
                    </wps:spPr>
                    <wps:txbx>
                      <w:txbxContent>
                        <w:p w14:paraId="3F94F986" w14:textId="77777777" w:rsidR="004D74BA" w:rsidRPr="00A34E50" w:rsidRDefault="004D74BA" w:rsidP="004D74BA">
                          <w:pPr>
                            <w:ind w:firstLine="142"/>
                            <w:rPr>
                              <w:rFonts w:ascii="Book Antiqua" w:hAnsi="Book Antiqua"/>
                              <w:b/>
                              <w:sz w:val="22"/>
                            </w:rPr>
                          </w:pPr>
                          <w:r w:rsidRPr="00A34E50">
                            <w:rPr>
                              <w:rFonts w:ascii="Book Antiqua" w:hAnsi="Book Antiqua"/>
                              <w:b/>
                              <w:sz w:val="22"/>
                            </w:rPr>
                            <w:t>Przedsiębiorstwo Gospodarki Odpadami Sp. z o.o.</w:t>
                          </w:r>
                          <w:r>
                            <w:rPr>
                              <w:rFonts w:ascii="Book Antiqua" w:hAnsi="Book Antiqua"/>
                              <w:b/>
                              <w:sz w:val="22"/>
                            </w:rPr>
                            <w:t xml:space="preserve"> w Promniku</w:t>
                          </w:r>
                        </w:p>
                        <w:p w14:paraId="513569D0" w14:textId="77777777" w:rsidR="004D74BA" w:rsidRPr="001E63FC" w:rsidRDefault="004D74BA" w:rsidP="004D74BA">
                          <w:pPr>
                            <w:ind w:firstLine="142"/>
                            <w:rPr>
                              <w:rFonts w:ascii="Book Antiqua" w:hAnsi="Book Antiqua"/>
                              <w:sz w:val="18"/>
                            </w:rPr>
                          </w:pPr>
                          <w:r w:rsidRPr="001E63FC">
                            <w:rPr>
                              <w:rFonts w:ascii="Book Antiqua" w:hAnsi="Book Antiqua"/>
                              <w:sz w:val="18"/>
                            </w:rPr>
                            <w:t xml:space="preserve">ul. Św. Tekli 62, Promnik, </w:t>
                          </w:r>
                          <w:r>
                            <w:rPr>
                              <w:rFonts w:ascii="Book Antiqua" w:hAnsi="Book Antiqua"/>
                              <w:sz w:val="18"/>
                            </w:rPr>
                            <w:t xml:space="preserve">26-067 </w:t>
                          </w:r>
                          <w:r w:rsidRPr="001E63FC">
                            <w:rPr>
                              <w:rFonts w:ascii="Book Antiqua" w:hAnsi="Book Antiqua"/>
                              <w:sz w:val="18"/>
                            </w:rPr>
                            <w:t>Strawczyn</w:t>
                          </w:r>
                        </w:p>
                        <w:p w14:paraId="09292C21" w14:textId="77777777" w:rsidR="004D74BA" w:rsidRPr="001E63FC" w:rsidRDefault="004D74BA" w:rsidP="004D74BA">
                          <w:pPr>
                            <w:ind w:firstLine="142"/>
                            <w:rPr>
                              <w:rFonts w:ascii="Book Antiqua" w:hAnsi="Book Antiqua" w:cs="Calibri"/>
                              <w:sz w:val="18"/>
                              <w:szCs w:val="16"/>
                            </w:rPr>
                          </w:pPr>
                          <w:r w:rsidRPr="00D74D67">
                            <w:rPr>
                              <w:rFonts w:ascii="Cambria" w:hAnsi="Cambria" w:cs="Calibri"/>
                              <w:sz w:val="18"/>
                              <w:szCs w:val="16"/>
                            </w:rPr>
                            <w:sym w:font="Wingdings" w:char="F028"/>
                          </w:r>
                          <w:r>
                            <w:rPr>
                              <w:rFonts w:ascii="Cambria" w:hAnsi="Cambria" w:cs="Calibri"/>
                              <w:sz w:val="18"/>
                              <w:szCs w:val="16"/>
                            </w:rPr>
                            <w:t xml:space="preserve"> </w:t>
                          </w:r>
                          <w:r w:rsidRPr="001E63FC">
                            <w:rPr>
                              <w:rFonts w:ascii="Book Antiqua" w:hAnsi="Book Antiqua" w:cs="Calibri"/>
                              <w:sz w:val="18"/>
                              <w:szCs w:val="16"/>
                            </w:rPr>
                            <w:t>41 346-12-43/44</w:t>
                          </w:r>
                          <w:r>
                            <w:rPr>
                              <w:rFonts w:ascii="Book Antiqua" w:hAnsi="Book Antiqua" w:cs="Calibri"/>
                              <w:sz w:val="18"/>
                              <w:szCs w:val="16"/>
                            </w:rPr>
                            <w:t xml:space="preserve"> , </w:t>
                          </w:r>
                          <w:r w:rsidRPr="001E63FC">
                            <w:rPr>
                              <w:rFonts w:ascii="Book Antiqua" w:hAnsi="Book Antiqua" w:cs="Calibri"/>
                              <w:b/>
                              <w:sz w:val="18"/>
                              <w:szCs w:val="16"/>
                            </w:rPr>
                            <w:t>fax</w:t>
                          </w:r>
                          <w:r w:rsidRPr="001E63FC">
                            <w:rPr>
                              <w:rFonts w:ascii="Book Antiqua" w:hAnsi="Book Antiqua" w:cs="Calibri"/>
                              <w:sz w:val="18"/>
                              <w:szCs w:val="16"/>
                            </w:rPr>
                            <w:t>:+41 346-03-73</w:t>
                          </w:r>
                          <w:r>
                            <w:rPr>
                              <w:rFonts w:ascii="Book Antiqua" w:hAnsi="Book Antiqua" w:cs="Calibri"/>
                              <w:sz w:val="18"/>
                              <w:szCs w:val="16"/>
                            </w:rPr>
                            <w:t xml:space="preserve">, </w:t>
                          </w:r>
                          <w:r w:rsidRPr="001E63FC">
                            <w:rPr>
                              <w:rFonts w:ascii="Book Antiqua" w:hAnsi="Book Antiqua" w:cs="Calibri"/>
                              <w:sz w:val="18"/>
                              <w:szCs w:val="16"/>
                            </w:rPr>
                            <w:t>biuro@pgo.kielce.pl</w:t>
                          </w:r>
                        </w:p>
                        <w:p w14:paraId="0B8EA01E" w14:textId="77777777" w:rsidR="004D74BA" w:rsidRPr="00917FC9" w:rsidRDefault="004D74BA" w:rsidP="004D74BA">
                          <w:pPr>
                            <w:rPr>
                              <w:rFonts w:ascii="Book Antiqua" w:hAnsi="Book Antiqua"/>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C5BF572" id="_x0000_t202" coordsize="21600,21600" o:spt="202" path="m,l,21600r21600,l21600,xe">
              <v:stroke joinstyle="miter"/>
              <v:path gradientshapeok="t" o:connecttype="rect"/>
            </v:shapetype>
            <v:shape id="Pole tekstowe 217" o:spid="_x0000_s1026" type="#_x0000_t202" style="position:absolute;left:0;text-align:left;margin-left:84.25pt;margin-top:7.7pt;width:427pt;height:60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" stroked="f">
              <v:textbox>
                <w:txbxContent>
                  <w:p w14:paraId="3F94F986" w14:textId="77777777" w:rsidR="004D74BA" w:rsidRPr="00A34E50" w:rsidRDefault="004D74BA" w:rsidP="004D74BA">
                    <w:pPr>
                      <w:ind w:firstLine="142"/>
                      <w:rPr>
                        <w:rFonts w:ascii="Book Antiqua" w:hAnsi="Book Antiqua"/>
                        <w:b/>
                        <w:sz w:val="22"/>
                      </w:rPr>
                    </w:pPr>
                    <w:r w:rsidRPr="00A34E50">
                      <w:rPr>
                        <w:rFonts w:ascii="Book Antiqua" w:hAnsi="Book Antiqua"/>
                        <w:b/>
                        <w:sz w:val="22"/>
                      </w:rPr>
                      <w:t>Przedsiębiorstwo Gospodarki Odpadami Sp. z o.o.</w:t>
                    </w:r>
                    <w:r>
                      <w:rPr>
                        <w:rFonts w:ascii="Book Antiqua" w:hAnsi="Book Antiqua"/>
                        <w:b/>
                        <w:sz w:val="22"/>
                      </w:rPr>
                      <w:t xml:space="preserve"> w Promniku</w:t>
                    </w:r>
                  </w:p>
                  <w:p w14:paraId="513569D0" w14:textId="77777777" w:rsidR="004D74BA" w:rsidRPr="001E63FC" w:rsidRDefault="004D74BA" w:rsidP="004D74BA">
                    <w:pPr>
                      <w:ind w:firstLine="142"/>
                      <w:rPr>
                        <w:rFonts w:ascii="Book Antiqua" w:hAnsi="Book Antiqua"/>
                        <w:sz w:val="18"/>
                      </w:rPr>
                    </w:pPr>
                    <w:r w:rsidRPr="001E63FC">
                      <w:rPr>
                        <w:rFonts w:ascii="Book Antiqua" w:hAnsi="Book Antiqua"/>
                        <w:sz w:val="18"/>
                      </w:rPr>
                      <w:t xml:space="preserve">ul. Św. Tekli 62, Promnik, </w:t>
                    </w:r>
                    <w:r>
                      <w:rPr>
                        <w:rFonts w:ascii="Book Antiqua" w:hAnsi="Book Antiqua"/>
                        <w:sz w:val="18"/>
                      </w:rPr>
                      <w:t xml:space="preserve">26-067 </w:t>
                    </w:r>
                    <w:r w:rsidRPr="001E63FC">
                      <w:rPr>
                        <w:rFonts w:ascii="Book Antiqua" w:hAnsi="Book Antiqua"/>
                        <w:sz w:val="18"/>
                      </w:rPr>
                      <w:t>Strawczyn</w:t>
                    </w:r>
                  </w:p>
                  <w:p w14:paraId="09292C21" w14:textId="77777777" w:rsidR="004D74BA" w:rsidRPr="001E63FC" w:rsidRDefault="004D74BA" w:rsidP="004D74BA">
                    <w:pPr>
                      <w:ind w:firstLine="142"/>
                      <w:rPr>
                        <w:rFonts w:ascii="Book Antiqua" w:hAnsi="Book Antiqua" w:cs="Calibri"/>
                        <w:sz w:val="18"/>
                        <w:szCs w:val="16"/>
                      </w:rPr>
                    </w:pPr>
                    <w:r w:rsidRPr="00D74D67">
                      <w:rPr>
                        <w:rFonts w:ascii="Cambria" w:hAnsi="Cambria" w:cs="Calibri"/>
                        <w:sz w:val="18"/>
                        <w:szCs w:val="16"/>
                      </w:rPr>
                      <w:sym w:font="Wingdings" w:char="F028"/>
                    </w:r>
                    <w:r>
                      <w:rPr>
                        <w:rFonts w:ascii="Cambria" w:hAnsi="Cambria" w:cs="Calibri"/>
                        <w:sz w:val="18"/>
                        <w:szCs w:val="16"/>
                      </w:rPr>
                      <w:t xml:space="preserve"> </w:t>
                    </w:r>
                    <w:r w:rsidRPr="001E63FC">
                      <w:rPr>
                        <w:rFonts w:ascii="Book Antiqua" w:hAnsi="Book Antiqua" w:cs="Calibri"/>
                        <w:sz w:val="18"/>
                        <w:szCs w:val="16"/>
                      </w:rPr>
                      <w:t>41 346-12-43/44</w:t>
                    </w:r>
                    <w:r>
                      <w:rPr>
                        <w:rFonts w:ascii="Book Antiqua" w:hAnsi="Book Antiqua" w:cs="Calibri"/>
                        <w:sz w:val="18"/>
                        <w:szCs w:val="16"/>
                      </w:rPr>
                      <w:t xml:space="preserve"> , </w:t>
                    </w:r>
                    <w:r w:rsidRPr="001E63FC">
                      <w:rPr>
                        <w:rFonts w:ascii="Book Antiqua" w:hAnsi="Book Antiqua" w:cs="Calibri"/>
                        <w:b/>
                        <w:sz w:val="18"/>
                        <w:szCs w:val="16"/>
                      </w:rPr>
                      <w:t>fax</w:t>
                    </w:r>
                    <w:r w:rsidRPr="001E63FC">
                      <w:rPr>
                        <w:rFonts w:ascii="Book Antiqua" w:hAnsi="Book Antiqua" w:cs="Calibri"/>
                        <w:sz w:val="18"/>
                        <w:szCs w:val="16"/>
                      </w:rPr>
                      <w:t>:+41 346-03-73</w:t>
                    </w:r>
                    <w:r>
                      <w:rPr>
                        <w:rFonts w:ascii="Book Antiqua" w:hAnsi="Book Antiqua" w:cs="Calibri"/>
                        <w:sz w:val="18"/>
                        <w:szCs w:val="16"/>
                      </w:rPr>
                      <w:t xml:space="preserve">, </w:t>
                    </w:r>
                    <w:r w:rsidRPr="001E63FC">
                      <w:rPr>
                        <w:rFonts w:ascii="Book Antiqua" w:hAnsi="Book Antiqua" w:cs="Calibri"/>
                        <w:sz w:val="18"/>
                        <w:szCs w:val="16"/>
                      </w:rPr>
                      <w:t>biuro@pgo.kielce.pl</w:t>
                    </w:r>
                  </w:p>
                  <w:p w14:paraId="0B8EA01E" w14:textId="77777777" w:rsidR="004D74BA" w:rsidRPr="00917FC9" w:rsidRDefault="004D74BA" w:rsidP="004D74BA">
                    <w:pPr>
                      <w:rPr>
                        <w:rFonts w:ascii="Book Antiqua" w:hAnsi="Book Antiqua"/>
                        <w:sz w:val="18"/>
                      </w:rPr>
                    </w:pPr>
                  </w:p>
                </w:txbxContent>
              </v:textbox>
              <w10:wrap type="square"/>
            </v:shape>
          </w:pict>
        </mc:Fallback>
      </mc:AlternateContent>
    </w:r>
    <w:r w:rsidRPr="00095631">
      <w:rPr>
        <w:noProof/>
      </w:rPr>
      <w:drawing>
        <wp:inline distT="0" distB="0" distL="0" distR="0" wp14:anchorId="6EE418B6" wp14:editId="2C4E71F7">
          <wp:extent cx="683895" cy="771525"/>
          <wp:effectExtent l="0" t="0" r="1905"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3895" cy="771525"/>
                  </a:xfrm>
                  <a:prstGeom prst="rect">
                    <a:avLst/>
                  </a:prstGeom>
                  <a:noFill/>
                  <a:ln>
                    <a:noFill/>
                  </a:ln>
                </pic:spPr>
              </pic:pic>
            </a:graphicData>
          </a:graphic>
        </wp:inline>
      </w:drawing>
    </w:r>
  </w:p>
  <w:p w14:paraId="6BD2B759" w14:textId="77777777" w:rsidR="004D74BA" w:rsidRPr="004D4326" w:rsidRDefault="004D74BA" w:rsidP="004D74BA">
    <w:pPr>
      <w:pStyle w:val="Nagwek"/>
      <w:rPr>
        <w:rFonts w:ascii="Calibri" w:hAnsi="Calibri" w:cs="Calibri"/>
        <w:szCs w:val="16"/>
      </w:rPr>
    </w:pPr>
  </w:p>
  <w:p w14:paraId="0DD0BD15" w14:textId="28AA3266" w:rsidR="004D74BA" w:rsidRPr="000D6258" w:rsidRDefault="004D74BA" w:rsidP="004D74BA">
    <w:pPr>
      <w:pStyle w:val="Nagwek"/>
      <w:rPr>
        <w:rFonts w:ascii="Cambria" w:hAnsi="Cambria"/>
        <w:iCs/>
      </w:rPr>
    </w:pPr>
    <w:bookmarkStart w:id="1" w:name="_Hlk88566069"/>
    <w:r w:rsidRPr="000D6258">
      <w:rPr>
        <w:rFonts w:ascii="Cambria" w:hAnsi="Cambria" w:cs="Calibri"/>
        <w:iCs/>
        <w:szCs w:val="16"/>
      </w:rPr>
      <w:t>Numer referencyjny:</w:t>
    </w:r>
    <w:r w:rsidR="002161C9">
      <w:rPr>
        <w:rFonts w:ascii="Cambria" w:hAnsi="Cambria" w:cs="Calibri"/>
        <w:iCs/>
        <w:szCs w:val="16"/>
      </w:rPr>
      <w:t xml:space="preserve"> PGO/01/11/2024</w:t>
    </w:r>
  </w:p>
  <w:bookmarkEnd w:id="1"/>
  <w:p w14:paraId="77FF31B2" w14:textId="77777777" w:rsidR="0017486C" w:rsidRPr="00183420" w:rsidRDefault="0017486C" w:rsidP="0017486C">
    <w:pPr>
      <w:pStyle w:val="Nagwek"/>
    </w:pPr>
  </w:p>
  <w:p w14:paraId="2FEB9739" w14:textId="15A219A2" w:rsidR="0017486C" w:rsidRDefault="0017486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216A52FC"/>
    <w:lvl w:ilvl="0">
      <w:numFmt w:val="bullet"/>
      <w:lvlText w:val="*"/>
      <w:lvlJc w:val="left"/>
    </w:lvl>
  </w:abstractNum>
  <w:abstractNum w:abstractNumId="1" w15:restartNumberingAfterBreak="0">
    <w:nsid w:val="0089457F"/>
    <w:multiLevelType w:val="hybridMultilevel"/>
    <w:tmpl w:val="95382A30"/>
    <w:lvl w:ilvl="0" w:tplc="3F667592">
      <w:start w:val="1"/>
      <w:numFmt w:val="decimal"/>
      <w:lvlText w:val="2.1.%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1AE144E"/>
    <w:multiLevelType w:val="multilevel"/>
    <w:tmpl w:val="2E328418"/>
    <w:lvl w:ilvl="0">
      <w:start w:val="9"/>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 w15:restartNumberingAfterBreak="0">
    <w:nsid w:val="01F25668"/>
    <w:multiLevelType w:val="hybridMultilevel"/>
    <w:tmpl w:val="497EED6A"/>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 w15:restartNumberingAfterBreak="0">
    <w:nsid w:val="0BCE08A7"/>
    <w:multiLevelType w:val="multilevel"/>
    <w:tmpl w:val="B38A5F5C"/>
    <w:lvl w:ilvl="0">
      <w:start w:val="1"/>
      <w:numFmt w:val="decimal"/>
      <w:lvlText w:val="%1."/>
      <w:lvlJc w:val="left"/>
      <w:pPr>
        <w:tabs>
          <w:tab w:val="num" w:pos="1775"/>
        </w:tabs>
        <w:ind w:left="1775"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5" w15:restartNumberingAfterBreak="0">
    <w:nsid w:val="108D1F46"/>
    <w:multiLevelType w:val="multilevel"/>
    <w:tmpl w:val="476ED39E"/>
    <w:lvl w:ilvl="0">
      <w:start w:val="1"/>
      <w:numFmt w:val="decimal"/>
      <w:lvlText w:val="%1."/>
      <w:lvlJc w:val="left"/>
      <w:pPr>
        <w:ind w:left="814" w:hanging="360"/>
      </w:pPr>
      <w:rPr>
        <w:rFonts w:hint="default"/>
      </w:rPr>
    </w:lvl>
    <w:lvl w:ilvl="1">
      <w:start w:val="1"/>
      <w:numFmt w:val="decimal"/>
      <w:isLgl/>
      <w:lvlText w:val="%1.%2."/>
      <w:lvlJc w:val="left"/>
      <w:pPr>
        <w:ind w:left="1174" w:hanging="720"/>
      </w:pPr>
      <w:rPr>
        <w:rFonts w:hint="default"/>
      </w:rPr>
    </w:lvl>
    <w:lvl w:ilvl="2">
      <w:start w:val="1"/>
      <w:numFmt w:val="decimal"/>
      <w:isLgl/>
      <w:lvlText w:val="%1.%2.%3."/>
      <w:lvlJc w:val="left"/>
      <w:pPr>
        <w:ind w:left="1174" w:hanging="720"/>
      </w:pPr>
      <w:rPr>
        <w:rFonts w:hint="default"/>
      </w:rPr>
    </w:lvl>
    <w:lvl w:ilvl="3">
      <w:start w:val="1"/>
      <w:numFmt w:val="decimal"/>
      <w:isLgl/>
      <w:lvlText w:val="%1.%2.%3.%4."/>
      <w:lvlJc w:val="left"/>
      <w:pPr>
        <w:ind w:left="1534" w:hanging="1080"/>
      </w:pPr>
      <w:rPr>
        <w:rFonts w:hint="default"/>
      </w:rPr>
    </w:lvl>
    <w:lvl w:ilvl="4">
      <w:start w:val="1"/>
      <w:numFmt w:val="decimal"/>
      <w:isLgl/>
      <w:lvlText w:val="%1.%2.%3.%4.%5."/>
      <w:lvlJc w:val="left"/>
      <w:pPr>
        <w:ind w:left="1534" w:hanging="1080"/>
      </w:pPr>
      <w:rPr>
        <w:rFonts w:hint="default"/>
      </w:rPr>
    </w:lvl>
    <w:lvl w:ilvl="5">
      <w:start w:val="1"/>
      <w:numFmt w:val="decimal"/>
      <w:isLgl/>
      <w:lvlText w:val="%1.%2.%3.%4.%5.%6."/>
      <w:lvlJc w:val="left"/>
      <w:pPr>
        <w:ind w:left="1894" w:hanging="1440"/>
      </w:pPr>
      <w:rPr>
        <w:rFonts w:hint="default"/>
      </w:rPr>
    </w:lvl>
    <w:lvl w:ilvl="6">
      <w:start w:val="1"/>
      <w:numFmt w:val="decimal"/>
      <w:isLgl/>
      <w:lvlText w:val="%1.%2.%3.%4.%5.%6.%7."/>
      <w:lvlJc w:val="left"/>
      <w:pPr>
        <w:ind w:left="1894" w:hanging="1440"/>
      </w:pPr>
      <w:rPr>
        <w:rFonts w:hint="default"/>
      </w:rPr>
    </w:lvl>
    <w:lvl w:ilvl="7">
      <w:start w:val="1"/>
      <w:numFmt w:val="decimal"/>
      <w:isLgl/>
      <w:lvlText w:val="%1.%2.%3.%4.%5.%6.%7.%8."/>
      <w:lvlJc w:val="left"/>
      <w:pPr>
        <w:ind w:left="2254" w:hanging="1800"/>
      </w:pPr>
      <w:rPr>
        <w:rFonts w:hint="default"/>
      </w:rPr>
    </w:lvl>
    <w:lvl w:ilvl="8">
      <w:start w:val="1"/>
      <w:numFmt w:val="decimal"/>
      <w:isLgl/>
      <w:lvlText w:val="%1.%2.%3.%4.%5.%6.%7.%8.%9."/>
      <w:lvlJc w:val="left"/>
      <w:pPr>
        <w:ind w:left="2614" w:hanging="2160"/>
      </w:pPr>
      <w:rPr>
        <w:rFonts w:hint="default"/>
      </w:rPr>
    </w:lvl>
  </w:abstractNum>
  <w:abstractNum w:abstractNumId="6" w15:restartNumberingAfterBreak="0">
    <w:nsid w:val="12C7201A"/>
    <w:multiLevelType w:val="multilevel"/>
    <w:tmpl w:val="726610BC"/>
    <w:lvl w:ilvl="0">
      <w:start w:val="3"/>
      <w:numFmt w:val="decimal"/>
      <w:lvlText w:val="%1."/>
      <w:lvlJc w:val="left"/>
      <w:pPr>
        <w:tabs>
          <w:tab w:val="num" w:pos="357"/>
        </w:tabs>
        <w:ind w:left="357" w:hanging="357"/>
      </w:pPr>
      <w:rPr>
        <w:rFonts w:hint="default"/>
      </w:rPr>
    </w:lvl>
    <w:lvl w:ilvl="1">
      <w:start w:val="1"/>
      <w:numFmt w:val="decimal"/>
      <w:isLgl/>
      <w:lvlText w:val="%1.%2."/>
      <w:lvlJc w:val="left"/>
      <w:pPr>
        <w:tabs>
          <w:tab w:val="num" w:pos="567"/>
        </w:tabs>
        <w:ind w:left="567" w:hanging="567"/>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7" w15:restartNumberingAfterBreak="0">
    <w:nsid w:val="12DA5AB2"/>
    <w:multiLevelType w:val="singleLevel"/>
    <w:tmpl w:val="58E0191A"/>
    <w:lvl w:ilvl="0">
      <w:start w:val="1"/>
      <w:numFmt w:val="decimal"/>
      <w:lvlText w:val="%1."/>
      <w:legacy w:legacy="1" w:legacySpace="0" w:legacyIndent="336"/>
      <w:lvlJc w:val="left"/>
      <w:rPr>
        <w:rFonts w:ascii="Arial" w:hAnsi="Arial" w:cs="Arial" w:hint="default"/>
      </w:rPr>
    </w:lvl>
  </w:abstractNum>
  <w:abstractNum w:abstractNumId="8" w15:restartNumberingAfterBreak="0">
    <w:nsid w:val="14B05477"/>
    <w:multiLevelType w:val="hybridMultilevel"/>
    <w:tmpl w:val="5032F4EC"/>
    <w:lvl w:ilvl="0" w:tplc="F5103184">
      <w:start w:val="1"/>
      <w:numFmt w:val="bullet"/>
      <w:lvlText w:val=""/>
      <w:lvlJc w:val="left"/>
      <w:pPr>
        <w:tabs>
          <w:tab w:val="num" w:pos="1287"/>
        </w:tabs>
        <w:ind w:left="1287" w:hanging="357"/>
      </w:pPr>
      <w:rPr>
        <w:rFonts w:ascii="Symbol" w:hAnsi="Symbol" w:hint="default"/>
      </w:rPr>
    </w:lvl>
    <w:lvl w:ilvl="1" w:tplc="E97844DA">
      <w:start w:val="1"/>
      <w:numFmt w:val="bullet"/>
      <w:lvlText w:val=""/>
      <w:lvlJc w:val="left"/>
      <w:pPr>
        <w:tabs>
          <w:tab w:val="num" w:pos="2010"/>
        </w:tabs>
        <w:ind w:left="2010" w:hanging="357"/>
      </w:pPr>
      <w:rPr>
        <w:rFonts w:ascii="Symbol" w:hAnsi="Symbol" w:hint="default"/>
      </w:rPr>
    </w:lvl>
    <w:lvl w:ilvl="2" w:tplc="0415001B" w:tentative="1">
      <w:start w:val="1"/>
      <w:numFmt w:val="lowerRoman"/>
      <w:lvlText w:val="%3."/>
      <w:lvlJc w:val="right"/>
      <w:pPr>
        <w:tabs>
          <w:tab w:val="num" w:pos="2733"/>
        </w:tabs>
        <w:ind w:left="2733" w:hanging="180"/>
      </w:pPr>
    </w:lvl>
    <w:lvl w:ilvl="3" w:tplc="0415000F" w:tentative="1">
      <w:start w:val="1"/>
      <w:numFmt w:val="decimal"/>
      <w:lvlText w:val="%4."/>
      <w:lvlJc w:val="left"/>
      <w:pPr>
        <w:tabs>
          <w:tab w:val="num" w:pos="3453"/>
        </w:tabs>
        <w:ind w:left="3453" w:hanging="360"/>
      </w:pPr>
    </w:lvl>
    <w:lvl w:ilvl="4" w:tplc="04150019" w:tentative="1">
      <w:start w:val="1"/>
      <w:numFmt w:val="lowerLetter"/>
      <w:lvlText w:val="%5."/>
      <w:lvlJc w:val="left"/>
      <w:pPr>
        <w:tabs>
          <w:tab w:val="num" w:pos="4173"/>
        </w:tabs>
        <w:ind w:left="4173" w:hanging="360"/>
      </w:pPr>
    </w:lvl>
    <w:lvl w:ilvl="5" w:tplc="0415001B" w:tentative="1">
      <w:start w:val="1"/>
      <w:numFmt w:val="lowerRoman"/>
      <w:lvlText w:val="%6."/>
      <w:lvlJc w:val="right"/>
      <w:pPr>
        <w:tabs>
          <w:tab w:val="num" w:pos="4893"/>
        </w:tabs>
        <w:ind w:left="4893" w:hanging="180"/>
      </w:pPr>
    </w:lvl>
    <w:lvl w:ilvl="6" w:tplc="0415000F" w:tentative="1">
      <w:start w:val="1"/>
      <w:numFmt w:val="decimal"/>
      <w:lvlText w:val="%7."/>
      <w:lvlJc w:val="left"/>
      <w:pPr>
        <w:tabs>
          <w:tab w:val="num" w:pos="5613"/>
        </w:tabs>
        <w:ind w:left="5613" w:hanging="360"/>
      </w:pPr>
    </w:lvl>
    <w:lvl w:ilvl="7" w:tplc="04150019" w:tentative="1">
      <w:start w:val="1"/>
      <w:numFmt w:val="lowerLetter"/>
      <w:lvlText w:val="%8."/>
      <w:lvlJc w:val="left"/>
      <w:pPr>
        <w:tabs>
          <w:tab w:val="num" w:pos="6333"/>
        </w:tabs>
        <w:ind w:left="6333" w:hanging="360"/>
      </w:pPr>
    </w:lvl>
    <w:lvl w:ilvl="8" w:tplc="0415001B" w:tentative="1">
      <w:start w:val="1"/>
      <w:numFmt w:val="lowerRoman"/>
      <w:lvlText w:val="%9."/>
      <w:lvlJc w:val="right"/>
      <w:pPr>
        <w:tabs>
          <w:tab w:val="num" w:pos="7053"/>
        </w:tabs>
        <w:ind w:left="7053" w:hanging="180"/>
      </w:pPr>
    </w:lvl>
  </w:abstractNum>
  <w:abstractNum w:abstractNumId="9" w15:restartNumberingAfterBreak="0">
    <w:nsid w:val="17F24D52"/>
    <w:multiLevelType w:val="multilevel"/>
    <w:tmpl w:val="205E0AAA"/>
    <w:lvl w:ilvl="0">
      <w:start w:val="3"/>
      <w:numFmt w:val="decimal"/>
      <w:lvlText w:val="%1."/>
      <w:lvlJc w:val="left"/>
      <w:pPr>
        <w:tabs>
          <w:tab w:val="num" w:pos="357"/>
        </w:tabs>
        <w:ind w:left="357"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0" w15:restartNumberingAfterBreak="0">
    <w:nsid w:val="18AD5837"/>
    <w:multiLevelType w:val="hybridMultilevel"/>
    <w:tmpl w:val="9BB05C32"/>
    <w:lvl w:ilvl="0" w:tplc="04150011">
      <w:start w:val="1"/>
      <w:numFmt w:val="decimal"/>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1" w15:restartNumberingAfterBreak="0">
    <w:nsid w:val="1A3F2518"/>
    <w:multiLevelType w:val="singleLevel"/>
    <w:tmpl w:val="8F646B94"/>
    <w:lvl w:ilvl="0">
      <w:start w:val="16"/>
      <w:numFmt w:val="decimal"/>
      <w:lvlText w:val="%1)"/>
      <w:legacy w:legacy="1" w:legacySpace="0" w:legacyIndent="346"/>
      <w:lvlJc w:val="left"/>
      <w:rPr>
        <w:rFonts w:ascii="Arial" w:hAnsi="Arial" w:cs="Arial" w:hint="default"/>
      </w:rPr>
    </w:lvl>
  </w:abstractNum>
  <w:abstractNum w:abstractNumId="12" w15:restartNumberingAfterBreak="0">
    <w:nsid w:val="1BF36180"/>
    <w:multiLevelType w:val="singleLevel"/>
    <w:tmpl w:val="6AE2CBAA"/>
    <w:lvl w:ilvl="0">
      <w:start w:val="11"/>
      <w:numFmt w:val="decimal"/>
      <w:lvlText w:val="%1)"/>
      <w:legacy w:legacy="1" w:legacySpace="0" w:legacyIndent="413"/>
      <w:lvlJc w:val="left"/>
      <w:rPr>
        <w:rFonts w:ascii="Arial" w:hAnsi="Arial" w:cs="Arial" w:hint="default"/>
      </w:rPr>
    </w:lvl>
  </w:abstractNum>
  <w:abstractNum w:abstractNumId="13" w15:restartNumberingAfterBreak="0">
    <w:nsid w:val="1E3C13D8"/>
    <w:multiLevelType w:val="multilevel"/>
    <w:tmpl w:val="181EA118"/>
    <w:lvl w:ilvl="0">
      <w:start w:val="4"/>
      <w:numFmt w:val="decimal"/>
      <w:lvlText w:val="%1."/>
      <w:lvlJc w:val="left"/>
      <w:pPr>
        <w:ind w:left="540" w:hanging="540"/>
      </w:pPr>
      <w:rPr>
        <w:rFonts w:eastAsia="Arial Unicode MS" w:hAnsi="Arial Unicode MS" w:cs="Arial Unicode MS" w:hint="default"/>
      </w:rPr>
    </w:lvl>
    <w:lvl w:ilvl="1">
      <w:start w:val="1"/>
      <w:numFmt w:val="decimal"/>
      <w:lvlText w:val="%1.%2."/>
      <w:lvlJc w:val="left"/>
      <w:pPr>
        <w:ind w:left="1162" w:hanging="720"/>
      </w:pPr>
      <w:rPr>
        <w:rFonts w:eastAsia="Arial Unicode MS" w:hAnsi="Arial Unicode MS" w:cs="Arial Unicode MS" w:hint="default"/>
      </w:rPr>
    </w:lvl>
    <w:lvl w:ilvl="2">
      <w:start w:val="1"/>
      <w:numFmt w:val="decimal"/>
      <w:lvlText w:val="%1.%2.%3."/>
      <w:lvlJc w:val="left"/>
      <w:pPr>
        <w:ind w:left="1604" w:hanging="720"/>
      </w:pPr>
      <w:rPr>
        <w:rFonts w:eastAsia="Arial Unicode MS" w:hAnsi="Arial Unicode MS" w:cs="Arial Unicode MS" w:hint="default"/>
      </w:rPr>
    </w:lvl>
    <w:lvl w:ilvl="3">
      <w:start w:val="1"/>
      <w:numFmt w:val="decimal"/>
      <w:lvlText w:val="%1.%2.%3.%4."/>
      <w:lvlJc w:val="left"/>
      <w:pPr>
        <w:ind w:left="2406" w:hanging="1080"/>
      </w:pPr>
      <w:rPr>
        <w:rFonts w:eastAsia="Arial Unicode MS" w:hAnsi="Arial Unicode MS" w:cs="Arial Unicode MS" w:hint="default"/>
      </w:rPr>
    </w:lvl>
    <w:lvl w:ilvl="4">
      <w:start w:val="1"/>
      <w:numFmt w:val="decimal"/>
      <w:lvlText w:val="%1.%2.%3.%4.%5."/>
      <w:lvlJc w:val="left"/>
      <w:pPr>
        <w:ind w:left="2848" w:hanging="1080"/>
      </w:pPr>
      <w:rPr>
        <w:rFonts w:eastAsia="Arial Unicode MS" w:hAnsi="Arial Unicode MS" w:cs="Arial Unicode MS" w:hint="default"/>
      </w:rPr>
    </w:lvl>
    <w:lvl w:ilvl="5">
      <w:start w:val="1"/>
      <w:numFmt w:val="decimal"/>
      <w:lvlText w:val="%1.%2.%3.%4.%5.%6."/>
      <w:lvlJc w:val="left"/>
      <w:pPr>
        <w:ind w:left="3650" w:hanging="1440"/>
      </w:pPr>
      <w:rPr>
        <w:rFonts w:eastAsia="Arial Unicode MS" w:hAnsi="Arial Unicode MS" w:cs="Arial Unicode MS" w:hint="default"/>
      </w:rPr>
    </w:lvl>
    <w:lvl w:ilvl="6">
      <w:start w:val="1"/>
      <w:numFmt w:val="decimal"/>
      <w:lvlText w:val="%1.%2.%3.%4.%5.%6.%7."/>
      <w:lvlJc w:val="left"/>
      <w:pPr>
        <w:ind w:left="4092" w:hanging="1440"/>
      </w:pPr>
      <w:rPr>
        <w:rFonts w:eastAsia="Arial Unicode MS" w:hAnsi="Arial Unicode MS" w:cs="Arial Unicode MS" w:hint="default"/>
      </w:rPr>
    </w:lvl>
    <w:lvl w:ilvl="7">
      <w:start w:val="1"/>
      <w:numFmt w:val="decimal"/>
      <w:lvlText w:val="%1.%2.%3.%4.%5.%6.%7.%8."/>
      <w:lvlJc w:val="left"/>
      <w:pPr>
        <w:ind w:left="4894" w:hanging="1800"/>
      </w:pPr>
      <w:rPr>
        <w:rFonts w:eastAsia="Arial Unicode MS" w:hAnsi="Arial Unicode MS" w:cs="Arial Unicode MS" w:hint="default"/>
      </w:rPr>
    </w:lvl>
    <w:lvl w:ilvl="8">
      <w:start w:val="1"/>
      <w:numFmt w:val="decimal"/>
      <w:lvlText w:val="%1.%2.%3.%4.%5.%6.%7.%8.%9."/>
      <w:lvlJc w:val="left"/>
      <w:pPr>
        <w:ind w:left="5336" w:hanging="1800"/>
      </w:pPr>
      <w:rPr>
        <w:rFonts w:eastAsia="Arial Unicode MS" w:hAnsi="Arial Unicode MS" w:cs="Arial Unicode MS" w:hint="default"/>
      </w:rPr>
    </w:lvl>
  </w:abstractNum>
  <w:abstractNum w:abstractNumId="14" w15:restartNumberingAfterBreak="0">
    <w:nsid w:val="1E6423CB"/>
    <w:multiLevelType w:val="hybridMultilevel"/>
    <w:tmpl w:val="A620B5D4"/>
    <w:lvl w:ilvl="0" w:tplc="B1FC89A6">
      <w:start w:val="1"/>
      <w:numFmt w:val="decimal"/>
      <w:lvlText w:val="%1)"/>
      <w:lvlJc w:val="left"/>
      <w:pPr>
        <w:tabs>
          <w:tab w:val="num" w:pos="930"/>
        </w:tabs>
        <w:ind w:left="930" w:hanging="363"/>
      </w:pPr>
      <w:rPr>
        <w:rFonts w:cs="Times New Roman" w:hint="default"/>
      </w:rPr>
    </w:lvl>
    <w:lvl w:ilvl="1" w:tplc="E97844DA">
      <w:start w:val="1"/>
      <w:numFmt w:val="bullet"/>
      <w:lvlText w:val=""/>
      <w:lvlJc w:val="left"/>
      <w:pPr>
        <w:tabs>
          <w:tab w:val="num" w:pos="1647"/>
        </w:tabs>
        <w:ind w:left="1647" w:hanging="357"/>
      </w:pPr>
      <w:rPr>
        <w:rFonts w:ascii="Symbol" w:hAnsi="Symbol" w:hint="default"/>
      </w:rPr>
    </w:lvl>
    <w:lvl w:ilvl="2" w:tplc="0415001B" w:tentative="1">
      <w:start w:val="1"/>
      <w:numFmt w:val="lowerRoman"/>
      <w:lvlText w:val="%3."/>
      <w:lvlJc w:val="right"/>
      <w:pPr>
        <w:tabs>
          <w:tab w:val="num" w:pos="2370"/>
        </w:tabs>
        <w:ind w:left="2370" w:hanging="180"/>
      </w:pPr>
    </w:lvl>
    <w:lvl w:ilvl="3" w:tplc="0415000F" w:tentative="1">
      <w:start w:val="1"/>
      <w:numFmt w:val="decimal"/>
      <w:lvlText w:val="%4."/>
      <w:lvlJc w:val="left"/>
      <w:pPr>
        <w:tabs>
          <w:tab w:val="num" w:pos="3090"/>
        </w:tabs>
        <w:ind w:left="3090" w:hanging="360"/>
      </w:pPr>
    </w:lvl>
    <w:lvl w:ilvl="4" w:tplc="04150019" w:tentative="1">
      <w:start w:val="1"/>
      <w:numFmt w:val="lowerLetter"/>
      <w:lvlText w:val="%5."/>
      <w:lvlJc w:val="left"/>
      <w:pPr>
        <w:tabs>
          <w:tab w:val="num" w:pos="3810"/>
        </w:tabs>
        <w:ind w:left="3810" w:hanging="360"/>
      </w:pPr>
    </w:lvl>
    <w:lvl w:ilvl="5" w:tplc="0415001B" w:tentative="1">
      <w:start w:val="1"/>
      <w:numFmt w:val="lowerRoman"/>
      <w:lvlText w:val="%6."/>
      <w:lvlJc w:val="right"/>
      <w:pPr>
        <w:tabs>
          <w:tab w:val="num" w:pos="4530"/>
        </w:tabs>
        <w:ind w:left="4530" w:hanging="180"/>
      </w:pPr>
    </w:lvl>
    <w:lvl w:ilvl="6" w:tplc="0415000F" w:tentative="1">
      <w:start w:val="1"/>
      <w:numFmt w:val="decimal"/>
      <w:lvlText w:val="%7."/>
      <w:lvlJc w:val="left"/>
      <w:pPr>
        <w:tabs>
          <w:tab w:val="num" w:pos="5250"/>
        </w:tabs>
        <w:ind w:left="5250" w:hanging="360"/>
      </w:pPr>
    </w:lvl>
    <w:lvl w:ilvl="7" w:tplc="04150019" w:tentative="1">
      <w:start w:val="1"/>
      <w:numFmt w:val="lowerLetter"/>
      <w:lvlText w:val="%8."/>
      <w:lvlJc w:val="left"/>
      <w:pPr>
        <w:tabs>
          <w:tab w:val="num" w:pos="5970"/>
        </w:tabs>
        <w:ind w:left="5970" w:hanging="360"/>
      </w:pPr>
    </w:lvl>
    <w:lvl w:ilvl="8" w:tplc="0415001B" w:tentative="1">
      <w:start w:val="1"/>
      <w:numFmt w:val="lowerRoman"/>
      <w:lvlText w:val="%9."/>
      <w:lvlJc w:val="right"/>
      <w:pPr>
        <w:tabs>
          <w:tab w:val="num" w:pos="6690"/>
        </w:tabs>
        <w:ind w:left="6690" w:hanging="180"/>
      </w:pPr>
    </w:lvl>
  </w:abstractNum>
  <w:abstractNum w:abstractNumId="15" w15:restartNumberingAfterBreak="0">
    <w:nsid w:val="21C53ED0"/>
    <w:multiLevelType w:val="multilevel"/>
    <w:tmpl w:val="B38A5F5C"/>
    <w:lvl w:ilvl="0">
      <w:start w:val="1"/>
      <w:numFmt w:val="decimal"/>
      <w:lvlText w:val="%1."/>
      <w:lvlJc w:val="left"/>
      <w:pPr>
        <w:tabs>
          <w:tab w:val="num" w:pos="357"/>
        </w:tabs>
        <w:ind w:left="357"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6" w15:restartNumberingAfterBreak="0">
    <w:nsid w:val="29E852D7"/>
    <w:multiLevelType w:val="hybridMultilevel"/>
    <w:tmpl w:val="EF9612A2"/>
    <w:lvl w:ilvl="0" w:tplc="B544A8D2">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 w15:restartNumberingAfterBreak="0">
    <w:nsid w:val="2D460B5D"/>
    <w:multiLevelType w:val="singleLevel"/>
    <w:tmpl w:val="58E0191A"/>
    <w:lvl w:ilvl="0">
      <w:start w:val="1"/>
      <w:numFmt w:val="decimal"/>
      <w:lvlText w:val="%1."/>
      <w:legacy w:legacy="1" w:legacySpace="0" w:legacyIndent="336"/>
      <w:lvlJc w:val="left"/>
      <w:rPr>
        <w:rFonts w:ascii="Arial" w:hAnsi="Arial" w:cs="Arial" w:hint="default"/>
      </w:rPr>
    </w:lvl>
  </w:abstractNum>
  <w:abstractNum w:abstractNumId="18" w15:restartNumberingAfterBreak="0">
    <w:nsid w:val="2D4C0521"/>
    <w:multiLevelType w:val="hybridMultilevel"/>
    <w:tmpl w:val="7452D74A"/>
    <w:lvl w:ilvl="0" w:tplc="04150001">
      <w:start w:val="1"/>
      <w:numFmt w:val="bullet"/>
      <w:lvlText w:val=""/>
      <w:lvlJc w:val="left"/>
      <w:pPr>
        <w:ind w:left="788" w:hanging="360"/>
      </w:pPr>
      <w:rPr>
        <w:rFonts w:ascii="Symbol" w:hAnsi="Symbol" w:hint="default"/>
      </w:rPr>
    </w:lvl>
    <w:lvl w:ilvl="1" w:tplc="04150003">
      <w:start w:val="1"/>
      <w:numFmt w:val="bullet"/>
      <w:lvlText w:val="o"/>
      <w:lvlJc w:val="left"/>
      <w:pPr>
        <w:ind w:left="1508" w:hanging="360"/>
      </w:pPr>
      <w:rPr>
        <w:rFonts w:ascii="Courier New" w:hAnsi="Courier New" w:cs="Courier New" w:hint="default"/>
      </w:rPr>
    </w:lvl>
    <w:lvl w:ilvl="2" w:tplc="04150005" w:tentative="1">
      <w:start w:val="1"/>
      <w:numFmt w:val="bullet"/>
      <w:lvlText w:val=""/>
      <w:lvlJc w:val="left"/>
      <w:pPr>
        <w:ind w:left="2228" w:hanging="360"/>
      </w:pPr>
      <w:rPr>
        <w:rFonts w:ascii="Wingdings" w:hAnsi="Wingdings" w:hint="default"/>
      </w:rPr>
    </w:lvl>
    <w:lvl w:ilvl="3" w:tplc="04150001" w:tentative="1">
      <w:start w:val="1"/>
      <w:numFmt w:val="bullet"/>
      <w:lvlText w:val=""/>
      <w:lvlJc w:val="left"/>
      <w:pPr>
        <w:ind w:left="2948" w:hanging="360"/>
      </w:pPr>
      <w:rPr>
        <w:rFonts w:ascii="Symbol" w:hAnsi="Symbol" w:hint="default"/>
      </w:rPr>
    </w:lvl>
    <w:lvl w:ilvl="4" w:tplc="04150003" w:tentative="1">
      <w:start w:val="1"/>
      <w:numFmt w:val="bullet"/>
      <w:lvlText w:val="o"/>
      <w:lvlJc w:val="left"/>
      <w:pPr>
        <w:ind w:left="3668" w:hanging="360"/>
      </w:pPr>
      <w:rPr>
        <w:rFonts w:ascii="Courier New" w:hAnsi="Courier New" w:cs="Courier New" w:hint="default"/>
      </w:rPr>
    </w:lvl>
    <w:lvl w:ilvl="5" w:tplc="04150005" w:tentative="1">
      <w:start w:val="1"/>
      <w:numFmt w:val="bullet"/>
      <w:lvlText w:val=""/>
      <w:lvlJc w:val="left"/>
      <w:pPr>
        <w:ind w:left="4388" w:hanging="360"/>
      </w:pPr>
      <w:rPr>
        <w:rFonts w:ascii="Wingdings" w:hAnsi="Wingdings" w:hint="default"/>
      </w:rPr>
    </w:lvl>
    <w:lvl w:ilvl="6" w:tplc="04150001" w:tentative="1">
      <w:start w:val="1"/>
      <w:numFmt w:val="bullet"/>
      <w:lvlText w:val=""/>
      <w:lvlJc w:val="left"/>
      <w:pPr>
        <w:ind w:left="5108" w:hanging="360"/>
      </w:pPr>
      <w:rPr>
        <w:rFonts w:ascii="Symbol" w:hAnsi="Symbol" w:hint="default"/>
      </w:rPr>
    </w:lvl>
    <w:lvl w:ilvl="7" w:tplc="04150003" w:tentative="1">
      <w:start w:val="1"/>
      <w:numFmt w:val="bullet"/>
      <w:lvlText w:val="o"/>
      <w:lvlJc w:val="left"/>
      <w:pPr>
        <w:ind w:left="5828" w:hanging="360"/>
      </w:pPr>
      <w:rPr>
        <w:rFonts w:ascii="Courier New" w:hAnsi="Courier New" w:cs="Courier New" w:hint="default"/>
      </w:rPr>
    </w:lvl>
    <w:lvl w:ilvl="8" w:tplc="04150005" w:tentative="1">
      <w:start w:val="1"/>
      <w:numFmt w:val="bullet"/>
      <w:lvlText w:val=""/>
      <w:lvlJc w:val="left"/>
      <w:pPr>
        <w:ind w:left="6548" w:hanging="360"/>
      </w:pPr>
      <w:rPr>
        <w:rFonts w:ascii="Wingdings" w:hAnsi="Wingdings" w:hint="default"/>
      </w:rPr>
    </w:lvl>
  </w:abstractNum>
  <w:abstractNum w:abstractNumId="19" w15:restartNumberingAfterBreak="0">
    <w:nsid w:val="2E2F7133"/>
    <w:multiLevelType w:val="multilevel"/>
    <w:tmpl w:val="0C92B124"/>
    <w:lvl w:ilvl="0">
      <w:start w:val="4"/>
      <w:numFmt w:val="decimal"/>
      <w:lvlText w:val="%1."/>
      <w:lvlJc w:val="left"/>
      <w:pPr>
        <w:tabs>
          <w:tab w:val="num" w:pos="357"/>
        </w:tabs>
        <w:ind w:left="357" w:hanging="357"/>
      </w:pPr>
      <w:rPr>
        <w:rFonts w:hint="default"/>
      </w:rPr>
    </w:lvl>
    <w:lvl w:ilvl="1">
      <w:start w:val="1"/>
      <w:numFmt w:val="decimal"/>
      <w:isLgl/>
      <w:lvlText w:val="%1.%2."/>
      <w:lvlJc w:val="left"/>
      <w:pPr>
        <w:tabs>
          <w:tab w:val="num" w:pos="567"/>
        </w:tabs>
        <w:ind w:left="567" w:hanging="567"/>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0" w15:restartNumberingAfterBreak="0">
    <w:nsid w:val="36B91570"/>
    <w:multiLevelType w:val="multilevel"/>
    <w:tmpl w:val="71788F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B3A5FC8"/>
    <w:multiLevelType w:val="hybridMultilevel"/>
    <w:tmpl w:val="7C347370"/>
    <w:lvl w:ilvl="0" w:tplc="6C80F700">
      <w:start w:val="1"/>
      <w:numFmt w:val="decimal"/>
      <w:lvlText w:val="%1."/>
      <w:lvlJc w:val="left"/>
      <w:pPr>
        <w:tabs>
          <w:tab w:val="num" w:pos="357"/>
        </w:tabs>
        <w:ind w:left="357" w:hanging="357"/>
      </w:pPr>
      <w:rPr>
        <w:rFonts w:hint="default"/>
      </w:rPr>
    </w:lvl>
    <w:lvl w:ilvl="1" w:tplc="C9CE6358">
      <w:start w:val="1"/>
      <w:numFmt w:val="bullet"/>
      <w:lvlText w:val=""/>
      <w:lvlJc w:val="left"/>
      <w:pPr>
        <w:tabs>
          <w:tab w:val="num" w:pos="720"/>
        </w:tabs>
        <w:ind w:left="720" w:hanging="363"/>
      </w:pPr>
      <w:rPr>
        <w:rFonts w:ascii="Symbol" w:hAnsi="Symbol"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41872521"/>
    <w:multiLevelType w:val="hybridMultilevel"/>
    <w:tmpl w:val="5276E07E"/>
    <w:lvl w:ilvl="0" w:tplc="04150001">
      <w:start w:val="1"/>
      <w:numFmt w:val="bullet"/>
      <w:lvlText w:val=""/>
      <w:lvlJc w:val="left"/>
      <w:pPr>
        <w:tabs>
          <w:tab w:val="num" w:pos="720"/>
        </w:tabs>
        <w:ind w:left="720" w:hanging="360"/>
      </w:pPr>
      <w:rPr>
        <w:rFonts w:ascii="Symbol" w:hAnsi="Symbol"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3" w15:restartNumberingAfterBreak="0">
    <w:nsid w:val="435435FA"/>
    <w:multiLevelType w:val="multilevel"/>
    <w:tmpl w:val="0C92B124"/>
    <w:lvl w:ilvl="0">
      <w:start w:val="4"/>
      <w:numFmt w:val="decimal"/>
      <w:lvlText w:val="%1."/>
      <w:lvlJc w:val="left"/>
      <w:pPr>
        <w:tabs>
          <w:tab w:val="num" w:pos="357"/>
        </w:tabs>
        <w:ind w:left="357" w:hanging="357"/>
      </w:pPr>
      <w:rPr>
        <w:rFonts w:hint="default"/>
      </w:rPr>
    </w:lvl>
    <w:lvl w:ilvl="1">
      <w:start w:val="1"/>
      <w:numFmt w:val="decimal"/>
      <w:isLgl/>
      <w:lvlText w:val="%1.%2."/>
      <w:lvlJc w:val="left"/>
      <w:pPr>
        <w:tabs>
          <w:tab w:val="num" w:pos="567"/>
        </w:tabs>
        <w:ind w:left="567" w:hanging="567"/>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4" w15:restartNumberingAfterBreak="0">
    <w:nsid w:val="4480180D"/>
    <w:multiLevelType w:val="hybridMultilevel"/>
    <w:tmpl w:val="DB9A5D2C"/>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5" w15:restartNumberingAfterBreak="0">
    <w:nsid w:val="46AB4FC4"/>
    <w:multiLevelType w:val="multilevel"/>
    <w:tmpl w:val="ECCC168A"/>
    <w:lvl w:ilvl="0">
      <w:start w:val="1"/>
      <w:numFmt w:val="decimal"/>
      <w:lvlText w:val="%1."/>
      <w:lvlJc w:val="left"/>
      <w:pPr>
        <w:tabs>
          <w:tab w:val="num" w:pos="357"/>
        </w:tabs>
        <w:ind w:left="357"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sz w:val="20"/>
        <w:szCs w:val="20"/>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6" w15:restartNumberingAfterBreak="0">
    <w:nsid w:val="49B45021"/>
    <w:multiLevelType w:val="hybridMultilevel"/>
    <w:tmpl w:val="7402D6CA"/>
    <w:lvl w:ilvl="0" w:tplc="0400B80E">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4ABF5301"/>
    <w:multiLevelType w:val="hybridMultilevel"/>
    <w:tmpl w:val="43F211D0"/>
    <w:lvl w:ilvl="0" w:tplc="A6A0F680">
      <w:start w:val="1"/>
      <w:numFmt w:val="bullet"/>
      <w:lvlText w:val=""/>
      <w:lvlJc w:val="left"/>
      <w:pPr>
        <w:tabs>
          <w:tab w:val="num" w:pos="924"/>
        </w:tabs>
        <w:ind w:left="924" w:hanging="357"/>
      </w:pPr>
      <w:rPr>
        <w:rFonts w:ascii="Symbol" w:hAnsi="Symbol" w:hint="default"/>
      </w:rPr>
    </w:lvl>
    <w:lvl w:ilvl="1" w:tplc="57D4F2D2">
      <w:start w:val="1"/>
      <w:numFmt w:val="bullet"/>
      <w:lvlText w:val=""/>
      <w:lvlJc w:val="left"/>
      <w:pPr>
        <w:tabs>
          <w:tab w:val="num" w:pos="567"/>
        </w:tabs>
        <w:ind w:left="567" w:hanging="210"/>
      </w:pPr>
      <w:rPr>
        <w:rFonts w:ascii="Symbol" w:hAnsi="Symbol"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 w15:restartNumberingAfterBreak="0">
    <w:nsid w:val="4E4271B8"/>
    <w:multiLevelType w:val="multilevel"/>
    <w:tmpl w:val="38FA51FE"/>
    <w:lvl w:ilvl="0">
      <w:start w:val="2"/>
      <w:numFmt w:val="decimal"/>
      <w:lvlText w:val="%1."/>
      <w:lvlJc w:val="left"/>
      <w:pPr>
        <w:tabs>
          <w:tab w:val="num" w:pos="357"/>
        </w:tabs>
        <w:ind w:left="357"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9" w15:restartNumberingAfterBreak="0">
    <w:nsid w:val="521C41E2"/>
    <w:multiLevelType w:val="hybridMultilevel"/>
    <w:tmpl w:val="72D8293C"/>
    <w:lvl w:ilvl="0" w:tplc="1F4873EC">
      <w:start w:val="1"/>
      <w:numFmt w:val="bullet"/>
      <w:lvlText w:val=""/>
      <w:lvlJc w:val="left"/>
      <w:pPr>
        <w:tabs>
          <w:tab w:val="num" w:pos="924"/>
        </w:tabs>
        <w:ind w:left="924" w:hanging="357"/>
      </w:pPr>
      <w:rPr>
        <w:rFonts w:ascii="Symbol" w:hAnsi="Symbol" w:hint="default"/>
      </w:rPr>
    </w:lvl>
    <w:lvl w:ilvl="1" w:tplc="04150003" w:tentative="1">
      <w:start w:val="1"/>
      <w:numFmt w:val="bullet"/>
      <w:lvlText w:val="o"/>
      <w:lvlJc w:val="left"/>
      <w:pPr>
        <w:tabs>
          <w:tab w:val="num" w:pos="2007"/>
        </w:tabs>
        <w:ind w:left="2007" w:hanging="360"/>
      </w:pPr>
      <w:rPr>
        <w:rFonts w:ascii="Courier New" w:hAnsi="Courier New" w:cs="Courier New" w:hint="default"/>
      </w:rPr>
    </w:lvl>
    <w:lvl w:ilvl="2" w:tplc="04150005" w:tentative="1">
      <w:start w:val="1"/>
      <w:numFmt w:val="bullet"/>
      <w:lvlText w:val=""/>
      <w:lvlJc w:val="left"/>
      <w:pPr>
        <w:tabs>
          <w:tab w:val="num" w:pos="2727"/>
        </w:tabs>
        <w:ind w:left="2727" w:hanging="360"/>
      </w:pPr>
      <w:rPr>
        <w:rFonts w:ascii="Wingdings" w:hAnsi="Wingdings" w:hint="default"/>
      </w:rPr>
    </w:lvl>
    <w:lvl w:ilvl="3" w:tplc="04150001" w:tentative="1">
      <w:start w:val="1"/>
      <w:numFmt w:val="bullet"/>
      <w:lvlText w:val=""/>
      <w:lvlJc w:val="left"/>
      <w:pPr>
        <w:tabs>
          <w:tab w:val="num" w:pos="3447"/>
        </w:tabs>
        <w:ind w:left="3447" w:hanging="360"/>
      </w:pPr>
      <w:rPr>
        <w:rFonts w:ascii="Symbol" w:hAnsi="Symbol" w:hint="default"/>
      </w:rPr>
    </w:lvl>
    <w:lvl w:ilvl="4" w:tplc="04150003" w:tentative="1">
      <w:start w:val="1"/>
      <w:numFmt w:val="bullet"/>
      <w:lvlText w:val="o"/>
      <w:lvlJc w:val="left"/>
      <w:pPr>
        <w:tabs>
          <w:tab w:val="num" w:pos="4167"/>
        </w:tabs>
        <w:ind w:left="4167" w:hanging="360"/>
      </w:pPr>
      <w:rPr>
        <w:rFonts w:ascii="Courier New" w:hAnsi="Courier New" w:cs="Courier New" w:hint="default"/>
      </w:rPr>
    </w:lvl>
    <w:lvl w:ilvl="5" w:tplc="04150005" w:tentative="1">
      <w:start w:val="1"/>
      <w:numFmt w:val="bullet"/>
      <w:lvlText w:val=""/>
      <w:lvlJc w:val="left"/>
      <w:pPr>
        <w:tabs>
          <w:tab w:val="num" w:pos="4887"/>
        </w:tabs>
        <w:ind w:left="4887" w:hanging="360"/>
      </w:pPr>
      <w:rPr>
        <w:rFonts w:ascii="Wingdings" w:hAnsi="Wingdings" w:hint="default"/>
      </w:rPr>
    </w:lvl>
    <w:lvl w:ilvl="6" w:tplc="04150001" w:tentative="1">
      <w:start w:val="1"/>
      <w:numFmt w:val="bullet"/>
      <w:lvlText w:val=""/>
      <w:lvlJc w:val="left"/>
      <w:pPr>
        <w:tabs>
          <w:tab w:val="num" w:pos="5607"/>
        </w:tabs>
        <w:ind w:left="5607" w:hanging="360"/>
      </w:pPr>
      <w:rPr>
        <w:rFonts w:ascii="Symbol" w:hAnsi="Symbol" w:hint="default"/>
      </w:rPr>
    </w:lvl>
    <w:lvl w:ilvl="7" w:tplc="04150003" w:tentative="1">
      <w:start w:val="1"/>
      <w:numFmt w:val="bullet"/>
      <w:lvlText w:val="o"/>
      <w:lvlJc w:val="left"/>
      <w:pPr>
        <w:tabs>
          <w:tab w:val="num" w:pos="6327"/>
        </w:tabs>
        <w:ind w:left="6327" w:hanging="360"/>
      </w:pPr>
      <w:rPr>
        <w:rFonts w:ascii="Courier New" w:hAnsi="Courier New" w:cs="Courier New" w:hint="default"/>
      </w:rPr>
    </w:lvl>
    <w:lvl w:ilvl="8" w:tplc="04150005" w:tentative="1">
      <w:start w:val="1"/>
      <w:numFmt w:val="bullet"/>
      <w:lvlText w:val=""/>
      <w:lvlJc w:val="left"/>
      <w:pPr>
        <w:tabs>
          <w:tab w:val="num" w:pos="7047"/>
        </w:tabs>
        <w:ind w:left="7047" w:hanging="360"/>
      </w:pPr>
      <w:rPr>
        <w:rFonts w:ascii="Wingdings" w:hAnsi="Wingdings" w:hint="default"/>
      </w:rPr>
    </w:lvl>
  </w:abstractNum>
  <w:abstractNum w:abstractNumId="30" w15:restartNumberingAfterBreak="0">
    <w:nsid w:val="524E48F3"/>
    <w:multiLevelType w:val="hybridMultilevel"/>
    <w:tmpl w:val="CF1C0338"/>
    <w:lvl w:ilvl="0" w:tplc="B1FC89A6">
      <w:start w:val="1"/>
      <w:numFmt w:val="decimal"/>
      <w:lvlText w:val="%1)"/>
      <w:lvlJc w:val="left"/>
      <w:pPr>
        <w:tabs>
          <w:tab w:val="num" w:pos="930"/>
        </w:tabs>
        <w:ind w:left="930" w:hanging="363"/>
      </w:pPr>
      <w:rPr>
        <w:rFonts w:cs="Times New Roman" w:hint="default"/>
      </w:rPr>
    </w:lvl>
    <w:lvl w:ilvl="1" w:tplc="04150019" w:tentative="1">
      <w:start w:val="1"/>
      <w:numFmt w:val="lowerLetter"/>
      <w:lvlText w:val="%2."/>
      <w:lvlJc w:val="left"/>
      <w:pPr>
        <w:tabs>
          <w:tab w:val="num" w:pos="1650"/>
        </w:tabs>
        <w:ind w:left="1650" w:hanging="360"/>
      </w:pPr>
    </w:lvl>
    <w:lvl w:ilvl="2" w:tplc="0415001B" w:tentative="1">
      <w:start w:val="1"/>
      <w:numFmt w:val="lowerRoman"/>
      <w:lvlText w:val="%3."/>
      <w:lvlJc w:val="right"/>
      <w:pPr>
        <w:tabs>
          <w:tab w:val="num" w:pos="2370"/>
        </w:tabs>
        <w:ind w:left="2370" w:hanging="180"/>
      </w:pPr>
    </w:lvl>
    <w:lvl w:ilvl="3" w:tplc="0415000F" w:tentative="1">
      <w:start w:val="1"/>
      <w:numFmt w:val="decimal"/>
      <w:lvlText w:val="%4."/>
      <w:lvlJc w:val="left"/>
      <w:pPr>
        <w:tabs>
          <w:tab w:val="num" w:pos="3090"/>
        </w:tabs>
        <w:ind w:left="3090" w:hanging="360"/>
      </w:pPr>
    </w:lvl>
    <w:lvl w:ilvl="4" w:tplc="04150019" w:tentative="1">
      <w:start w:val="1"/>
      <w:numFmt w:val="lowerLetter"/>
      <w:lvlText w:val="%5."/>
      <w:lvlJc w:val="left"/>
      <w:pPr>
        <w:tabs>
          <w:tab w:val="num" w:pos="3810"/>
        </w:tabs>
        <w:ind w:left="3810" w:hanging="360"/>
      </w:pPr>
    </w:lvl>
    <w:lvl w:ilvl="5" w:tplc="0415001B" w:tentative="1">
      <w:start w:val="1"/>
      <w:numFmt w:val="lowerRoman"/>
      <w:lvlText w:val="%6."/>
      <w:lvlJc w:val="right"/>
      <w:pPr>
        <w:tabs>
          <w:tab w:val="num" w:pos="4530"/>
        </w:tabs>
        <w:ind w:left="4530" w:hanging="180"/>
      </w:pPr>
    </w:lvl>
    <w:lvl w:ilvl="6" w:tplc="0415000F" w:tentative="1">
      <w:start w:val="1"/>
      <w:numFmt w:val="decimal"/>
      <w:lvlText w:val="%7."/>
      <w:lvlJc w:val="left"/>
      <w:pPr>
        <w:tabs>
          <w:tab w:val="num" w:pos="5250"/>
        </w:tabs>
        <w:ind w:left="5250" w:hanging="360"/>
      </w:pPr>
    </w:lvl>
    <w:lvl w:ilvl="7" w:tplc="04150019" w:tentative="1">
      <w:start w:val="1"/>
      <w:numFmt w:val="lowerLetter"/>
      <w:lvlText w:val="%8."/>
      <w:lvlJc w:val="left"/>
      <w:pPr>
        <w:tabs>
          <w:tab w:val="num" w:pos="5970"/>
        </w:tabs>
        <w:ind w:left="5970" w:hanging="360"/>
      </w:pPr>
    </w:lvl>
    <w:lvl w:ilvl="8" w:tplc="0415001B" w:tentative="1">
      <w:start w:val="1"/>
      <w:numFmt w:val="lowerRoman"/>
      <w:lvlText w:val="%9."/>
      <w:lvlJc w:val="right"/>
      <w:pPr>
        <w:tabs>
          <w:tab w:val="num" w:pos="6690"/>
        </w:tabs>
        <w:ind w:left="6690" w:hanging="180"/>
      </w:pPr>
    </w:lvl>
  </w:abstractNum>
  <w:abstractNum w:abstractNumId="31" w15:restartNumberingAfterBreak="0">
    <w:nsid w:val="54574EA8"/>
    <w:multiLevelType w:val="multilevel"/>
    <w:tmpl w:val="E58A9118"/>
    <w:lvl w:ilvl="0">
      <w:start w:val="1"/>
      <w:numFmt w:val="decimal"/>
      <w:pStyle w:val="Listanumerowana"/>
      <w:lvlText w:val="%1."/>
      <w:lvlJc w:val="left"/>
      <w:pPr>
        <w:tabs>
          <w:tab w:val="num" w:pos="360"/>
        </w:tabs>
        <w:ind w:left="360" w:hanging="360"/>
      </w:pPr>
      <w:rPr>
        <w:rFonts w:ascii="Times New Roman" w:hAnsi="Times New Roman" w:cs="Times New Roman" w:hint="default"/>
        <w:b/>
        <w:strike w:val="0"/>
      </w:rPr>
    </w:lvl>
    <w:lvl w:ilvl="1">
      <w:start w:val="1"/>
      <w:numFmt w:val="decimal"/>
      <w:pStyle w:val="Listanumerowana2"/>
      <w:lvlText w:val="%2."/>
      <w:lvlJc w:val="left"/>
      <w:pPr>
        <w:tabs>
          <w:tab w:val="num" w:pos="851"/>
        </w:tabs>
        <w:ind w:left="851" w:hanging="494"/>
      </w:pPr>
      <w:rPr>
        <w:rFonts w:ascii="Times New Roman" w:eastAsia="Times New Roman" w:hAnsi="Times New Roman" w:cs="Times New Roman"/>
        <w:b w:val="0"/>
      </w:rPr>
    </w:lvl>
    <w:lvl w:ilvl="2">
      <w:start w:val="1"/>
      <w:numFmt w:val="decimal"/>
      <w:lvlText w:val="%1.%2.%3."/>
      <w:lvlJc w:val="left"/>
      <w:pPr>
        <w:tabs>
          <w:tab w:val="num" w:pos="1531"/>
        </w:tabs>
        <w:ind w:left="1531" w:hanging="68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5DDD284A"/>
    <w:multiLevelType w:val="multilevel"/>
    <w:tmpl w:val="66FA1EFA"/>
    <w:lvl w:ilvl="0">
      <w:start w:val="1"/>
      <w:numFmt w:val="decimal"/>
      <w:lvlText w:val="%1."/>
      <w:lvlJc w:val="left"/>
      <w:pPr>
        <w:tabs>
          <w:tab w:val="num" w:pos="357"/>
        </w:tabs>
        <w:ind w:left="357"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3" w15:restartNumberingAfterBreak="0">
    <w:nsid w:val="5FF50B1D"/>
    <w:multiLevelType w:val="hybridMultilevel"/>
    <w:tmpl w:val="0E902DB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60961D2A"/>
    <w:multiLevelType w:val="multilevel"/>
    <w:tmpl w:val="4DCE34BA"/>
    <w:lvl w:ilvl="0">
      <w:start w:val="1"/>
      <w:numFmt w:val="decimal"/>
      <w:lvlText w:val="%1."/>
      <w:lvlJc w:val="left"/>
      <w:pPr>
        <w:tabs>
          <w:tab w:val="num" w:pos="357"/>
        </w:tabs>
        <w:ind w:left="357" w:hanging="357"/>
      </w:pPr>
      <w:rPr>
        <w:rFonts w:hint="default"/>
      </w:rPr>
    </w:lvl>
    <w:lvl w:ilvl="1">
      <w:start w:val="1"/>
      <w:numFmt w:val="decimal"/>
      <w:isLgl/>
      <w:lvlText w:val="2.%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5" w15:restartNumberingAfterBreak="0">
    <w:nsid w:val="60E44CB4"/>
    <w:multiLevelType w:val="hybridMultilevel"/>
    <w:tmpl w:val="33D61B82"/>
    <w:lvl w:ilvl="0" w:tplc="04150011">
      <w:start w:val="1"/>
      <w:numFmt w:val="decimal"/>
      <w:lvlText w:val="%1)"/>
      <w:lvlJc w:val="left"/>
      <w:pPr>
        <w:ind w:left="720" w:hanging="360"/>
      </w:pPr>
      <w:rPr>
        <w:rFonts w:hint="default"/>
      </w:rPr>
    </w:lvl>
    <w:lvl w:ilvl="1" w:tplc="ACDE602C">
      <w:start w:val="1"/>
      <w:numFmt w:val="lowerLetter"/>
      <w:lvlText w:val="%2)"/>
      <w:lvlJc w:val="left"/>
      <w:pPr>
        <w:ind w:left="1440" w:hanging="360"/>
      </w:pPr>
      <w:rPr>
        <w:rFonts w:ascii="Arial" w:eastAsia="Times New Roman" w:hAnsi="Arial" w:cs="Arial"/>
      </w:rPr>
    </w:lvl>
    <w:lvl w:ilvl="2" w:tplc="0415001B">
      <w:start w:val="1"/>
      <w:numFmt w:val="lowerRoman"/>
      <w:lvlText w:val="%3."/>
      <w:lvlJc w:val="right"/>
      <w:pPr>
        <w:ind w:left="2160" w:hanging="180"/>
      </w:pPr>
    </w:lvl>
    <w:lvl w:ilvl="3" w:tplc="96A60AD4">
      <w:start w:val="70"/>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01D5E1D"/>
    <w:multiLevelType w:val="multilevel"/>
    <w:tmpl w:val="B38A5F5C"/>
    <w:lvl w:ilvl="0">
      <w:start w:val="1"/>
      <w:numFmt w:val="decimal"/>
      <w:lvlText w:val="%1."/>
      <w:lvlJc w:val="left"/>
      <w:pPr>
        <w:tabs>
          <w:tab w:val="num" w:pos="357"/>
        </w:tabs>
        <w:ind w:left="357"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7" w15:restartNumberingAfterBreak="0">
    <w:nsid w:val="71DD0A58"/>
    <w:multiLevelType w:val="multilevel"/>
    <w:tmpl w:val="B38A5F5C"/>
    <w:lvl w:ilvl="0">
      <w:start w:val="1"/>
      <w:numFmt w:val="decimal"/>
      <w:lvlText w:val="%1."/>
      <w:lvlJc w:val="left"/>
      <w:pPr>
        <w:tabs>
          <w:tab w:val="num" w:pos="357"/>
        </w:tabs>
        <w:ind w:left="357" w:hanging="357"/>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8" w15:restartNumberingAfterBreak="0">
    <w:nsid w:val="74302297"/>
    <w:multiLevelType w:val="multilevel"/>
    <w:tmpl w:val="EF703FC2"/>
    <w:lvl w:ilvl="0">
      <w:start w:val="5"/>
      <w:numFmt w:val="decimal"/>
      <w:lvlText w:val="%1."/>
      <w:lvlJc w:val="left"/>
      <w:pPr>
        <w:tabs>
          <w:tab w:val="num" w:pos="357"/>
        </w:tabs>
        <w:ind w:left="357" w:hanging="357"/>
      </w:pPr>
      <w:rPr>
        <w:rFonts w:hint="default"/>
      </w:rPr>
    </w:lvl>
    <w:lvl w:ilvl="1">
      <w:start w:val="1"/>
      <w:numFmt w:val="decimal"/>
      <w:isLgl/>
      <w:lvlText w:val="%1.%2."/>
      <w:lvlJc w:val="left"/>
      <w:pPr>
        <w:tabs>
          <w:tab w:val="num" w:pos="567"/>
        </w:tabs>
        <w:ind w:left="567" w:hanging="567"/>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9" w15:restartNumberingAfterBreak="0">
    <w:nsid w:val="761F4688"/>
    <w:multiLevelType w:val="hybridMultilevel"/>
    <w:tmpl w:val="AE4C06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AB36751"/>
    <w:multiLevelType w:val="multilevel"/>
    <w:tmpl w:val="B7280320"/>
    <w:lvl w:ilvl="0">
      <w:start w:val="1"/>
      <w:numFmt w:val="ordinal"/>
      <w:lvlText w:val="%1"/>
      <w:lvlJc w:val="left"/>
      <w:pPr>
        <w:tabs>
          <w:tab w:val="num" w:pos="360"/>
        </w:tabs>
        <w:ind w:left="360" w:hanging="360"/>
      </w:pPr>
      <w:rPr>
        <w:rFonts w:ascii="Arial" w:hAnsi="Arial" w:hint="default"/>
        <w:b w:val="0"/>
        <w:i w:val="0"/>
        <w:sz w:val="20"/>
        <w:szCs w:val="20"/>
      </w:rPr>
    </w:lvl>
    <w:lvl w:ilvl="1">
      <w:start w:val="1"/>
      <w:numFmt w:val="decimal"/>
      <w:lvlText w:val="%2)"/>
      <w:lvlJc w:val="left"/>
      <w:pPr>
        <w:tabs>
          <w:tab w:val="num" w:pos="720"/>
        </w:tabs>
        <w:ind w:left="720" w:hanging="360"/>
      </w:pPr>
      <w:rPr>
        <w:rFonts w:ascii="Arial" w:hAnsi="Arial" w:hint="default"/>
        <w:b w:val="0"/>
        <w:i w:val="0"/>
        <w:sz w:val="20"/>
        <w:szCs w:val="2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7BC227BA"/>
    <w:multiLevelType w:val="singleLevel"/>
    <w:tmpl w:val="9418DCC0"/>
    <w:lvl w:ilvl="0">
      <w:start w:val="9"/>
      <w:numFmt w:val="decimal"/>
      <w:lvlText w:val="%1)"/>
      <w:legacy w:legacy="1" w:legacySpace="0" w:legacyIndent="413"/>
      <w:lvlJc w:val="left"/>
      <w:rPr>
        <w:rFonts w:ascii="Arial" w:hAnsi="Arial" w:cs="Arial" w:hint="default"/>
      </w:rPr>
    </w:lvl>
  </w:abstractNum>
  <w:abstractNum w:abstractNumId="42" w15:restartNumberingAfterBreak="0">
    <w:nsid w:val="7FD326F7"/>
    <w:multiLevelType w:val="hybridMultilevel"/>
    <w:tmpl w:val="F1305908"/>
    <w:lvl w:ilvl="0" w:tplc="6C80F700">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25"/>
  </w:num>
  <w:num w:numId="2">
    <w:abstractNumId w:val="14"/>
  </w:num>
  <w:num w:numId="3">
    <w:abstractNumId w:val="8"/>
  </w:num>
  <w:num w:numId="4">
    <w:abstractNumId w:val="21"/>
  </w:num>
  <w:num w:numId="5">
    <w:abstractNumId w:val="30"/>
  </w:num>
  <w:num w:numId="6">
    <w:abstractNumId w:val="36"/>
  </w:num>
  <w:num w:numId="7">
    <w:abstractNumId w:val="28"/>
  </w:num>
  <w:num w:numId="8">
    <w:abstractNumId w:val="6"/>
  </w:num>
  <w:num w:numId="9">
    <w:abstractNumId w:val="19"/>
  </w:num>
  <w:num w:numId="10">
    <w:abstractNumId w:val="27"/>
  </w:num>
  <w:num w:numId="11">
    <w:abstractNumId w:val="4"/>
  </w:num>
  <w:num w:numId="12">
    <w:abstractNumId w:val="29"/>
  </w:num>
  <w:num w:numId="13">
    <w:abstractNumId w:val="32"/>
  </w:num>
  <w:num w:numId="14">
    <w:abstractNumId w:val="23"/>
  </w:num>
  <w:num w:numId="15">
    <w:abstractNumId w:val="38"/>
  </w:num>
  <w:num w:numId="16">
    <w:abstractNumId w:val="15"/>
  </w:num>
  <w:num w:numId="17">
    <w:abstractNumId w:val="37"/>
  </w:num>
  <w:num w:numId="18">
    <w:abstractNumId w:val="42"/>
  </w:num>
  <w:num w:numId="19">
    <w:abstractNumId w:val="9"/>
  </w:num>
  <w:num w:numId="20">
    <w:abstractNumId w:val="34"/>
  </w:num>
  <w:num w:numId="21">
    <w:abstractNumId w:val="26"/>
  </w:num>
  <w:num w:numId="22">
    <w:abstractNumId w:val="40"/>
  </w:num>
  <w:num w:numId="23">
    <w:abstractNumId w:val="24"/>
  </w:num>
  <w:num w:numId="24">
    <w:abstractNumId w:val="33"/>
  </w:num>
  <w:num w:numId="25">
    <w:abstractNumId w:val="5"/>
  </w:num>
  <w:num w:numId="26">
    <w:abstractNumId w:val="35"/>
  </w:num>
  <w:num w:numId="27">
    <w:abstractNumId w:val="2"/>
  </w:num>
  <w:num w:numId="28">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10"/>
  </w:num>
  <w:num w:numId="31">
    <w:abstractNumId w:val="39"/>
  </w:num>
  <w:num w:numId="32">
    <w:abstractNumId w:val="17"/>
    <w:lvlOverride w:ilvl="0">
      <w:lvl w:ilvl="0">
        <w:start w:val="16"/>
        <w:numFmt w:val="decimal"/>
        <w:lvlText w:val="%1."/>
        <w:legacy w:legacy="1" w:legacySpace="0" w:legacyIndent="360"/>
        <w:lvlJc w:val="left"/>
        <w:rPr>
          <w:rFonts w:ascii="Arial" w:hAnsi="Arial" w:cs="Arial" w:hint="default"/>
        </w:rPr>
      </w:lvl>
    </w:lvlOverride>
  </w:num>
  <w:num w:numId="33">
    <w:abstractNumId w:val="7"/>
  </w:num>
  <w:num w:numId="34">
    <w:abstractNumId w:val="0"/>
    <w:lvlOverride w:ilvl="0">
      <w:lvl w:ilvl="0">
        <w:numFmt w:val="bullet"/>
        <w:lvlText w:val="•"/>
        <w:legacy w:legacy="1" w:legacySpace="0" w:legacyIndent="351"/>
        <w:lvlJc w:val="left"/>
        <w:rPr>
          <w:rFonts w:ascii="Arial" w:hAnsi="Arial" w:hint="default"/>
        </w:rPr>
      </w:lvl>
    </w:lvlOverride>
  </w:num>
  <w:num w:numId="35">
    <w:abstractNumId w:val="41"/>
  </w:num>
  <w:num w:numId="36">
    <w:abstractNumId w:val="12"/>
  </w:num>
  <w:num w:numId="37">
    <w:abstractNumId w:val="11"/>
  </w:num>
  <w:num w:numId="38">
    <w:abstractNumId w:val="0"/>
    <w:lvlOverride w:ilvl="0">
      <w:lvl w:ilvl="0">
        <w:numFmt w:val="bullet"/>
        <w:lvlText w:val="-"/>
        <w:legacy w:legacy="1" w:legacySpace="0" w:legacyIndent="124"/>
        <w:lvlJc w:val="left"/>
        <w:rPr>
          <w:rFonts w:ascii="Arial" w:hAnsi="Arial" w:hint="default"/>
        </w:rPr>
      </w:lvl>
    </w:lvlOverride>
  </w:num>
  <w:num w:numId="39">
    <w:abstractNumId w:val="13"/>
  </w:num>
  <w:num w:numId="40">
    <w:abstractNumId w:val="31"/>
  </w:num>
  <w:num w:numId="41">
    <w:abstractNumId w:val="1"/>
  </w:num>
  <w:num w:numId="42">
    <w:abstractNumId w:val="16"/>
  </w:num>
  <w:num w:numId="43">
    <w:abstractNumId w:val="20"/>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4F6D"/>
    <w:rsid w:val="00007F91"/>
    <w:rsid w:val="00011357"/>
    <w:rsid w:val="000219B0"/>
    <w:rsid w:val="00022823"/>
    <w:rsid w:val="00024A76"/>
    <w:rsid w:val="00026B42"/>
    <w:rsid w:val="00026C8E"/>
    <w:rsid w:val="00041F4B"/>
    <w:rsid w:val="00043CA2"/>
    <w:rsid w:val="00044353"/>
    <w:rsid w:val="0004467E"/>
    <w:rsid w:val="00053232"/>
    <w:rsid w:val="00054FCC"/>
    <w:rsid w:val="00060F2D"/>
    <w:rsid w:val="000628A9"/>
    <w:rsid w:val="00071205"/>
    <w:rsid w:val="000717A9"/>
    <w:rsid w:val="000762A4"/>
    <w:rsid w:val="00092F38"/>
    <w:rsid w:val="00093681"/>
    <w:rsid w:val="00094683"/>
    <w:rsid w:val="000952AF"/>
    <w:rsid w:val="000A50C9"/>
    <w:rsid w:val="000A58B0"/>
    <w:rsid w:val="000C270A"/>
    <w:rsid w:val="000C4783"/>
    <w:rsid w:val="000C5A44"/>
    <w:rsid w:val="000D18CF"/>
    <w:rsid w:val="000E02AF"/>
    <w:rsid w:val="000F3523"/>
    <w:rsid w:val="001017C9"/>
    <w:rsid w:val="0010330C"/>
    <w:rsid w:val="00105066"/>
    <w:rsid w:val="00114941"/>
    <w:rsid w:val="001211F4"/>
    <w:rsid w:val="00124529"/>
    <w:rsid w:val="0013279A"/>
    <w:rsid w:val="001418F3"/>
    <w:rsid w:val="001457E8"/>
    <w:rsid w:val="00156798"/>
    <w:rsid w:val="00162BE8"/>
    <w:rsid w:val="00163840"/>
    <w:rsid w:val="0017388D"/>
    <w:rsid w:val="0017486C"/>
    <w:rsid w:val="0017668A"/>
    <w:rsid w:val="001800FE"/>
    <w:rsid w:val="00193DB1"/>
    <w:rsid w:val="001953D2"/>
    <w:rsid w:val="001A3C7C"/>
    <w:rsid w:val="001A40E9"/>
    <w:rsid w:val="001A6FDB"/>
    <w:rsid w:val="001A7055"/>
    <w:rsid w:val="001B02C8"/>
    <w:rsid w:val="001B23B9"/>
    <w:rsid w:val="001D0D65"/>
    <w:rsid w:val="001D135B"/>
    <w:rsid w:val="001D529C"/>
    <w:rsid w:val="001D56A7"/>
    <w:rsid w:val="001E0455"/>
    <w:rsid w:val="001E738D"/>
    <w:rsid w:val="00201BFC"/>
    <w:rsid w:val="00207D7B"/>
    <w:rsid w:val="002161C9"/>
    <w:rsid w:val="00220A47"/>
    <w:rsid w:val="00220C72"/>
    <w:rsid w:val="00224E40"/>
    <w:rsid w:val="002265F5"/>
    <w:rsid w:val="00227A5A"/>
    <w:rsid w:val="00241E4F"/>
    <w:rsid w:val="00242A42"/>
    <w:rsid w:val="0025671D"/>
    <w:rsid w:val="00256A8A"/>
    <w:rsid w:val="002631B5"/>
    <w:rsid w:val="00264631"/>
    <w:rsid w:val="00265049"/>
    <w:rsid w:val="00272C05"/>
    <w:rsid w:val="00273045"/>
    <w:rsid w:val="00275C59"/>
    <w:rsid w:val="002829AE"/>
    <w:rsid w:val="00283568"/>
    <w:rsid w:val="002A054F"/>
    <w:rsid w:val="002A2698"/>
    <w:rsid w:val="002A6FDC"/>
    <w:rsid w:val="002C3105"/>
    <w:rsid w:val="002C322F"/>
    <w:rsid w:val="002C7E62"/>
    <w:rsid w:val="002D3AED"/>
    <w:rsid w:val="002E4EB8"/>
    <w:rsid w:val="002F1C2A"/>
    <w:rsid w:val="002F5712"/>
    <w:rsid w:val="003031C7"/>
    <w:rsid w:val="00303575"/>
    <w:rsid w:val="003036FA"/>
    <w:rsid w:val="00303B4C"/>
    <w:rsid w:val="00304904"/>
    <w:rsid w:val="00304ED8"/>
    <w:rsid w:val="00320814"/>
    <w:rsid w:val="00321B5A"/>
    <w:rsid w:val="003255CD"/>
    <w:rsid w:val="003371E6"/>
    <w:rsid w:val="00347E96"/>
    <w:rsid w:val="00350871"/>
    <w:rsid w:val="00354C74"/>
    <w:rsid w:val="0035589C"/>
    <w:rsid w:val="003577D5"/>
    <w:rsid w:val="003628A1"/>
    <w:rsid w:val="003632C4"/>
    <w:rsid w:val="00364AA4"/>
    <w:rsid w:val="00376853"/>
    <w:rsid w:val="0037717D"/>
    <w:rsid w:val="00380DE0"/>
    <w:rsid w:val="00393EFD"/>
    <w:rsid w:val="0039423F"/>
    <w:rsid w:val="003A719A"/>
    <w:rsid w:val="003B140B"/>
    <w:rsid w:val="003B2788"/>
    <w:rsid w:val="003B3CCA"/>
    <w:rsid w:val="003C0033"/>
    <w:rsid w:val="003C5ACF"/>
    <w:rsid w:val="003C7C99"/>
    <w:rsid w:val="003D20B5"/>
    <w:rsid w:val="003E37C5"/>
    <w:rsid w:val="003F6ED5"/>
    <w:rsid w:val="00400B15"/>
    <w:rsid w:val="00402D08"/>
    <w:rsid w:val="00405FA8"/>
    <w:rsid w:val="00412A0E"/>
    <w:rsid w:val="00412E51"/>
    <w:rsid w:val="0041312F"/>
    <w:rsid w:val="00416206"/>
    <w:rsid w:val="00420659"/>
    <w:rsid w:val="004212AE"/>
    <w:rsid w:val="0042418C"/>
    <w:rsid w:val="00427787"/>
    <w:rsid w:val="00427A32"/>
    <w:rsid w:val="00427F67"/>
    <w:rsid w:val="00432E22"/>
    <w:rsid w:val="00437E28"/>
    <w:rsid w:val="004411CF"/>
    <w:rsid w:val="004446D4"/>
    <w:rsid w:val="0044484E"/>
    <w:rsid w:val="00455D00"/>
    <w:rsid w:val="00461CC3"/>
    <w:rsid w:val="00463B62"/>
    <w:rsid w:val="00466C22"/>
    <w:rsid w:val="00476C84"/>
    <w:rsid w:val="00477283"/>
    <w:rsid w:val="00484506"/>
    <w:rsid w:val="004854CA"/>
    <w:rsid w:val="00492DFE"/>
    <w:rsid w:val="0049591F"/>
    <w:rsid w:val="00496092"/>
    <w:rsid w:val="00496726"/>
    <w:rsid w:val="004A2A4C"/>
    <w:rsid w:val="004B067A"/>
    <w:rsid w:val="004B394F"/>
    <w:rsid w:val="004B3AA8"/>
    <w:rsid w:val="004B6E2B"/>
    <w:rsid w:val="004C0236"/>
    <w:rsid w:val="004C18A1"/>
    <w:rsid w:val="004C790B"/>
    <w:rsid w:val="004D3EB9"/>
    <w:rsid w:val="004D67DA"/>
    <w:rsid w:val="004D74BA"/>
    <w:rsid w:val="004E1073"/>
    <w:rsid w:val="004E1404"/>
    <w:rsid w:val="004E2534"/>
    <w:rsid w:val="004E683B"/>
    <w:rsid w:val="004F59BF"/>
    <w:rsid w:val="004F6707"/>
    <w:rsid w:val="00500E14"/>
    <w:rsid w:val="0050370D"/>
    <w:rsid w:val="005050F3"/>
    <w:rsid w:val="005110BD"/>
    <w:rsid w:val="0051244E"/>
    <w:rsid w:val="0051384B"/>
    <w:rsid w:val="00517271"/>
    <w:rsid w:val="00517964"/>
    <w:rsid w:val="00526912"/>
    <w:rsid w:val="00531BFF"/>
    <w:rsid w:val="00534751"/>
    <w:rsid w:val="00544AB5"/>
    <w:rsid w:val="005503FD"/>
    <w:rsid w:val="005545A6"/>
    <w:rsid w:val="00564808"/>
    <w:rsid w:val="00576B50"/>
    <w:rsid w:val="00577745"/>
    <w:rsid w:val="005830A7"/>
    <w:rsid w:val="00583FD6"/>
    <w:rsid w:val="00593929"/>
    <w:rsid w:val="00594306"/>
    <w:rsid w:val="005A5207"/>
    <w:rsid w:val="005A5468"/>
    <w:rsid w:val="005B1984"/>
    <w:rsid w:val="005B36DF"/>
    <w:rsid w:val="005C28C5"/>
    <w:rsid w:val="005D0EF2"/>
    <w:rsid w:val="005D44E4"/>
    <w:rsid w:val="005E0659"/>
    <w:rsid w:val="005E30AC"/>
    <w:rsid w:val="005E4182"/>
    <w:rsid w:val="005E4AE5"/>
    <w:rsid w:val="005E54C6"/>
    <w:rsid w:val="006010DC"/>
    <w:rsid w:val="0060386E"/>
    <w:rsid w:val="00614F6D"/>
    <w:rsid w:val="00615E1C"/>
    <w:rsid w:val="00622873"/>
    <w:rsid w:val="00624D04"/>
    <w:rsid w:val="0063364F"/>
    <w:rsid w:val="00635183"/>
    <w:rsid w:val="00635EB1"/>
    <w:rsid w:val="00637F35"/>
    <w:rsid w:val="006438AD"/>
    <w:rsid w:val="00643FF5"/>
    <w:rsid w:val="0064735A"/>
    <w:rsid w:val="00647D5F"/>
    <w:rsid w:val="006519DB"/>
    <w:rsid w:val="00653414"/>
    <w:rsid w:val="00655066"/>
    <w:rsid w:val="00664260"/>
    <w:rsid w:val="0066711E"/>
    <w:rsid w:val="0067620F"/>
    <w:rsid w:val="00680FDF"/>
    <w:rsid w:val="0068629F"/>
    <w:rsid w:val="006A4A54"/>
    <w:rsid w:val="006B0011"/>
    <w:rsid w:val="006B323C"/>
    <w:rsid w:val="006C14A6"/>
    <w:rsid w:val="006C15D5"/>
    <w:rsid w:val="006C1BED"/>
    <w:rsid w:val="006C48D6"/>
    <w:rsid w:val="006D291B"/>
    <w:rsid w:val="006D4633"/>
    <w:rsid w:val="006D5DBD"/>
    <w:rsid w:val="006D6F7D"/>
    <w:rsid w:val="006F22A9"/>
    <w:rsid w:val="00703ACF"/>
    <w:rsid w:val="00703F4E"/>
    <w:rsid w:val="00704C2C"/>
    <w:rsid w:val="00704DFA"/>
    <w:rsid w:val="00707665"/>
    <w:rsid w:val="007077D4"/>
    <w:rsid w:val="0071214A"/>
    <w:rsid w:val="00712591"/>
    <w:rsid w:val="0072421E"/>
    <w:rsid w:val="0072523A"/>
    <w:rsid w:val="00725B79"/>
    <w:rsid w:val="00732E9A"/>
    <w:rsid w:val="0074042A"/>
    <w:rsid w:val="00740D81"/>
    <w:rsid w:val="007531E2"/>
    <w:rsid w:val="00753F25"/>
    <w:rsid w:val="0075654D"/>
    <w:rsid w:val="007703E6"/>
    <w:rsid w:val="00772E47"/>
    <w:rsid w:val="00777825"/>
    <w:rsid w:val="007804F6"/>
    <w:rsid w:val="0078617D"/>
    <w:rsid w:val="00795CB5"/>
    <w:rsid w:val="007A1449"/>
    <w:rsid w:val="007B1830"/>
    <w:rsid w:val="007B3649"/>
    <w:rsid w:val="007B3B70"/>
    <w:rsid w:val="007B59E9"/>
    <w:rsid w:val="007B5F8E"/>
    <w:rsid w:val="007C244A"/>
    <w:rsid w:val="007C44CF"/>
    <w:rsid w:val="007C683E"/>
    <w:rsid w:val="007D04BA"/>
    <w:rsid w:val="007D162A"/>
    <w:rsid w:val="007D6B2B"/>
    <w:rsid w:val="007E0112"/>
    <w:rsid w:val="007E263F"/>
    <w:rsid w:val="007F1513"/>
    <w:rsid w:val="007F7619"/>
    <w:rsid w:val="0080288E"/>
    <w:rsid w:val="00804981"/>
    <w:rsid w:val="008053B1"/>
    <w:rsid w:val="00806F7D"/>
    <w:rsid w:val="00821ED4"/>
    <w:rsid w:val="008342F5"/>
    <w:rsid w:val="00834DE0"/>
    <w:rsid w:val="008352B3"/>
    <w:rsid w:val="00840A64"/>
    <w:rsid w:val="00843605"/>
    <w:rsid w:val="00844048"/>
    <w:rsid w:val="00847F1E"/>
    <w:rsid w:val="008504D7"/>
    <w:rsid w:val="008514B4"/>
    <w:rsid w:val="00851C54"/>
    <w:rsid w:val="00855239"/>
    <w:rsid w:val="008557B7"/>
    <w:rsid w:val="008567B4"/>
    <w:rsid w:val="00862979"/>
    <w:rsid w:val="008655BD"/>
    <w:rsid w:val="00867752"/>
    <w:rsid w:val="00874BE3"/>
    <w:rsid w:val="0087782F"/>
    <w:rsid w:val="008859B4"/>
    <w:rsid w:val="008873B9"/>
    <w:rsid w:val="0089672A"/>
    <w:rsid w:val="008A0233"/>
    <w:rsid w:val="008A04C8"/>
    <w:rsid w:val="008A2E7E"/>
    <w:rsid w:val="008B03ED"/>
    <w:rsid w:val="008B67FE"/>
    <w:rsid w:val="008B6825"/>
    <w:rsid w:val="008C11C5"/>
    <w:rsid w:val="008C7ADC"/>
    <w:rsid w:val="008E0E10"/>
    <w:rsid w:val="008E67BB"/>
    <w:rsid w:val="009047F5"/>
    <w:rsid w:val="00904B15"/>
    <w:rsid w:val="00904E69"/>
    <w:rsid w:val="009056AD"/>
    <w:rsid w:val="00910E95"/>
    <w:rsid w:val="0091283E"/>
    <w:rsid w:val="00913301"/>
    <w:rsid w:val="00916299"/>
    <w:rsid w:val="00920471"/>
    <w:rsid w:val="009205E3"/>
    <w:rsid w:val="00922FBE"/>
    <w:rsid w:val="00925810"/>
    <w:rsid w:val="00925CC7"/>
    <w:rsid w:val="0093792B"/>
    <w:rsid w:val="00950498"/>
    <w:rsid w:val="00953888"/>
    <w:rsid w:val="0098782E"/>
    <w:rsid w:val="00995AC0"/>
    <w:rsid w:val="009961CF"/>
    <w:rsid w:val="009A7E86"/>
    <w:rsid w:val="009B3E6C"/>
    <w:rsid w:val="009C119F"/>
    <w:rsid w:val="009C7E94"/>
    <w:rsid w:val="009D04B7"/>
    <w:rsid w:val="009E7DF1"/>
    <w:rsid w:val="009F46A7"/>
    <w:rsid w:val="009F582C"/>
    <w:rsid w:val="009F76B4"/>
    <w:rsid w:val="00A00FA5"/>
    <w:rsid w:val="00A02D45"/>
    <w:rsid w:val="00A11024"/>
    <w:rsid w:val="00A35269"/>
    <w:rsid w:val="00A64992"/>
    <w:rsid w:val="00A67FFB"/>
    <w:rsid w:val="00A808ED"/>
    <w:rsid w:val="00A81987"/>
    <w:rsid w:val="00A85BD3"/>
    <w:rsid w:val="00A911FE"/>
    <w:rsid w:val="00A93AD5"/>
    <w:rsid w:val="00AA023D"/>
    <w:rsid w:val="00AA7F2D"/>
    <w:rsid w:val="00AC23A3"/>
    <w:rsid w:val="00AD7A78"/>
    <w:rsid w:val="00AE2B4A"/>
    <w:rsid w:val="00AE33C7"/>
    <w:rsid w:val="00AE56E2"/>
    <w:rsid w:val="00AE5B06"/>
    <w:rsid w:val="00AF1397"/>
    <w:rsid w:val="00AF65E5"/>
    <w:rsid w:val="00B01989"/>
    <w:rsid w:val="00B04E97"/>
    <w:rsid w:val="00B11EFF"/>
    <w:rsid w:val="00B27945"/>
    <w:rsid w:val="00B27E4B"/>
    <w:rsid w:val="00B31313"/>
    <w:rsid w:val="00B32697"/>
    <w:rsid w:val="00B32715"/>
    <w:rsid w:val="00B36500"/>
    <w:rsid w:val="00B45376"/>
    <w:rsid w:val="00B472BD"/>
    <w:rsid w:val="00B53DFC"/>
    <w:rsid w:val="00B54D02"/>
    <w:rsid w:val="00B61F26"/>
    <w:rsid w:val="00B66DEC"/>
    <w:rsid w:val="00B67057"/>
    <w:rsid w:val="00B6744F"/>
    <w:rsid w:val="00B72543"/>
    <w:rsid w:val="00B750CB"/>
    <w:rsid w:val="00B76720"/>
    <w:rsid w:val="00B76AB7"/>
    <w:rsid w:val="00B80CD2"/>
    <w:rsid w:val="00B80DBF"/>
    <w:rsid w:val="00B84E7A"/>
    <w:rsid w:val="00B86B69"/>
    <w:rsid w:val="00B911AB"/>
    <w:rsid w:val="00B97387"/>
    <w:rsid w:val="00BA1C94"/>
    <w:rsid w:val="00BA3559"/>
    <w:rsid w:val="00BA41C4"/>
    <w:rsid w:val="00BA6FBA"/>
    <w:rsid w:val="00BB0796"/>
    <w:rsid w:val="00BB11A9"/>
    <w:rsid w:val="00BB1F37"/>
    <w:rsid w:val="00BB4B74"/>
    <w:rsid w:val="00BC0837"/>
    <w:rsid w:val="00BC13C6"/>
    <w:rsid w:val="00BC4B43"/>
    <w:rsid w:val="00BD52C8"/>
    <w:rsid w:val="00BF18CE"/>
    <w:rsid w:val="00BF2A9A"/>
    <w:rsid w:val="00BF51E6"/>
    <w:rsid w:val="00BF5231"/>
    <w:rsid w:val="00C03BC2"/>
    <w:rsid w:val="00C04B0A"/>
    <w:rsid w:val="00C066BD"/>
    <w:rsid w:val="00C10008"/>
    <w:rsid w:val="00C12C26"/>
    <w:rsid w:val="00C162F0"/>
    <w:rsid w:val="00C1721C"/>
    <w:rsid w:val="00C25C91"/>
    <w:rsid w:val="00C262F6"/>
    <w:rsid w:val="00C47B37"/>
    <w:rsid w:val="00C5649E"/>
    <w:rsid w:val="00C57AFD"/>
    <w:rsid w:val="00C57D20"/>
    <w:rsid w:val="00C715EB"/>
    <w:rsid w:val="00C72A27"/>
    <w:rsid w:val="00C76628"/>
    <w:rsid w:val="00C84A00"/>
    <w:rsid w:val="00C87259"/>
    <w:rsid w:val="00C87579"/>
    <w:rsid w:val="00CA793C"/>
    <w:rsid w:val="00CB4CE5"/>
    <w:rsid w:val="00CC2CC5"/>
    <w:rsid w:val="00CD0EBA"/>
    <w:rsid w:val="00CE2A1B"/>
    <w:rsid w:val="00CE4F52"/>
    <w:rsid w:val="00CE5518"/>
    <w:rsid w:val="00CF0D33"/>
    <w:rsid w:val="00CF6312"/>
    <w:rsid w:val="00CF6C5D"/>
    <w:rsid w:val="00CF6E16"/>
    <w:rsid w:val="00D15A38"/>
    <w:rsid w:val="00D21507"/>
    <w:rsid w:val="00D23098"/>
    <w:rsid w:val="00D24354"/>
    <w:rsid w:val="00D279F4"/>
    <w:rsid w:val="00D36C21"/>
    <w:rsid w:val="00D511DA"/>
    <w:rsid w:val="00D528ED"/>
    <w:rsid w:val="00D543E7"/>
    <w:rsid w:val="00D61447"/>
    <w:rsid w:val="00D622C8"/>
    <w:rsid w:val="00D646D9"/>
    <w:rsid w:val="00D647E0"/>
    <w:rsid w:val="00D71DE8"/>
    <w:rsid w:val="00D74FC1"/>
    <w:rsid w:val="00D76F3B"/>
    <w:rsid w:val="00D839BB"/>
    <w:rsid w:val="00D867B8"/>
    <w:rsid w:val="00D87C46"/>
    <w:rsid w:val="00D90373"/>
    <w:rsid w:val="00D942AF"/>
    <w:rsid w:val="00DA72C3"/>
    <w:rsid w:val="00DB026F"/>
    <w:rsid w:val="00DB414E"/>
    <w:rsid w:val="00DC5DF1"/>
    <w:rsid w:val="00DC66BA"/>
    <w:rsid w:val="00DC708B"/>
    <w:rsid w:val="00DC7BC0"/>
    <w:rsid w:val="00DD3E1E"/>
    <w:rsid w:val="00DD4FA7"/>
    <w:rsid w:val="00DD6F1C"/>
    <w:rsid w:val="00DF1EED"/>
    <w:rsid w:val="00DF4745"/>
    <w:rsid w:val="00E064D0"/>
    <w:rsid w:val="00E168A5"/>
    <w:rsid w:val="00E233E6"/>
    <w:rsid w:val="00E33315"/>
    <w:rsid w:val="00E33940"/>
    <w:rsid w:val="00E33B11"/>
    <w:rsid w:val="00E36139"/>
    <w:rsid w:val="00E424FC"/>
    <w:rsid w:val="00E43D47"/>
    <w:rsid w:val="00E46205"/>
    <w:rsid w:val="00E47627"/>
    <w:rsid w:val="00E51B22"/>
    <w:rsid w:val="00E52887"/>
    <w:rsid w:val="00E53371"/>
    <w:rsid w:val="00E534ED"/>
    <w:rsid w:val="00E53534"/>
    <w:rsid w:val="00E55FD8"/>
    <w:rsid w:val="00E6125C"/>
    <w:rsid w:val="00E62EE2"/>
    <w:rsid w:val="00E66944"/>
    <w:rsid w:val="00E67DF6"/>
    <w:rsid w:val="00E761D1"/>
    <w:rsid w:val="00E76F26"/>
    <w:rsid w:val="00E77ADA"/>
    <w:rsid w:val="00E845E7"/>
    <w:rsid w:val="00E86D79"/>
    <w:rsid w:val="00E90B04"/>
    <w:rsid w:val="00E96B26"/>
    <w:rsid w:val="00EA4023"/>
    <w:rsid w:val="00EA7226"/>
    <w:rsid w:val="00EB05F1"/>
    <w:rsid w:val="00EB35C0"/>
    <w:rsid w:val="00EB379D"/>
    <w:rsid w:val="00EC1223"/>
    <w:rsid w:val="00ED2BE2"/>
    <w:rsid w:val="00EE0E33"/>
    <w:rsid w:val="00EE3810"/>
    <w:rsid w:val="00EE3E5A"/>
    <w:rsid w:val="00F00C65"/>
    <w:rsid w:val="00F01F14"/>
    <w:rsid w:val="00F02942"/>
    <w:rsid w:val="00F03D5D"/>
    <w:rsid w:val="00F0619D"/>
    <w:rsid w:val="00F10075"/>
    <w:rsid w:val="00F12A56"/>
    <w:rsid w:val="00F31FDA"/>
    <w:rsid w:val="00F33576"/>
    <w:rsid w:val="00F44936"/>
    <w:rsid w:val="00F46597"/>
    <w:rsid w:val="00F46F6F"/>
    <w:rsid w:val="00F514CB"/>
    <w:rsid w:val="00F519BD"/>
    <w:rsid w:val="00F53118"/>
    <w:rsid w:val="00F60A1D"/>
    <w:rsid w:val="00F6692E"/>
    <w:rsid w:val="00F675BF"/>
    <w:rsid w:val="00F70332"/>
    <w:rsid w:val="00F7079D"/>
    <w:rsid w:val="00F707CF"/>
    <w:rsid w:val="00F74E74"/>
    <w:rsid w:val="00F75190"/>
    <w:rsid w:val="00F82358"/>
    <w:rsid w:val="00F8484F"/>
    <w:rsid w:val="00F86F88"/>
    <w:rsid w:val="00F93D6A"/>
    <w:rsid w:val="00F95654"/>
    <w:rsid w:val="00FA485F"/>
    <w:rsid w:val="00FA594C"/>
    <w:rsid w:val="00FA67A7"/>
    <w:rsid w:val="00FB741D"/>
    <w:rsid w:val="00FB7628"/>
    <w:rsid w:val="00FC18DF"/>
    <w:rsid w:val="00FC65E0"/>
    <w:rsid w:val="00FD0769"/>
    <w:rsid w:val="00FD3FA2"/>
    <w:rsid w:val="00FD3FAE"/>
    <w:rsid w:val="00FD6854"/>
    <w:rsid w:val="00FD7E54"/>
    <w:rsid w:val="00FF06EF"/>
    <w:rsid w:val="00FF193E"/>
  </w:rsids>
  <m:mathPr>
    <m:mathFont m:val="Cambria Math"/>
    <m:brkBin m:val="before"/>
    <m:brkBinSub m:val="--"/>
    <m:smallFrac m:val="0"/>
    <m:dispDef/>
    <m:lMargin m:val="0"/>
    <m:rMargin m:val="0"/>
    <m:defJc m:val="centerGroup"/>
    <m:wrapIndent m:val="1440"/>
    <m:intLim m:val="subSup"/>
    <m:naryLim m:val="undOvr"/>
  </m:mathPr>
  <w:themeFontLang w:val="pl-P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CD0BF0E"/>
  <w15:docId w15:val="{2504AE87-A2C9-42C3-951F-A1DED9E1AB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614F6D"/>
    <w:pPr>
      <w:jc w:val="both"/>
    </w:pPr>
    <w:rPr>
      <w:rFonts w:ascii="Arial" w:hAnsi="Arial"/>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2">
    <w:name w:val="Body Text Indent 2"/>
    <w:basedOn w:val="Normalny"/>
    <w:link w:val="Tekstpodstawowywcity2Znak"/>
    <w:rsid w:val="00CE2A1B"/>
    <w:pPr>
      <w:tabs>
        <w:tab w:val="left" w:pos="1701"/>
      </w:tabs>
      <w:spacing w:after="120" w:line="480" w:lineRule="auto"/>
      <w:ind w:left="283"/>
      <w:jc w:val="left"/>
    </w:pPr>
    <w:rPr>
      <w:sz w:val="22"/>
    </w:rPr>
  </w:style>
  <w:style w:type="character" w:customStyle="1" w:styleId="Tekstpodstawowywcity2Znak">
    <w:name w:val="Tekst podstawowy wcięty 2 Znak"/>
    <w:link w:val="Tekstpodstawowywcity2"/>
    <w:rsid w:val="00CE2A1B"/>
    <w:rPr>
      <w:rFonts w:ascii="Arial" w:hAnsi="Arial"/>
      <w:sz w:val="22"/>
      <w:szCs w:val="24"/>
      <w:lang w:val="pl-PL" w:eastAsia="pl-PL" w:bidi="ar-SA"/>
    </w:rPr>
  </w:style>
  <w:style w:type="paragraph" w:styleId="Tekstdymka">
    <w:name w:val="Balloon Text"/>
    <w:basedOn w:val="Normalny"/>
    <w:link w:val="TekstdymkaZnak"/>
    <w:rsid w:val="00E90B04"/>
    <w:rPr>
      <w:rFonts w:ascii="Tahoma" w:hAnsi="Tahoma"/>
      <w:sz w:val="16"/>
      <w:szCs w:val="16"/>
      <w:lang w:val="x-none" w:eastAsia="x-none"/>
    </w:rPr>
  </w:style>
  <w:style w:type="character" w:customStyle="1" w:styleId="TekstdymkaZnak">
    <w:name w:val="Tekst dymka Znak"/>
    <w:link w:val="Tekstdymka"/>
    <w:rsid w:val="00E90B04"/>
    <w:rPr>
      <w:rFonts w:ascii="Tahoma" w:hAnsi="Tahoma" w:cs="Tahoma"/>
      <w:sz w:val="16"/>
      <w:szCs w:val="16"/>
    </w:rPr>
  </w:style>
  <w:style w:type="character" w:styleId="Odwoaniedokomentarza">
    <w:name w:val="annotation reference"/>
    <w:uiPriority w:val="99"/>
    <w:rsid w:val="008053B1"/>
    <w:rPr>
      <w:sz w:val="16"/>
      <w:szCs w:val="16"/>
    </w:rPr>
  </w:style>
  <w:style w:type="paragraph" w:styleId="Tekstkomentarza">
    <w:name w:val="annotation text"/>
    <w:basedOn w:val="Normalny"/>
    <w:link w:val="TekstkomentarzaZnak"/>
    <w:uiPriority w:val="99"/>
    <w:rsid w:val="008053B1"/>
    <w:rPr>
      <w:szCs w:val="20"/>
      <w:lang w:val="x-none" w:eastAsia="x-none"/>
    </w:rPr>
  </w:style>
  <w:style w:type="character" w:customStyle="1" w:styleId="TekstkomentarzaZnak">
    <w:name w:val="Tekst komentarza Znak"/>
    <w:link w:val="Tekstkomentarza"/>
    <w:uiPriority w:val="99"/>
    <w:rsid w:val="008053B1"/>
    <w:rPr>
      <w:rFonts w:ascii="Arial" w:hAnsi="Arial"/>
    </w:rPr>
  </w:style>
  <w:style w:type="paragraph" w:styleId="Tematkomentarza">
    <w:name w:val="annotation subject"/>
    <w:basedOn w:val="Tekstkomentarza"/>
    <w:next w:val="Tekstkomentarza"/>
    <w:link w:val="TematkomentarzaZnak"/>
    <w:rsid w:val="008053B1"/>
    <w:rPr>
      <w:b/>
      <w:bCs/>
    </w:rPr>
  </w:style>
  <w:style w:type="character" w:customStyle="1" w:styleId="TematkomentarzaZnak">
    <w:name w:val="Temat komentarza Znak"/>
    <w:link w:val="Tematkomentarza"/>
    <w:rsid w:val="008053B1"/>
    <w:rPr>
      <w:rFonts w:ascii="Arial" w:hAnsi="Arial"/>
      <w:b/>
      <w:bCs/>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2"/>
    <w:basedOn w:val="Normalny"/>
    <w:link w:val="NagwekZnak"/>
    <w:rsid w:val="00925810"/>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2 Znak"/>
    <w:link w:val="Nagwek"/>
    <w:rsid w:val="00925810"/>
    <w:rPr>
      <w:rFonts w:ascii="Arial" w:hAnsi="Arial"/>
      <w:szCs w:val="24"/>
    </w:rPr>
  </w:style>
  <w:style w:type="paragraph" w:styleId="Stopka">
    <w:name w:val="footer"/>
    <w:basedOn w:val="Normalny"/>
    <w:link w:val="StopkaZnak"/>
    <w:rsid w:val="00925810"/>
    <w:pPr>
      <w:tabs>
        <w:tab w:val="center" w:pos="4536"/>
        <w:tab w:val="right" w:pos="9072"/>
      </w:tabs>
    </w:pPr>
  </w:style>
  <w:style w:type="character" w:customStyle="1" w:styleId="StopkaZnak">
    <w:name w:val="Stopka Znak"/>
    <w:link w:val="Stopka"/>
    <w:rsid w:val="00925810"/>
    <w:rPr>
      <w:rFonts w:ascii="Arial" w:hAnsi="Arial"/>
      <w:szCs w:val="24"/>
    </w:rPr>
  </w:style>
  <w:style w:type="character" w:styleId="Hipercze">
    <w:name w:val="Hyperlink"/>
    <w:uiPriority w:val="99"/>
    <w:unhideWhenUsed/>
    <w:rsid w:val="00BC4B43"/>
    <w:rPr>
      <w:color w:val="0000FF"/>
      <w:u w:val="single"/>
    </w:rPr>
  </w:style>
  <w:style w:type="paragraph" w:styleId="Tekstpodstawowy3">
    <w:name w:val="Body Text 3"/>
    <w:basedOn w:val="Normalny"/>
    <w:link w:val="Tekstpodstawowy3Znak"/>
    <w:rsid w:val="00D90373"/>
    <w:pPr>
      <w:spacing w:after="120"/>
    </w:pPr>
    <w:rPr>
      <w:sz w:val="16"/>
      <w:szCs w:val="16"/>
    </w:rPr>
  </w:style>
  <w:style w:type="character" w:customStyle="1" w:styleId="Tekstpodstawowy3Znak">
    <w:name w:val="Tekst podstawowy 3 Znak"/>
    <w:basedOn w:val="Domylnaczcionkaakapitu"/>
    <w:link w:val="Tekstpodstawowy3"/>
    <w:rsid w:val="00D90373"/>
    <w:rPr>
      <w:rFonts w:ascii="Arial" w:hAnsi="Arial"/>
      <w:sz w:val="16"/>
      <w:szCs w:val="16"/>
    </w:rPr>
  </w:style>
  <w:style w:type="paragraph" w:styleId="Akapitzlist">
    <w:name w:val="List Paragraph"/>
    <w:basedOn w:val="Normalny"/>
    <w:link w:val="AkapitzlistZnak"/>
    <w:uiPriority w:val="34"/>
    <w:qFormat/>
    <w:rsid w:val="00680FDF"/>
    <w:pPr>
      <w:ind w:left="720"/>
      <w:contextualSpacing/>
    </w:pPr>
  </w:style>
  <w:style w:type="paragraph" w:customStyle="1" w:styleId="Style11">
    <w:name w:val="Style11"/>
    <w:basedOn w:val="Normalny"/>
    <w:uiPriority w:val="99"/>
    <w:rsid w:val="00B86B69"/>
    <w:pPr>
      <w:widowControl w:val="0"/>
      <w:autoSpaceDE w:val="0"/>
      <w:autoSpaceDN w:val="0"/>
      <w:adjustRightInd w:val="0"/>
      <w:spacing w:line="232" w:lineRule="exact"/>
      <w:ind w:hanging="350"/>
    </w:pPr>
    <w:rPr>
      <w:rFonts w:ascii="Tahoma" w:eastAsiaTheme="minorEastAsia" w:hAnsi="Tahoma" w:cs="Tahoma"/>
      <w:sz w:val="24"/>
    </w:rPr>
  </w:style>
  <w:style w:type="character" w:customStyle="1" w:styleId="FontStyle57">
    <w:name w:val="Font Style57"/>
    <w:basedOn w:val="Domylnaczcionkaakapitu"/>
    <w:uiPriority w:val="99"/>
    <w:rsid w:val="00B86B69"/>
    <w:rPr>
      <w:rFonts w:ascii="Arial" w:hAnsi="Arial" w:cs="Arial"/>
      <w:color w:val="000000"/>
      <w:sz w:val="18"/>
      <w:szCs w:val="18"/>
    </w:rPr>
  </w:style>
  <w:style w:type="character" w:customStyle="1" w:styleId="FontStyle63">
    <w:name w:val="Font Style63"/>
    <w:uiPriority w:val="99"/>
    <w:rsid w:val="006C48D6"/>
    <w:rPr>
      <w:rFonts w:ascii="Arial" w:hAnsi="Arial" w:cs="Arial"/>
      <w:b/>
      <w:bCs/>
      <w:color w:val="000000"/>
      <w:sz w:val="18"/>
      <w:szCs w:val="18"/>
    </w:rPr>
  </w:style>
  <w:style w:type="paragraph" w:customStyle="1" w:styleId="Style14">
    <w:name w:val="Style14"/>
    <w:basedOn w:val="Normalny"/>
    <w:uiPriority w:val="99"/>
    <w:rsid w:val="007804F6"/>
    <w:pPr>
      <w:widowControl w:val="0"/>
      <w:autoSpaceDE w:val="0"/>
      <w:autoSpaceDN w:val="0"/>
      <w:adjustRightInd w:val="0"/>
      <w:spacing w:line="230" w:lineRule="exact"/>
      <w:ind w:hanging="360"/>
    </w:pPr>
    <w:rPr>
      <w:rFonts w:ascii="Tahoma" w:eastAsiaTheme="minorEastAsia" w:hAnsi="Tahoma" w:cs="Tahoma"/>
      <w:sz w:val="24"/>
    </w:rPr>
  </w:style>
  <w:style w:type="paragraph" w:customStyle="1" w:styleId="Style9">
    <w:name w:val="Style9"/>
    <w:basedOn w:val="Normalny"/>
    <w:uiPriority w:val="99"/>
    <w:rsid w:val="00461CC3"/>
    <w:pPr>
      <w:widowControl w:val="0"/>
      <w:autoSpaceDE w:val="0"/>
      <w:autoSpaceDN w:val="0"/>
      <w:adjustRightInd w:val="0"/>
      <w:jc w:val="left"/>
    </w:pPr>
    <w:rPr>
      <w:rFonts w:ascii="Tahoma" w:eastAsiaTheme="minorEastAsia" w:hAnsi="Tahoma" w:cs="Tahoma"/>
      <w:sz w:val="24"/>
    </w:rPr>
  </w:style>
  <w:style w:type="paragraph" w:customStyle="1" w:styleId="Style13">
    <w:name w:val="Style13"/>
    <w:basedOn w:val="Normalny"/>
    <w:uiPriority w:val="99"/>
    <w:rsid w:val="00461CC3"/>
    <w:pPr>
      <w:widowControl w:val="0"/>
      <w:autoSpaceDE w:val="0"/>
      <w:autoSpaceDN w:val="0"/>
      <w:adjustRightInd w:val="0"/>
      <w:jc w:val="left"/>
    </w:pPr>
    <w:rPr>
      <w:rFonts w:ascii="Tahoma" w:eastAsiaTheme="minorEastAsia" w:hAnsi="Tahoma" w:cs="Tahoma"/>
      <w:sz w:val="24"/>
    </w:rPr>
  </w:style>
  <w:style w:type="paragraph" w:customStyle="1" w:styleId="Style23">
    <w:name w:val="Style23"/>
    <w:basedOn w:val="Normalny"/>
    <w:uiPriority w:val="99"/>
    <w:rsid w:val="00461CC3"/>
    <w:pPr>
      <w:widowControl w:val="0"/>
      <w:autoSpaceDE w:val="0"/>
      <w:autoSpaceDN w:val="0"/>
      <w:adjustRightInd w:val="0"/>
      <w:spacing w:line="230" w:lineRule="exact"/>
      <w:jc w:val="left"/>
    </w:pPr>
    <w:rPr>
      <w:rFonts w:ascii="Tahoma" w:eastAsiaTheme="minorEastAsia" w:hAnsi="Tahoma" w:cs="Tahoma"/>
      <w:sz w:val="24"/>
    </w:rPr>
  </w:style>
  <w:style w:type="character" w:customStyle="1" w:styleId="FontStyle74">
    <w:name w:val="Font Style74"/>
    <w:basedOn w:val="Domylnaczcionkaakapitu"/>
    <w:uiPriority w:val="99"/>
    <w:rsid w:val="00461CC3"/>
    <w:rPr>
      <w:rFonts w:ascii="Tahoma" w:hAnsi="Tahoma" w:cs="Tahoma"/>
      <w:color w:val="000000"/>
      <w:sz w:val="16"/>
      <w:szCs w:val="16"/>
    </w:rPr>
  </w:style>
  <w:style w:type="paragraph" w:customStyle="1" w:styleId="Style27">
    <w:name w:val="Style27"/>
    <w:basedOn w:val="Normalny"/>
    <w:uiPriority w:val="99"/>
    <w:rsid w:val="00461CC3"/>
    <w:pPr>
      <w:widowControl w:val="0"/>
      <w:autoSpaceDE w:val="0"/>
      <w:autoSpaceDN w:val="0"/>
      <w:adjustRightInd w:val="0"/>
      <w:spacing w:line="235" w:lineRule="exact"/>
      <w:ind w:hanging="355"/>
      <w:jc w:val="left"/>
    </w:pPr>
    <w:rPr>
      <w:rFonts w:ascii="Tahoma" w:eastAsiaTheme="minorEastAsia" w:hAnsi="Tahoma" w:cs="Tahoma"/>
      <w:sz w:val="24"/>
    </w:rPr>
  </w:style>
  <w:style w:type="character" w:customStyle="1" w:styleId="FontStyle58">
    <w:name w:val="Font Style58"/>
    <w:basedOn w:val="Domylnaczcionkaakapitu"/>
    <w:uiPriority w:val="99"/>
    <w:rsid w:val="00461CC3"/>
    <w:rPr>
      <w:rFonts w:ascii="Arial" w:hAnsi="Arial" w:cs="Arial"/>
      <w:color w:val="000000"/>
      <w:spacing w:val="-20"/>
      <w:sz w:val="20"/>
      <w:szCs w:val="20"/>
    </w:rPr>
  </w:style>
  <w:style w:type="paragraph" w:customStyle="1" w:styleId="Style4">
    <w:name w:val="Style4"/>
    <w:basedOn w:val="Normalny"/>
    <w:uiPriority w:val="99"/>
    <w:rsid w:val="00F60A1D"/>
    <w:pPr>
      <w:widowControl w:val="0"/>
      <w:autoSpaceDE w:val="0"/>
      <w:autoSpaceDN w:val="0"/>
      <w:adjustRightInd w:val="0"/>
      <w:spacing w:line="232" w:lineRule="exact"/>
    </w:pPr>
    <w:rPr>
      <w:rFonts w:ascii="Tahoma" w:eastAsiaTheme="minorEastAsia" w:hAnsi="Tahoma" w:cs="Tahoma"/>
      <w:sz w:val="24"/>
    </w:rPr>
  </w:style>
  <w:style w:type="paragraph" w:customStyle="1" w:styleId="Style6">
    <w:name w:val="Style6"/>
    <w:basedOn w:val="Normalny"/>
    <w:uiPriority w:val="99"/>
    <w:rsid w:val="00E33B11"/>
    <w:pPr>
      <w:widowControl w:val="0"/>
      <w:autoSpaceDE w:val="0"/>
      <w:autoSpaceDN w:val="0"/>
      <w:adjustRightInd w:val="0"/>
      <w:spacing w:line="268" w:lineRule="exact"/>
      <w:jc w:val="left"/>
    </w:pPr>
    <w:rPr>
      <w:rFonts w:ascii="Tahoma" w:eastAsiaTheme="minorEastAsia" w:hAnsi="Tahoma" w:cs="Tahoma"/>
      <w:sz w:val="24"/>
    </w:rPr>
  </w:style>
  <w:style w:type="paragraph" w:customStyle="1" w:styleId="Style7">
    <w:name w:val="Style7"/>
    <w:basedOn w:val="Normalny"/>
    <w:uiPriority w:val="99"/>
    <w:rsid w:val="00E33B11"/>
    <w:pPr>
      <w:widowControl w:val="0"/>
      <w:autoSpaceDE w:val="0"/>
      <w:autoSpaceDN w:val="0"/>
      <w:adjustRightInd w:val="0"/>
      <w:spacing w:line="355" w:lineRule="exact"/>
    </w:pPr>
    <w:rPr>
      <w:rFonts w:ascii="Tahoma" w:eastAsiaTheme="minorEastAsia" w:hAnsi="Tahoma" w:cs="Tahoma"/>
      <w:sz w:val="24"/>
    </w:rPr>
  </w:style>
  <w:style w:type="paragraph" w:customStyle="1" w:styleId="Style37">
    <w:name w:val="Style37"/>
    <w:basedOn w:val="Normalny"/>
    <w:uiPriority w:val="99"/>
    <w:rsid w:val="00E33B11"/>
    <w:pPr>
      <w:widowControl w:val="0"/>
      <w:autoSpaceDE w:val="0"/>
      <w:autoSpaceDN w:val="0"/>
      <w:adjustRightInd w:val="0"/>
      <w:spacing w:line="230" w:lineRule="exact"/>
    </w:pPr>
    <w:rPr>
      <w:rFonts w:ascii="Tahoma" w:eastAsiaTheme="minorEastAsia" w:hAnsi="Tahoma" w:cs="Tahoma"/>
      <w:sz w:val="24"/>
    </w:rPr>
  </w:style>
  <w:style w:type="paragraph" w:styleId="Listanumerowana">
    <w:name w:val="List Number"/>
    <w:basedOn w:val="Normalny"/>
    <w:rsid w:val="00F70332"/>
    <w:pPr>
      <w:numPr>
        <w:numId w:val="40"/>
      </w:numPr>
    </w:pPr>
    <w:rPr>
      <w:sz w:val="22"/>
    </w:rPr>
  </w:style>
  <w:style w:type="paragraph" w:styleId="Listanumerowana2">
    <w:name w:val="List Number 2"/>
    <w:basedOn w:val="Normalny"/>
    <w:rsid w:val="00F70332"/>
    <w:pPr>
      <w:numPr>
        <w:ilvl w:val="1"/>
        <w:numId w:val="40"/>
      </w:numPr>
    </w:pPr>
    <w:rPr>
      <w:sz w:val="22"/>
    </w:rPr>
  </w:style>
  <w:style w:type="character" w:customStyle="1" w:styleId="AkapitzlistZnak">
    <w:name w:val="Akapit z listą Znak"/>
    <w:link w:val="Akapitzlist"/>
    <w:uiPriority w:val="34"/>
    <w:qFormat/>
    <w:rsid w:val="00577745"/>
    <w:rPr>
      <w:rFonts w:ascii="Arial" w:hAnsi="Arial"/>
      <w:szCs w:val="24"/>
    </w:rPr>
  </w:style>
  <w:style w:type="paragraph" w:customStyle="1" w:styleId="bodytext3">
    <w:name w:val="bodytext3"/>
    <w:basedOn w:val="Normalny"/>
    <w:rsid w:val="00904E69"/>
    <w:pPr>
      <w:spacing w:line="360" w:lineRule="auto"/>
    </w:pPr>
    <w:rPr>
      <w:rFonts w:eastAsia="Arial Unicode MS" w:cs="Arial"/>
      <w:sz w:val="24"/>
    </w:rPr>
  </w:style>
  <w:style w:type="character" w:customStyle="1" w:styleId="NagwekZnak1">
    <w:name w:val="Nagłówek Znak1"/>
    <w:aliases w:val="Nagłówek strony nieparzystej Znak1,Nagłówek strony nieparzystej1 Znak1,Nagłówek strony nieparzystej2 Znak1,Nagłówek strony nieparzystej3 Znak1,Nagłówek strony nieparzystej4 Znak1,Nagłówek strony nieparzystej5 Znak1,Nagłówek strony Znak1"/>
    <w:locked/>
    <w:rsid w:val="0017486C"/>
    <w:rPr>
      <w:sz w:val="24"/>
      <w:szCs w:val="24"/>
    </w:rPr>
  </w:style>
  <w:style w:type="paragraph" w:styleId="Poprawka">
    <w:name w:val="Revision"/>
    <w:hidden/>
    <w:uiPriority w:val="99"/>
    <w:semiHidden/>
    <w:rsid w:val="002161C9"/>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microsoft.com/office/2018/08/relationships/commentsExtensible" Target="commentsExtensible.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FEEA3E-BFE8-41EF-8C6C-A7BD68D03DB3}">
  <ds:schemaRefs>
    <ds:schemaRef ds:uri="http://schemas.openxmlformats.org/officeDocument/2006/bibliography"/>
  </ds:schemaRefs>
</ds:datastoreItem>
</file>

<file path=customXml/itemProps2.xml><?xml version="1.0" encoding="utf-8"?>
<ds:datastoreItem xmlns:ds="http://schemas.openxmlformats.org/officeDocument/2006/customXml" ds:itemID="{018A1615-8083-4180-A991-9FEB4D14576A}">
  <ds:schemaRefs>
    <ds:schemaRef ds:uri="http://schemas.openxmlformats.org/officeDocument/2006/bibliography"/>
  </ds:schemaRefs>
</ds:datastoreItem>
</file>

<file path=customXml/itemProps3.xml><?xml version="1.0" encoding="utf-8"?>
<ds:datastoreItem xmlns:ds="http://schemas.openxmlformats.org/officeDocument/2006/customXml" ds:itemID="{C37AE7B8-6DCF-4D3C-A646-028F31B1F8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8</Pages>
  <Words>3020</Words>
  <Characters>20726</Characters>
  <Application>Microsoft Office Word</Application>
  <DocSecurity>0</DocSecurity>
  <Lines>172</Lines>
  <Paragraphs>47</Paragraphs>
  <ScaleCrop>false</ScaleCrop>
  <HeadingPairs>
    <vt:vector size="2" baseType="variant">
      <vt:variant>
        <vt:lpstr>Tytuł</vt:lpstr>
      </vt:variant>
      <vt:variant>
        <vt:i4>1</vt:i4>
      </vt:variant>
    </vt:vector>
  </HeadingPairs>
  <TitlesOfParts>
    <vt:vector size="1" baseType="lpstr">
      <vt:lpstr/>
    </vt:vector>
  </TitlesOfParts>
  <Company>HP</Company>
  <LinksUpToDate>false</LinksUpToDate>
  <CharactersWithSpaces>23699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Twoja nazwa użytkownika</dc:creator>
  <cp:lastModifiedBy>User</cp:lastModifiedBy>
  <cp:revision>22</cp:revision>
  <cp:lastPrinted>2024-11-19T09:39:00Z</cp:lastPrinted>
  <dcterms:created xsi:type="dcterms:W3CDTF">2024-10-22T06:54:00Z</dcterms:created>
  <dcterms:modified xsi:type="dcterms:W3CDTF">2024-11-26T12:19:00Z</dcterms:modified>
</cp:coreProperties>
</file>