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A0EE" w14:textId="0C915BB5" w:rsidR="002A2087" w:rsidRPr="002E251D" w:rsidRDefault="002A2087" w:rsidP="002A2087">
      <w:pPr>
        <w:widowControl w:val="0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E251D">
        <w:rPr>
          <w:rFonts w:eastAsia="Times New Roman" w:cstheme="minorHAnsi"/>
          <w:snapToGrid w:val="0"/>
          <w:sz w:val="24"/>
          <w:szCs w:val="24"/>
          <w:lang w:eastAsia="pl-PL"/>
        </w:rPr>
        <w:t>Z/DZP/</w:t>
      </w:r>
      <w:r w:rsidR="00EB6027">
        <w:rPr>
          <w:rFonts w:eastAsia="Times New Roman" w:cstheme="minorHAnsi"/>
          <w:snapToGrid w:val="0"/>
          <w:sz w:val="24"/>
          <w:szCs w:val="24"/>
          <w:lang w:eastAsia="pl-PL"/>
        </w:rPr>
        <w:t>130</w:t>
      </w:r>
      <w:r w:rsidRPr="002E25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/2023          </w:t>
      </w:r>
      <w:r w:rsidRPr="002E251D">
        <w:rPr>
          <w:rFonts w:eastAsia="Times New Roman" w:cstheme="minorHAnsi"/>
          <w:snapToGrid w:val="0"/>
          <w:color w:val="FF0000"/>
          <w:sz w:val="24"/>
          <w:szCs w:val="24"/>
          <w:lang w:eastAsia="pl-PL"/>
        </w:rPr>
        <w:tab/>
      </w:r>
      <w:r w:rsidRPr="002E251D">
        <w:rPr>
          <w:rFonts w:eastAsia="Times New Roman" w:cstheme="minorHAnsi"/>
          <w:snapToGrid w:val="0"/>
          <w:color w:val="FF0000"/>
          <w:sz w:val="24"/>
          <w:szCs w:val="24"/>
          <w:lang w:eastAsia="pl-PL"/>
        </w:rPr>
        <w:tab/>
      </w:r>
      <w:r w:rsidRPr="002E251D">
        <w:rPr>
          <w:rFonts w:eastAsia="Times New Roman" w:cstheme="minorHAnsi"/>
          <w:snapToGrid w:val="0"/>
          <w:color w:val="FF0000"/>
          <w:sz w:val="24"/>
          <w:szCs w:val="24"/>
          <w:lang w:eastAsia="pl-PL"/>
        </w:rPr>
        <w:tab/>
      </w:r>
      <w:r w:rsidRPr="002E251D">
        <w:rPr>
          <w:rFonts w:eastAsia="Times New Roman" w:cstheme="minorHAnsi"/>
          <w:snapToGrid w:val="0"/>
          <w:color w:val="FF0000"/>
          <w:sz w:val="24"/>
          <w:szCs w:val="24"/>
          <w:lang w:eastAsia="pl-PL"/>
        </w:rPr>
        <w:tab/>
      </w:r>
      <w:r w:rsidRPr="002E251D">
        <w:rPr>
          <w:rFonts w:eastAsia="Times New Roman" w:cstheme="minorHAnsi"/>
          <w:snapToGrid w:val="0"/>
          <w:color w:val="FF0000"/>
          <w:sz w:val="24"/>
          <w:szCs w:val="24"/>
          <w:lang w:eastAsia="pl-PL"/>
        </w:rPr>
        <w:tab/>
        <w:t xml:space="preserve">       </w:t>
      </w:r>
      <w:r w:rsidRPr="002E251D">
        <w:rPr>
          <w:rFonts w:eastAsia="Times New Roman" w:cstheme="minorHAnsi"/>
          <w:snapToGrid w:val="0"/>
          <w:sz w:val="24"/>
          <w:szCs w:val="24"/>
          <w:lang w:eastAsia="pl-PL"/>
        </w:rPr>
        <w:t>Warszawa, dnia 0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5</w:t>
      </w:r>
      <w:r w:rsidRPr="002E251D">
        <w:rPr>
          <w:rFonts w:eastAsia="Times New Roman" w:cstheme="minorHAnsi"/>
          <w:snapToGrid w:val="0"/>
          <w:sz w:val="24"/>
          <w:szCs w:val="24"/>
          <w:lang w:eastAsia="pl-PL"/>
        </w:rPr>
        <w:t>.06.2023 r.</w:t>
      </w:r>
    </w:p>
    <w:p w14:paraId="3107A81F" w14:textId="77777777" w:rsidR="002A2087" w:rsidRPr="002E251D" w:rsidRDefault="002A2087" w:rsidP="002A2087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DC9890D" w14:textId="77777777" w:rsidR="002A2087" w:rsidRPr="002E251D" w:rsidRDefault="002A2087" w:rsidP="002A2087">
      <w:pPr>
        <w:spacing w:after="0" w:line="271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79B7EC2" w14:textId="77777777" w:rsidR="002A2087" w:rsidRPr="002E251D" w:rsidRDefault="002A2087" w:rsidP="002A2087">
      <w:pPr>
        <w:spacing w:after="0" w:line="271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E25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35A9371" w14:textId="77777777" w:rsidR="002A2087" w:rsidRPr="002E251D" w:rsidRDefault="002A2087" w:rsidP="002A2087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E25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74D75461" w14:textId="77777777" w:rsidR="002A2087" w:rsidRPr="002E251D" w:rsidRDefault="002A2087" w:rsidP="002A2087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E25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3CCF0AC" w14:textId="77777777" w:rsidR="002A2087" w:rsidRPr="002E251D" w:rsidRDefault="002A2087" w:rsidP="002A2087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E25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6839AB75" w14:textId="77777777" w:rsidR="002A2087" w:rsidRPr="002E251D" w:rsidRDefault="002A2087" w:rsidP="002A2087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E25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7739175" w14:textId="77777777" w:rsidR="002A2087" w:rsidRPr="002E251D" w:rsidRDefault="002A2087" w:rsidP="002A2087">
      <w:pPr>
        <w:autoSpaceDE w:val="0"/>
        <w:autoSpaceDN w:val="0"/>
        <w:spacing w:after="0" w:line="271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779FE2D5" w14:textId="77777777" w:rsidR="002A2087" w:rsidRPr="002E251D" w:rsidRDefault="002A2087" w:rsidP="002A2087">
      <w:pPr>
        <w:autoSpaceDE w:val="0"/>
        <w:autoSpaceDN w:val="0"/>
        <w:spacing w:after="0" w:line="271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472D337A" w14:textId="77777777" w:rsidR="00CB7E30" w:rsidRPr="005000B1" w:rsidRDefault="00CB7E30" w:rsidP="005000B1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C1CBC31" w14:textId="5EC9FC65" w:rsidR="00CB7E30" w:rsidRPr="005000B1" w:rsidRDefault="00890B78" w:rsidP="002A208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000B1">
        <w:rPr>
          <w:rFonts w:cstheme="minorHAnsi"/>
          <w:b/>
          <w:bCs/>
          <w:sz w:val="24"/>
          <w:szCs w:val="24"/>
          <w:lang w:eastAsia="pl-PL"/>
        </w:rPr>
        <w:t>Informacja o pytaniach do SWZ</w:t>
      </w:r>
    </w:p>
    <w:p w14:paraId="656C7AB7" w14:textId="77777777" w:rsidR="00CB7E30" w:rsidRPr="005000B1" w:rsidRDefault="00CB7E30" w:rsidP="002A20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8EEC6A" w14:textId="77777777" w:rsidR="00690FEC" w:rsidRDefault="00690FEC" w:rsidP="00690FEC">
      <w:pPr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</w:p>
    <w:p w14:paraId="0D48818B" w14:textId="646D6ED5" w:rsidR="00690FEC" w:rsidRPr="002E251D" w:rsidRDefault="00690FEC" w:rsidP="00690FEC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2E251D">
        <w:rPr>
          <w:rFonts w:eastAsia="Calibri" w:cstheme="minorHAnsi"/>
          <w:b/>
          <w:sz w:val="24"/>
          <w:szCs w:val="24"/>
        </w:rPr>
        <w:t>Dotyczy:</w:t>
      </w:r>
      <w:r w:rsidRPr="002E251D">
        <w:rPr>
          <w:rFonts w:eastAsia="Calibri" w:cstheme="minorHAnsi"/>
          <w:sz w:val="24"/>
          <w:szCs w:val="24"/>
        </w:rPr>
        <w:t xml:space="preserve"> </w:t>
      </w:r>
      <w:r w:rsidRPr="002E251D">
        <w:rPr>
          <w:rFonts w:eastAsia="Calibri" w:cstheme="minorHAnsi"/>
          <w:b/>
          <w:bCs/>
          <w:sz w:val="24"/>
          <w:szCs w:val="24"/>
        </w:rPr>
        <w:t>postępowania prowadzonego w trybie przetargu nieograniczonego na podstawie art. 132 ustawy Prawo zamówień publicznych na realizację zadania pn.: „</w:t>
      </w:r>
      <w:r w:rsidRPr="002E251D">
        <w:rPr>
          <w:rFonts w:eastAsia="Times New Roman" w:cstheme="minorHAnsi"/>
          <w:b/>
          <w:bCs/>
          <w:sz w:val="24"/>
          <w:szCs w:val="24"/>
        </w:rPr>
        <w:t>Modernizacja infrastruktury informatycznej serwerowni Szpitala Nowowiejskiego w Warszawie</w:t>
      </w:r>
      <w:r w:rsidRPr="002E251D">
        <w:rPr>
          <w:rFonts w:eastAsia="Calibri" w:cstheme="minorHAnsi"/>
          <w:b/>
          <w:bCs/>
          <w:sz w:val="24"/>
          <w:szCs w:val="24"/>
        </w:rPr>
        <w:t xml:space="preserve">”, </w:t>
      </w:r>
      <w:r w:rsidR="00CD6E40">
        <w:rPr>
          <w:rFonts w:eastAsia="Calibri" w:cstheme="minorHAnsi"/>
          <w:b/>
          <w:bCs/>
          <w:sz w:val="24"/>
          <w:szCs w:val="24"/>
        </w:rPr>
        <w:t xml:space="preserve">                            </w:t>
      </w:r>
      <w:r w:rsidRPr="002E251D">
        <w:rPr>
          <w:rFonts w:eastAsia="Calibri" w:cstheme="minorHAnsi"/>
          <w:b/>
          <w:bCs/>
          <w:sz w:val="24"/>
          <w:szCs w:val="24"/>
        </w:rPr>
        <w:t xml:space="preserve">nr postępowania 8/DZP/2023 </w:t>
      </w:r>
    </w:p>
    <w:p w14:paraId="319E68B8" w14:textId="77777777" w:rsidR="00690FEC" w:rsidRPr="002E251D" w:rsidRDefault="00690FEC" w:rsidP="00690FEC">
      <w:pPr>
        <w:widowControl w:val="0"/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56724E8" w14:textId="27CBE47F" w:rsidR="00CB7E30" w:rsidRPr="005000B1" w:rsidRDefault="00CB7E30" w:rsidP="00690FEC">
      <w:p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6F8889EF" w14:textId="6327E95F" w:rsidR="00041713" w:rsidRPr="00041713" w:rsidRDefault="00CB7E30" w:rsidP="007E5B10">
      <w:pPr>
        <w:widowControl w:val="0"/>
        <w:spacing w:after="0" w:line="120" w:lineRule="atLeast"/>
        <w:ind w:firstLine="708"/>
        <w:jc w:val="both"/>
        <w:rPr>
          <w:rFonts w:ascii="Cambria" w:hAnsi="Cambria" w:cstheme="majorHAnsi"/>
          <w:color w:val="FF0000"/>
          <w:sz w:val="24"/>
          <w:szCs w:val="24"/>
        </w:rPr>
      </w:pPr>
      <w:r w:rsidRPr="005000B1">
        <w:rPr>
          <w:rFonts w:eastAsia="Calibri" w:cstheme="minorHAnsi"/>
          <w:sz w:val="24"/>
          <w:szCs w:val="24"/>
        </w:rPr>
        <w:t xml:space="preserve">Zamawiający </w:t>
      </w:r>
      <w:r w:rsidR="00041713">
        <w:rPr>
          <w:rFonts w:eastAsia="Calibri" w:cstheme="minorHAnsi"/>
          <w:sz w:val="24"/>
          <w:szCs w:val="24"/>
        </w:rPr>
        <w:t xml:space="preserve">działając na podstawie </w:t>
      </w:r>
      <w:r w:rsidR="005B0203" w:rsidRPr="005000B1">
        <w:rPr>
          <w:rFonts w:eastAsia="Calibri" w:cstheme="minorHAnsi"/>
          <w:sz w:val="24"/>
          <w:szCs w:val="24"/>
        </w:rPr>
        <w:t xml:space="preserve"> art. 135 ust. </w:t>
      </w:r>
      <w:r w:rsidR="00041713">
        <w:rPr>
          <w:rFonts w:eastAsia="Calibri" w:cstheme="minorHAnsi"/>
          <w:sz w:val="24"/>
          <w:szCs w:val="24"/>
        </w:rPr>
        <w:t xml:space="preserve">1 i </w:t>
      </w:r>
      <w:r w:rsidR="005B0203" w:rsidRPr="005000B1">
        <w:rPr>
          <w:rFonts w:eastAsia="Calibri" w:cstheme="minorHAnsi"/>
          <w:sz w:val="24"/>
          <w:szCs w:val="24"/>
        </w:rPr>
        <w:t xml:space="preserve">2 </w:t>
      </w:r>
      <w:r w:rsidRPr="005000B1">
        <w:rPr>
          <w:rFonts w:eastAsia="Calibri" w:cstheme="minorHAnsi"/>
          <w:sz w:val="24"/>
          <w:szCs w:val="24"/>
        </w:rPr>
        <w:t xml:space="preserve">ustawy z </w:t>
      </w:r>
      <w:r w:rsidR="00041713">
        <w:rPr>
          <w:rFonts w:eastAsia="Calibri" w:cstheme="minorHAnsi"/>
          <w:sz w:val="24"/>
          <w:szCs w:val="24"/>
        </w:rPr>
        <w:t xml:space="preserve">dnia </w:t>
      </w:r>
      <w:r w:rsidRPr="005000B1">
        <w:rPr>
          <w:rFonts w:eastAsia="Calibri" w:cstheme="minorHAnsi"/>
          <w:sz w:val="24"/>
          <w:szCs w:val="24"/>
        </w:rPr>
        <w:t xml:space="preserve">11 września </w:t>
      </w:r>
      <w:r w:rsidR="000C554F">
        <w:rPr>
          <w:rFonts w:eastAsia="Calibri" w:cstheme="minorHAnsi"/>
          <w:sz w:val="24"/>
          <w:szCs w:val="24"/>
        </w:rPr>
        <w:t xml:space="preserve">                   </w:t>
      </w:r>
      <w:r w:rsidRPr="005000B1">
        <w:rPr>
          <w:rFonts w:eastAsia="Calibri" w:cstheme="minorHAnsi"/>
          <w:sz w:val="24"/>
          <w:szCs w:val="24"/>
        </w:rPr>
        <w:t>2019 r</w:t>
      </w:r>
      <w:r w:rsidR="006E3B2F" w:rsidRPr="005000B1">
        <w:rPr>
          <w:rFonts w:eastAsia="Calibri" w:cstheme="minorHAnsi"/>
          <w:sz w:val="24"/>
          <w:szCs w:val="24"/>
        </w:rPr>
        <w:t xml:space="preserve">. – </w:t>
      </w:r>
      <w:r w:rsidRPr="005000B1">
        <w:rPr>
          <w:rFonts w:eastAsia="Calibri" w:cstheme="minorHAnsi"/>
          <w:sz w:val="24"/>
          <w:szCs w:val="24"/>
        </w:rPr>
        <w:t>Prawo zamówień publicznych</w:t>
      </w:r>
      <w:r w:rsidR="00E864DE">
        <w:rPr>
          <w:rFonts w:eastAsia="Calibri" w:cstheme="minorHAnsi"/>
          <w:sz w:val="24"/>
          <w:szCs w:val="24"/>
        </w:rPr>
        <w:t xml:space="preserve"> </w:t>
      </w:r>
      <w:r w:rsidR="00E864DE" w:rsidRPr="002E251D">
        <w:rPr>
          <w:rFonts w:eastAsia="Calibri" w:cstheme="minorHAnsi"/>
          <w:sz w:val="24"/>
          <w:szCs w:val="24"/>
        </w:rPr>
        <w:t>(</w:t>
      </w:r>
      <w:proofErr w:type="spellStart"/>
      <w:r w:rsidR="00E864DE" w:rsidRPr="002E251D">
        <w:rPr>
          <w:rFonts w:eastAsia="Calibri" w:cstheme="minorHAnsi"/>
          <w:sz w:val="24"/>
          <w:szCs w:val="24"/>
        </w:rPr>
        <w:t>t.j</w:t>
      </w:r>
      <w:proofErr w:type="spellEnd"/>
      <w:r w:rsidR="00E864DE" w:rsidRPr="002E251D">
        <w:rPr>
          <w:rFonts w:eastAsia="Calibri" w:cstheme="minorHAnsi"/>
          <w:sz w:val="24"/>
          <w:szCs w:val="24"/>
        </w:rPr>
        <w:t xml:space="preserve">. Dz.U. z 2022 r. poz. 1710 z </w:t>
      </w:r>
      <w:proofErr w:type="spellStart"/>
      <w:r w:rsidR="00E864DE" w:rsidRPr="002E251D">
        <w:rPr>
          <w:rFonts w:eastAsia="Calibri" w:cstheme="minorHAnsi"/>
          <w:sz w:val="24"/>
          <w:szCs w:val="24"/>
        </w:rPr>
        <w:t>późn</w:t>
      </w:r>
      <w:proofErr w:type="spellEnd"/>
      <w:r w:rsidR="00E864DE" w:rsidRPr="002E251D">
        <w:rPr>
          <w:rFonts w:eastAsia="Calibri" w:cstheme="minorHAnsi"/>
          <w:sz w:val="24"/>
          <w:szCs w:val="24"/>
        </w:rPr>
        <w:t xml:space="preserve">. zm.) – dalej: ustawa </w:t>
      </w:r>
      <w:proofErr w:type="spellStart"/>
      <w:r w:rsidR="00E864DE" w:rsidRPr="002E251D">
        <w:rPr>
          <w:rFonts w:eastAsia="Calibri" w:cstheme="minorHAnsi"/>
          <w:sz w:val="24"/>
          <w:szCs w:val="24"/>
        </w:rPr>
        <w:t>Pzp</w:t>
      </w:r>
      <w:proofErr w:type="spellEnd"/>
      <w:r w:rsidR="00D657BC">
        <w:rPr>
          <w:rFonts w:eastAsia="Calibri" w:cstheme="minorHAnsi"/>
          <w:sz w:val="24"/>
          <w:szCs w:val="24"/>
        </w:rPr>
        <w:t>,</w:t>
      </w:r>
      <w:r w:rsidRPr="005000B1">
        <w:rPr>
          <w:rFonts w:eastAsia="Calibri" w:cstheme="minorHAnsi"/>
          <w:sz w:val="24"/>
          <w:szCs w:val="24"/>
        </w:rPr>
        <w:t xml:space="preserve"> </w:t>
      </w:r>
      <w:r w:rsidR="00041713">
        <w:rPr>
          <w:rFonts w:eastAsia="Calibri" w:cstheme="minorHAnsi"/>
          <w:sz w:val="24"/>
          <w:szCs w:val="24"/>
        </w:rPr>
        <w:t xml:space="preserve">przesyła odpowiedzi na pytania </w:t>
      </w:r>
      <w:r w:rsidR="000C554F">
        <w:rPr>
          <w:rFonts w:eastAsia="Calibri" w:cstheme="minorHAnsi"/>
          <w:sz w:val="24"/>
          <w:szCs w:val="24"/>
        </w:rPr>
        <w:t>W</w:t>
      </w:r>
      <w:r w:rsidRPr="005000B1">
        <w:rPr>
          <w:rFonts w:eastAsia="Calibri" w:cstheme="minorHAnsi"/>
          <w:sz w:val="24"/>
          <w:szCs w:val="24"/>
        </w:rPr>
        <w:t>ykonawcy</w:t>
      </w:r>
      <w:r w:rsidR="00041713">
        <w:rPr>
          <w:rFonts w:eastAsia="Calibri" w:cstheme="minorHAnsi"/>
          <w:sz w:val="24"/>
          <w:szCs w:val="24"/>
        </w:rPr>
        <w:t>:</w:t>
      </w:r>
    </w:p>
    <w:p w14:paraId="78730E32" w14:textId="77777777" w:rsidR="00CB7E30" w:rsidRPr="00041713" w:rsidRDefault="00CB7E30" w:rsidP="005000B1">
      <w:pPr>
        <w:widowControl w:val="0"/>
        <w:spacing w:after="0" w:line="120" w:lineRule="atLeast"/>
        <w:rPr>
          <w:rFonts w:eastAsia="Calibri" w:cstheme="minorHAnsi"/>
          <w:color w:val="FF0000"/>
          <w:sz w:val="24"/>
          <w:szCs w:val="24"/>
        </w:rPr>
      </w:pPr>
    </w:p>
    <w:p w14:paraId="6F8B474F" w14:textId="77777777" w:rsidR="00CB7E30" w:rsidRPr="005000B1" w:rsidRDefault="00CB7E30" w:rsidP="005000B1">
      <w:pPr>
        <w:widowControl w:val="0"/>
        <w:spacing w:after="0" w:line="120" w:lineRule="atLeast"/>
        <w:rPr>
          <w:rFonts w:eastAsia="Calibri" w:cstheme="minorHAnsi"/>
          <w:sz w:val="24"/>
          <w:szCs w:val="24"/>
        </w:rPr>
      </w:pPr>
    </w:p>
    <w:p w14:paraId="4D3B9FCE" w14:textId="77777777" w:rsidR="00CB7E30" w:rsidRPr="00EF1699" w:rsidRDefault="00CB7E30" w:rsidP="005000B1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EF1699">
        <w:rPr>
          <w:rFonts w:eastAsia="Calibri" w:cstheme="minorHAnsi"/>
          <w:b/>
          <w:bCs/>
          <w:sz w:val="24"/>
          <w:szCs w:val="24"/>
        </w:rPr>
        <w:t>Pytanie 1:</w:t>
      </w:r>
    </w:p>
    <w:p w14:paraId="3E542354" w14:textId="77777777" w:rsidR="00EF1699" w:rsidRDefault="005000B1" w:rsidP="00EF1699">
      <w:pPr>
        <w:shd w:val="clear" w:color="auto" w:fill="FFFFFF"/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00B1">
        <w:rPr>
          <w:rFonts w:eastAsia="Times New Roman" w:cstheme="minorHAnsi"/>
          <w:sz w:val="24"/>
          <w:szCs w:val="24"/>
          <w:lang w:eastAsia="pl-PL"/>
        </w:rPr>
        <w:t>Pytania dotyczą opisanego „Przedmiotu dostawy: 6. Zakup macierzy dyskowych – 2 sztuki”</w:t>
      </w:r>
      <w:r w:rsidRPr="005000B1">
        <w:rPr>
          <w:rFonts w:eastAsia="Times New Roman" w:cstheme="minorHAnsi"/>
          <w:sz w:val="24"/>
          <w:szCs w:val="24"/>
          <w:lang w:eastAsia="pl-PL"/>
        </w:rPr>
        <w:br/>
        <w:t>W szczegółowym opisie minimalnych wymagań technicznych dla 2 macierzy dyskowych na stronie nr 93 Zamawiający wymaga gwarancji 36 miesięcy.</w:t>
      </w:r>
      <w:r w:rsidRPr="005000B1">
        <w:rPr>
          <w:rFonts w:eastAsia="Times New Roman" w:cstheme="minorHAnsi"/>
          <w:sz w:val="24"/>
          <w:szCs w:val="24"/>
          <w:lang w:eastAsia="pl-PL"/>
        </w:rPr>
        <w:br/>
        <w:t>Natomiast w ROZDZIAŁ III, OPIS PRZEDMIOTU ZAMÓWIENIA, Punkt 8, podpunkt 5 Zamawiający wymaga gwarancji : na macierz dyskową minimum 60-miesięcy.</w:t>
      </w:r>
      <w:r w:rsidRPr="005000B1">
        <w:rPr>
          <w:rFonts w:eastAsia="Times New Roman" w:cstheme="minorHAnsi"/>
          <w:sz w:val="24"/>
          <w:szCs w:val="24"/>
          <w:lang w:eastAsia="pl-PL"/>
        </w:rPr>
        <w:br/>
        <w:t>Podobny zapis widnieje we wzorze umowy: § 5 GWARANCJA JAKOŚCI, RĘKOJMIA I REKLAMACJE, punkt 5: macierze dyskowe - minimum 60 miesięczna gwarancja.</w:t>
      </w:r>
      <w:r w:rsidRPr="005000B1">
        <w:rPr>
          <w:rFonts w:eastAsia="Times New Roman" w:cstheme="minorHAnsi"/>
          <w:sz w:val="24"/>
          <w:szCs w:val="24"/>
          <w:lang w:eastAsia="pl-PL"/>
        </w:rPr>
        <w:br/>
        <w:t>Czy Zamawiający wymaga dostarczenia 2 sztuk macierzy z 36 miesięczną gwarancją ?</w:t>
      </w:r>
    </w:p>
    <w:p w14:paraId="2CA5D5F3" w14:textId="329F17CB" w:rsidR="00EF1699" w:rsidRDefault="00EF1699" w:rsidP="00EF1699">
      <w:pPr>
        <w:shd w:val="clear" w:color="auto" w:fill="FFFFFF"/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699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  <w:r w:rsidR="005000B1" w:rsidRPr="005000B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E5B10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7E5B10" w:rsidRPr="005000B1">
        <w:rPr>
          <w:rFonts w:eastAsia="Times New Roman" w:cstheme="minorHAnsi"/>
          <w:sz w:val="24"/>
          <w:szCs w:val="24"/>
          <w:lang w:eastAsia="pl-PL"/>
        </w:rPr>
        <w:t>wymaga dostarczenia 2 sztuk macierzy z 36 miesięczną gwarancją</w:t>
      </w:r>
      <w:r w:rsidR="007E5B10">
        <w:rPr>
          <w:rFonts w:eastAsia="Times New Roman" w:cstheme="minorHAnsi"/>
          <w:sz w:val="24"/>
          <w:szCs w:val="24"/>
          <w:lang w:eastAsia="pl-PL"/>
        </w:rPr>
        <w:t>.                 Zamawiający dokona w tym zakresie odpowiedniej modyfikacji.</w:t>
      </w:r>
      <w:r w:rsidR="005000B1" w:rsidRPr="005000B1">
        <w:rPr>
          <w:rFonts w:eastAsia="Times New Roman" w:cstheme="minorHAnsi"/>
          <w:sz w:val="24"/>
          <w:szCs w:val="24"/>
          <w:lang w:eastAsia="pl-PL"/>
        </w:rPr>
        <w:br/>
      </w:r>
    </w:p>
    <w:p w14:paraId="32BDEA7F" w14:textId="77777777" w:rsidR="00EF1699" w:rsidRDefault="005000B1" w:rsidP="00EF1699">
      <w:pPr>
        <w:shd w:val="clear" w:color="auto" w:fill="FFFFFF"/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00B1">
        <w:rPr>
          <w:rFonts w:eastAsia="Times New Roman" w:cstheme="minorHAnsi"/>
          <w:b/>
          <w:bCs/>
          <w:sz w:val="24"/>
          <w:szCs w:val="24"/>
          <w:lang w:eastAsia="pl-PL"/>
        </w:rPr>
        <w:t>Pytanie 2:</w:t>
      </w:r>
      <w:r w:rsidRPr="005000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9D3E001" w14:textId="4EE90BDA" w:rsidR="005000B1" w:rsidRPr="005000B1" w:rsidRDefault="005000B1" w:rsidP="00EF1699">
      <w:pPr>
        <w:shd w:val="clear" w:color="auto" w:fill="FFFFFF"/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00B1">
        <w:rPr>
          <w:rFonts w:eastAsia="Times New Roman" w:cstheme="minorHAnsi"/>
          <w:sz w:val="24"/>
          <w:szCs w:val="24"/>
          <w:lang w:eastAsia="pl-PL"/>
        </w:rPr>
        <w:t>Czy Zamawiający dopuści bardziej zaawansowaną technologicznie macierz, która różni się następującymi parametrami w stosunku do wskazanych w opisie:</w:t>
      </w:r>
      <w:r w:rsidRPr="005000B1">
        <w:rPr>
          <w:rFonts w:eastAsia="Times New Roman" w:cstheme="minorHAnsi"/>
          <w:sz w:val="24"/>
          <w:szCs w:val="24"/>
          <w:lang w:eastAsia="pl-PL"/>
        </w:rPr>
        <w:br/>
        <w:t xml:space="preserve">macierz umożliwiająca zabezpieczenie danych dysków bez użycia poziomów RAID1 oraz RAID10, w zamian zastosowanie zabezpieczeń z kontrolą podwójnej parzystości jako </w:t>
      </w:r>
      <w:r w:rsidRPr="005000B1">
        <w:rPr>
          <w:rFonts w:eastAsia="Times New Roman" w:cstheme="minorHAnsi"/>
          <w:sz w:val="24"/>
          <w:szCs w:val="24"/>
          <w:lang w:eastAsia="pl-PL"/>
        </w:rPr>
        <w:lastRenderedPageBreak/>
        <w:t>powszechnie stosowaną, przez wiodących producentów macierzy</w:t>
      </w:r>
      <w:r w:rsidR="00CD6E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000B1">
        <w:rPr>
          <w:rFonts w:eastAsia="Times New Roman" w:cstheme="minorHAnsi"/>
          <w:sz w:val="24"/>
          <w:szCs w:val="24"/>
          <w:lang w:eastAsia="pl-PL"/>
        </w:rPr>
        <w:t>macierz z możliwością tworzenia pojedynczej grupy RAID z podwójną parzystością, stworzonej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00B1">
        <w:rPr>
          <w:rFonts w:eastAsia="Times New Roman" w:cstheme="minorHAnsi"/>
          <w:sz w:val="24"/>
          <w:szCs w:val="24"/>
          <w:lang w:eastAsia="pl-PL"/>
        </w:rPr>
        <w:t>ze 100 dysków zamiast 128 dysków</w:t>
      </w:r>
      <w:r w:rsidR="00EF16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00B1">
        <w:rPr>
          <w:rFonts w:eastAsia="Times New Roman" w:cstheme="minorHAnsi"/>
          <w:sz w:val="24"/>
          <w:szCs w:val="24"/>
          <w:lang w:eastAsia="pl-PL"/>
        </w:rPr>
        <w:t xml:space="preserve">macierz z możliwością tworzenia wolumenów logicznych o pojemności co najmniej 140TB (obecnie w dokumentacji jest wskazanie maksymalnie co najmniej 140TB) macierz typu </w:t>
      </w:r>
      <w:proofErr w:type="spellStart"/>
      <w:r w:rsidRPr="005000B1">
        <w:rPr>
          <w:rFonts w:eastAsia="Times New Roman" w:cstheme="minorHAnsi"/>
          <w:sz w:val="24"/>
          <w:szCs w:val="24"/>
          <w:lang w:eastAsia="pl-PL"/>
        </w:rPr>
        <w:t>all</w:t>
      </w:r>
      <w:proofErr w:type="spellEnd"/>
      <w:r w:rsidRPr="005000B1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5000B1">
        <w:rPr>
          <w:rFonts w:eastAsia="Times New Roman" w:cstheme="minorHAnsi"/>
          <w:sz w:val="24"/>
          <w:szCs w:val="24"/>
          <w:lang w:eastAsia="pl-PL"/>
        </w:rPr>
        <w:t>flash</w:t>
      </w:r>
      <w:proofErr w:type="spellEnd"/>
      <w:r w:rsidRPr="005000B1">
        <w:rPr>
          <w:rFonts w:eastAsia="Times New Roman" w:cstheme="minorHAnsi"/>
          <w:sz w:val="24"/>
          <w:szCs w:val="24"/>
          <w:lang w:eastAsia="pl-PL"/>
        </w:rPr>
        <w:t xml:space="preserve"> bez funkcji migracji pomiędzy różnymi warstwami technologii dyskowych ponieważ obsługuje wyłącznie warstwę dysków półprzewodnikowych macierz typu </w:t>
      </w:r>
      <w:proofErr w:type="spellStart"/>
      <w:r w:rsidRPr="005000B1">
        <w:rPr>
          <w:rFonts w:eastAsia="Times New Roman" w:cstheme="minorHAnsi"/>
          <w:sz w:val="24"/>
          <w:szCs w:val="24"/>
          <w:lang w:eastAsia="pl-PL"/>
        </w:rPr>
        <w:t>all</w:t>
      </w:r>
      <w:proofErr w:type="spellEnd"/>
      <w:r w:rsidRPr="005000B1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5000B1">
        <w:rPr>
          <w:rFonts w:eastAsia="Times New Roman" w:cstheme="minorHAnsi"/>
          <w:sz w:val="24"/>
          <w:szCs w:val="24"/>
          <w:lang w:eastAsia="pl-PL"/>
        </w:rPr>
        <w:t>flash</w:t>
      </w:r>
      <w:proofErr w:type="spellEnd"/>
      <w:r w:rsidRPr="005000B1">
        <w:rPr>
          <w:rFonts w:eastAsia="Times New Roman" w:cstheme="minorHAnsi"/>
          <w:sz w:val="24"/>
          <w:szCs w:val="24"/>
          <w:lang w:eastAsia="pl-PL"/>
        </w:rPr>
        <w:t xml:space="preserve"> bez obsługi dysków NL SAS oraz dysków 3,5" ponieważ obsługuje tylko dyski półprzewodnikowe.</w:t>
      </w:r>
    </w:p>
    <w:p w14:paraId="65A3F08F" w14:textId="08341B83" w:rsidR="005000B1" w:rsidRPr="00E26FA6" w:rsidRDefault="00EF1699" w:rsidP="005000B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F1699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  <w:r w:rsidRPr="005000B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E5B10">
        <w:rPr>
          <w:rFonts w:eastAsia="Calibri" w:cstheme="minorHAnsi"/>
          <w:sz w:val="24"/>
          <w:szCs w:val="24"/>
        </w:rPr>
        <w:t xml:space="preserve">Zamawiający </w:t>
      </w:r>
      <w:r w:rsidR="007E5B10" w:rsidRPr="00E26FA6">
        <w:rPr>
          <w:rFonts w:eastAsia="Calibri" w:cstheme="minorHAnsi"/>
          <w:sz w:val="24"/>
          <w:szCs w:val="24"/>
        </w:rPr>
        <w:t>wyraża zgodę</w:t>
      </w:r>
      <w:r w:rsidR="00927749" w:rsidRPr="00E26FA6">
        <w:rPr>
          <w:rFonts w:eastAsia="Calibri" w:cstheme="minorHAnsi"/>
          <w:sz w:val="24"/>
          <w:szCs w:val="24"/>
        </w:rPr>
        <w:t xml:space="preserve"> i dopuszcza rozwiązanie o parametrach opisanych w pytaniu, pod warunkiem spełnienia wszystkich pozostałych wymagań</w:t>
      </w:r>
      <w:r w:rsidR="007E5B10" w:rsidRPr="00E26FA6">
        <w:rPr>
          <w:rFonts w:eastAsia="Calibri" w:cstheme="minorHAnsi"/>
          <w:sz w:val="24"/>
          <w:szCs w:val="24"/>
        </w:rPr>
        <w:t>.</w:t>
      </w:r>
    </w:p>
    <w:p w14:paraId="787CB396" w14:textId="77777777" w:rsidR="005000B1" w:rsidRPr="00E26FA6" w:rsidRDefault="005000B1" w:rsidP="0092774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0A44C7E" w14:textId="77777777" w:rsidR="005000B1" w:rsidRDefault="005000B1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D55C663" w14:textId="77777777" w:rsidR="00CB7E30" w:rsidRPr="00596B9D" w:rsidRDefault="00CB7E30" w:rsidP="00596B9D">
      <w:pPr>
        <w:spacing w:after="120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596B9D">
        <w:rPr>
          <w:rFonts w:eastAsia="Calibri" w:cstheme="minorHAnsi"/>
          <w:b/>
          <w:bCs/>
          <w:sz w:val="24"/>
          <w:szCs w:val="24"/>
        </w:rPr>
        <w:t xml:space="preserve">Mając na uwadze treść udzielonych wyjaśnień, </w:t>
      </w:r>
      <w:r w:rsidR="00652394" w:rsidRPr="00596B9D">
        <w:rPr>
          <w:rFonts w:eastAsia="Calibri" w:cstheme="minorHAnsi"/>
          <w:b/>
          <w:bCs/>
          <w:sz w:val="24"/>
          <w:szCs w:val="24"/>
        </w:rPr>
        <w:t xml:space="preserve">oraz potrzebę usunięcia rozbieżności pomiędzy ich treścią a treścią dokumentu zamówienia, </w:t>
      </w:r>
      <w:r w:rsidRPr="00596B9D">
        <w:rPr>
          <w:rFonts w:eastAsia="Calibri" w:cstheme="minorHAnsi"/>
          <w:b/>
          <w:bCs/>
          <w:sz w:val="24"/>
          <w:szCs w:val="24"/>
        </w:rPr>
        <w:t>zama</w:t>
      </w:r>
      <w:r w:rsidR="005B0203" w:rsidRPr="00596B9D">
        <w:rPr>
          <w:rFonts w:eastAsia="Calibri" w:cstheme="minorHAnsi"/>
          <w:b/>
          <w:bCs/>
          <w:sz w:val="24"/>
          <w:szCs w:val="24"/>
        </w:rPr>
        <w:t>wiający, działając na podstawie a</w:t>
      </w:r>
      <w:r w:rsidRPr="00596B9D">
        <w:rPr>
          <w:rFonts w:eastAsia="Calibri" w:cstheme="minorHAnsi"/>
          <w:b/>
          <w:bCs/>
          <w:sz w:val="24"/>
          <w:szCs w:val="24"/>
        </w:rPr>
        <w:t xml:space="preserve">rt. </w:t>
      </w:r>
      <w:r w:rsidR="00652394" w:rsidRPr="00596B9D">
        <w:rPr>
          <w:rFonts w:eastAsia="Calibri" w:cstheme="minorHAnsi"/>
          <w:b/>
          <w:bCs/>
          <w:sz w:val="24"/>
          <w:szCs w:val="24"/>
        </w:rPr>
        <w:t>137 ust. 1</w:t>
      </w:r>
      <w:r w:rsidRPr="00596B9D">
        <w:rPr>
          <w:rFonts w:eastAsia="Calibri" w:cstheme="minorHAnsi"/>
          <w:b/>
          <w:bCs/>
          <w:sz w:val="24"/>
          <w:szCs w:val="24"/>
        </w:rPr>
        <w:t xml:space="preserve"> </w:t>
      </w:r>
      <w:r w:rsidR="005B0203" w:rsidRPr="00596B9D">
        <w:rPr>
          <w:rFonts w:eastAsia="Calibri" w:cstheme="minorHAnsi"/>
          <w:b/>
          <w:bCs/>
          <w:sz w:val="24"/>
          <w:szCs w:val="24"/>
        </w:rPr>
        <w:t xml:space="preserve">ustawy </w:t>
      </w:r>
      <w:proofErr w:type="spellStart"/>
      <w:r w:rsidR="005B0203" w:rsidRPr="00596B9D">
        <w:rPr>
          <w:rFonts w:eastAsia="Calibri" w:cstheme="minorHAnsi"/>
          <w:b/>
          <w:bCs/>
          <w:sz w:val="24"/>
          <w:szCs w:val="24"/>
        </w:rPr>
        <w:t>Pzp</w:t>
      </w:r>
      <w:proofErr w:type="spellEnd"/>
      <w:r w:rsidR="005B0203" w:rsidRPr="00596B9D">
        <w:rPr>
          <w:rFonts w:eastAsia="Calibri" w:cstheme="minorHAnsi"/>
          <w:b/>
          <w:bCs/>
          <w:sz w:val="24"/>
          <w:szCs w:val="24"/>
        </w:rPr>
        <w:t>, w</w:t>
      </w:r>
      <w:r w:rsidRPr="00596B9D">
        <w:rPr>
          <w:rFonts w:eastAsia="Calibri" w:cstheme="minorHAnsi"/>
          <w:b/>
          <w:bCs/>
          <w:sz w:val="24"/>
          <w:szCs w:val="24"/>
        </w:rPr>
        <w:t>pro</w:t>
      </w:r>
      <w:r w:rsidR="005B0203" w:rsidRPr="00596B9D">
        <w:rPr>
          <w:rFonts w:eastAsia="Calibri" w:cstheme="minorHAnsi"/>
          <w:b/>
          <w:bCs/>
          <w:sz w:val="24"/>
          <w:szCs w:val="24"/>
        </w:rPr>
        <w:t>wadza następujące zmiany do SWZ</w:t>
      </w:r>
      <w:r w:rsidRPr="00596B9D">
        <w:rPr>
          <w:rFonts w:eastAsia="Calibri" w:cstheme="minorHAnsi"/>
          <w:b/>
          <w:bCs/>
          <w:sz w:val="24"/>
          <w:szCs w:val="24"/>
        </w:rPr>
        <w:t>:</w:t>
      </w:r>
    </w:p>
    <w:p w14:paraId="171C235F" w14:textId="4552C216" w:rsidR="007E5B10" w:rsidRPr="00596B9D" w:rsidRDefault="007E5B10" w:rsidP="00596B9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596B9D">
        <w:rPr>
          <w:rFonts w:eastAsia="Calibri" w:cstheme="minorHAnsi"/>
          <w:sz w:val="24"/>
          <w:szCs w:val="24"/>
        </w:rPr>
        <w:t xml:space="preserve">Rozdział III ust. 8 pkt 2 SWZ </w:t>
      </w:r>
      <w:bookmarkStart w:id="0" w:name="_Hlk136852965"/>
      <w:r w:rsidRPr="00596B9D">
        <w:rPr>
          <w:rFonts w:eastAsia="Calibri" w:cstheme="minorHAnsi"/>
          <w:sz w:val="24"/>
          <w:szCs w:val="24"/>
        </w:rPr>
        <w:t>otrzymuje nowe brzmienie:</w:t>
      </w:r>
    </w:p>
    <w:bookmarkEnd w:id="0"/>
    <w:p w14:paraId="605FA8CB" w14:textId="373F9D52" w:rsidR="007E5B10" w:rsidRPr="00596B9D" w:rsidRDefault="007E5B10" w:rsidP="001D26EC">
      <w:p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596B9D">
        <w:rPr>
          <w:rFonts w:eastAsia="Calibri" w:cstheme="minorHAnsi"/>
          <w:sz w:val="24"/>
          <w:szCs w:val="24"/>
        </w:rPr>
        <w:t>„2) na macierz dyskową minimum 36 miesięcy”;</w:t>
      </w:r>
    </w:p>
    <w:p w14:paraId="64A28A9C" w14:textId="77777777" w:rsidR="001D26EC" w:rsidRPr="00596B9D" w:rsidRDefault="001D26EC" w:rsidP="007E5B1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AFFB04" w14:textId="6F889ECE" w:rsidR="00596B9D" w:rsidRPr="00596B9D" w:rsidRDefault="00596B9D" w:rsidP="00596B9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596B9D">
        <w:rPr>
          <w:rFonts w:eastAsia="Calibri" w:cstheme="minorHAnsi"/>
          <w:sz w:val="24"/>
          <w:szCs w:val="24"/>
        </w:rPr>
        <w:t xml:space="preserve"> P</w:t>
      </w:r>
      <w:r w:rsidR="001D26EC" w:rsidRPr="00596B9D">
        <w:rPr>
          <w:rFonts w:eastAsia="Calibri" w:cstheme="minorHAnsi"/>
          <w:sz w:val="24"/>
          <w:szCs w:val="24"/>
        </w:rPr>
        <w:t xml:space="preserve">kt </w:t>
      </w:r>
      <w:r w:rsidRPr="00596B9D">
        <w:rPr>
          <w:rFonts w:eastAsia="Calibri" w:cstheme="minorHAnsi"/>
          <w:sz w:val="24"/>
          <w:szCs w:val="24"/>
        </w:rPr>
        <w:t>3</w:t>
      </w:r>
      <w:r w:rsidR="001D26EC" w:rsidRPr="00596B9D">
        <w:rPr>
          <w:rFonts w:eastAsia="Calibri" w:cstheme="minorHAnsi"/>
          <w:sz w:val="24"/>
          <w:szCs w:val="24"/>
        </w:rPr>
        <w:t xml:space="preserve"> Załącznika nr 2.1 do SWZ/umowy* szczegółow</w:t>
      </w:r>
      <w:r w:rsidRPr="00596B9D">
        <w:rPr>
          <w:rFonts w:eastAsia="Calibri" w:cstheme="minorHAnsi"/>
          <w:sz w:val="24"/>
          <w:szCs w:val="24"/>
        </w:rPr>
        <w:t>ego</w:t>
      </w:r>
      <w:r w:rsidR="001D26EC" w:rsidRPr="00596B9D">
        <w:rPr>
          <w:rFonts w:eastAsia="Calibri" w:cstheme="minorHAnsi"/>
          <w:sz w:val="24"/>
          <w:szCs w:val="24"/>
        </w:rPr>
        <w:t xml:space="preserve"> opis</w:t>
      </w:r>
      <w:r w:rsidRPr="00596B9D">
        <w:rPr>
          <w:rFonts w:eastAsia="Calibri" w:cstheme="minorHAnsi"/>
          <w:sz w:val="24"/>
          <w:szCs w:val="24"/>
        </w:rPr>
        <w:t>u</w:t>
      </w:r>
      <w:r w:rsidR="001D26EC" w:rsidRPr="00596B9D">
        <w:rPr>
          <w:rFonts w:eastAsia="Calibri" w:cstheme="minorHAnsi"/>
          <w:sz w:val="24"/>
          <w:szCs w:val="24"/>
        </w:rPr>
        <w:t xml:space="preserve"> przedmiotu zamówienia</w:t>
      </w:r>
      <w:r w:rsidRPr="00596B9D">
        <w:rPr>
          <w:rFonts w:eastAsia="Calibri" w:cstheme="minorHAnsi"/>
          <w:sz w:val="24"/>
          <w:szCs w:val="24"/>
        </w:rPr>
        <w:t xml:space="preserve"> -</w:t>
      </w:r>
      <w:r w:rsidR="001D26EC" w:rsidRPr="00596B9D">
        <w:rPr>
          <w:rFonts w:eastAsia="Calibri" w:cstheme="minorHAnsi"/>
          <w:sz w:val="24"/>
          <w:szCs w:val="24"/>
        </w:rPr>
        <w:t xml:space="preserve"> </w:t>
      </w:r>
      <w:r w:rsidRPr="00596B9D">
        <w:rPr>
          <w:rFonts w:eastAsia="Calibri" w:cstheme="minorHAnsi"/>
          <w:sz w:val="24"/>
          <w:szCs w:val="24"/>
        </w:rPr>
        <w:t xml:space="preserve">    </w:t>
      </w:r>
      <w:r w:rsidR="001D26EC" w:rsidRPr="00596B9D">
        <w:rPr>
          <w:rFonts w:eastAsia="Calibri" w:cstheme="minorHAnsi"/>
          <w:sz w:val="24"/>
          <w:szCs w:val="24"/>
        </w:rPr>
        <w:t>wymagania ogólne</w:t>
      </w:r>
      <w:r w:rsidRPr="00596B9D">
        <w:rPr>
          <w:rFonts w:eastAsia="Calibri" w:cstheme="minorHAnsi"/>
          <w:sz w:val="24"/>
          <w:szCs w:val="24"/>
        </w:rPr>
        <w:t>,</w:t>
      </w:r>
      <w:r w:rsidR="001D26EC" w:rsidRPr="00596B9D">
        <w:rPr>
          <w:rFonts w:eastAsia="Calibri" w:cstheme="minorHAnsi"/>
          <w:sz w:val="24"/>
          <w:szCs w:val="24"/>
        </w:rPr>
        <w:t xml:space="preserve">  </w:t>
      </w:r>
      <w:r w:rsidRPr="00596B9D">
        <w:rPr>
          <w:rFonts w:eastAsia="Calibri" w:cstheme="minorHAnsi"/>
          <w:sz w:val="24"/>
          <w:szCs w:val="24"/>
        </w:rPr>
        <w:t>otrzymuje nowe brzmienie:</w:t>
      </w:r>
    </w:p>
    <w:p w14:paraId="26906FC0" w14:textId="272BF4B6" w:rsidR="00596B9D" w:rsidRPr="00596B9D" w:rsidRDefault="00596B9D" w:rsidP="00596B9D">
      <w:pPr>
        <w:suppressAutoHyphens/>
        <w:spacing w:after="0" w:line="240" w:lineRule="auto"/>
        <w:ind w:left="284" w:right="182" w:hanging="142"/>
        <w:jc w:val="both"/>
        <w:rPr>
          <w:rFonts w:cstheme="minorHAnsi"/>
          <w:sz w:val="24"/>
          <w:szCs w:val="24"/>
        </w:rPr>
      </w:pPr>
      <w:r w:rsidRPr="00596B9D">
        <w:rPr>
          <w:rFonts w:eastAsia="Calibri" w:cstheme="minorHAnsi"/>
          <w:sz w:val="24"/>
          <w:szCs w:val="24"/>
        </w:rPr>
        <w:t xml:space="preserve">   „3)</w:t>
      </w:r>
      <w:r w:rsidRPr="00596B9D">
        <w:rPr>
          <w:rFonts w:cstheme="minorHAnsi"/>
          <w:sz w:val="24"/>
          <w:szCs w:val="24"/>
        </w:rPr>
        <w:t xml:space="preserve"> Całość przedmiotu zamówienia, musi być objęte minimum 36 miesięczną gwarancją,</w:t>
      </w:r>
      <w:r w:rsidRPr="00596B9D">
        <w:rPr>
          <w:rFonts w:cstheme="minorHAnsi"/>
          <w:bCs/>
          <w:sz w:val="24"/>
          <w:szCs w:val="24"/>
        </w:rPr>
        <w:t xml:space="preserve"> </w:t>
      </w:r>
      <w:r w:rsidRPr="00596B9D">
        <w:rPr>
          <w:rFonts w:cstheme="minorHAnsi"/>
          <w:sz w:val="24"/>
          <w:szCs w:val="24"/>
        </w:rPr>
        <w:t>a na serwer NAS 60-miesięczną gwarancją”;</w:t>
      </w:r>
    </w:p>
    <w:p w14:paraId="4E567483" w14:textId="571DC113" w:rsidR="007E5B10" w:rsidRPr="00596B9D" w:rsidRDefault="00596B9D" w:rsidP="007E5B1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96B9D">
        <w:rPr>
          <w:rFonts w:eastAsia="Calibri" w:cstheme="minorHAnsi"/>
          <w:sz w:val="24"/>
          <w:szCs w:val="24"/>
        </w:rPr>
        <w:t xml:space="preserve"> </w:t>
      </w:r>
    </w:p>
    <w:p w14:paraId="09E33802" w14:textId="1D4C98A5" w:rsidR="007A704F" w:rsidRPr="00596B9D" w:rsidRDefault="00596B9D" w:rsidP="00596B9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7E5B10" w:rsidRPr="00596B9D">
        <w:rPr>
          <w:rFonts w:eastAsia="Calibri" w:cstheme="minorHAnsi"/>
          <w:sz w:val="24"/>
          <w:szCs w:val="24"/>
        </w:rPr>
        <w:t>ar. 5 ust. 2 pkt 5</w:t>
      </w:r>
      <w:r w:rsidR="007A704F" w:rsidRPr="00596B9D">
        <w:rPr>
          <w:rFonts w:eastAsia="Calibri" w:cstheme="minorHAnsi"/>
          <w:sz w:val="24"/>
          <w:szCs w:val="24"/>
        </w:rPr>
        <w:t xml:space="preserve"> projektowanych postanowień umowy, który stanowi Załącznik nr 11 do SWZ otrzymuje nowe brzmienie:</w:t>
      </w:r>
    </w:p>
    <w:p w14:paraId="6FD34033" w14:textId="7F6C1B6E" w:rsidR="001D26EC" w:rsidRPr="00596B9D" w:rsidRDefault="001D26EC" w:rsidP="00596B9D">
      <w:pPr>
        <w:shd w:val="clear" w:color="auto" w:fill="FFFFFF" w:themeFill="background1"/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596B9D">
        <w:rPr>
          <w:rFonts w:cstheme="minorHAnsi"/>
          <w:sz w:val="24"/>
          <w:szCs w:val="24"/>
        </w:rPr>
        <w:t>„5) macierze dyskowe - minimum</w:t>
      </w:r>
      <w:r w:rsidRPr="00596B9D">
        <w:rPr>
          <w:rFonts w:cstheme="minorHAnsi"/>
          <w:b/>
          <w:bCs/>
          <w:sz w:val="24"/>
          <w:szCs w:val="24"/>
        </w:rPr>
        <w:t xml:space="preserve"> </w:t>
      </w:r>
      <w:r w:rsidRPr="00596B9D">
        <w:rPr>
          <w:rFonts w:cstheme="minorHAnsi"/>
          <w:sz w:val="24"/>
          <w:szCs w:val="24"/>
        </w:rPr>
        <w:t>36 miesięczna gwarancja producenta w miejscu instalacji z 30 minutowym czasem reakcji na zdarzenia krytyczne przez całą dobę, 7 dni w tygodniu (bezpośredni kontakt ze specjalistą). Przybycie na miejsce w ciągu 4 godzin od zgłoszenia przez całą dobę, 7 dni w tygodniu. Uszkodzony dysk pozostaje u Zamawiającego. Serwis realizowany przez polski oddział serwisu producenta. W okresie gwarancji Zamawiający ma prawo do otrzymywania poprawek oraz aktualizacji wersji oprogramowania dostarczonego wraz z macierzą oraz oprogramowania wewnętrznego macierzy</w:t>
      </w:r>
      <w:r w:rsidR="00596B9D" w:rsidRPr="00596B9D">
        <w:rPr>
          <w:rFonts w:cstheme="minorHAnsi"/>
          <w:sz w:val="24"/>
          <w:szCs w:val="24"/>
        </w:rPr>
        <w:t>”</w:t>
      </w:r>
      <w:r w:rsidR="00596B9D">
        <w:rPr>
          <w:rFonts w:cstheme="minorHAnsi"/>
          <w:sz w:val="24"/>
          <w:szCs w:val="24"/>
        </w:rPr>
        <w:t>.</w:t>
      </w:r>
    </w:p>
    <w:p w14:paraId="2CECEB63" w14:textId="6CE86A2F" w:rsidR="007E5B10" w:rsidRPr="00596B9D" w:rsidRDefault="007E5B10" w:rsidP="007E5B10">
      <w:pPr>
        <w:spacing w:after="0" w:line="24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p w14:paraId="277A575F" w14:textId="77777777" w:rsidR="00AE31C9" w:rsidRPr="00E26FA6" w:rsidRDefault="00AE31C9" w:rsidP="00AE31C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61F43">
        <w:rPr>
          <w:rFonts w:ascii="Calibri" w:eastAsia="Calibri" w:hAnsi="Calibri" w:cs="Calibri"/>
          <w:sz w:val="24"/>
          <w:szCs w:val="24"/>
        </w:rPr>
        <w:t xml:space="preserve">Par. 11 ust. 1 pkt 3 </w:t>
      </w:r>
      <w:r w:rsidRPr="00E26FA6">
        <w:rPr>
          <w:rFonts w:eastAsia="Calibri" w:cstheme="minorHAnsi"/>
          <w:sz w:val="24"/>
          <w:szCs w:val="24"/>
        </w:rPr>
        <w:t>projektowanych postanowień umowy, który stanowi Załącznik nr 11 do SWZ otrzymuje nowe brzmienie:</w:t>
      </w:r>
    </w:p>
    <w:p w14:paraId="50B1E541" w14:textId="1B76A776" w:rsidR="00AE31C9" w:rsidRPr="00F61F43" w:rsidRDefault="00AE31C9" w:rsidP="00F61F43">
      <w:pPr>
        <w:pStyle w:val="Akapitzlist"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53B4C2D5" w14:textId="7D41B28B" w:rsidR="00AE31C9" w:rsidRPr="00F61F43" w:rsidRDefault="00AE31C9" w:rsidP="00AE31C9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4"/>
          <w:szCs w:val="24"/>
        </w:rPr>
      </w:pPr>
      <w:r w:rsidRPr="00F61F43">
        <w:rPr>
          <w:rFonts w:ascii="Calibri" w:hAnsi="Calibri" w:cs="Calibri"/>
          <w:sz w:val="24"/>
          <w:szCs w:val="24"/>
        </w:rPr>
        <w:t xml:space="preserve">,,3) za zwłokę w stosunku do terminu </w:t>
      </w:r>
      <w:r w:rsidR="0072113F" w:rsidRPr="00F61F43">
        <w:rPr>
          <w:rFonts w:ascii="Calibri" w:hAnsi="Calibri" w:cs="Calibri"/>
          <w:sz w:val="24"/>
          <w:szCs w:val="24"/>
        </w:rPr>
        <w:t xml:space="preserve">reakcji lub </w:t>
      </w:r>
      <w:r w:rsidRPr="00F61F43">
        <w:rPr>
          <w:rFonts w:ascii="Calibri" w:hAnsi="Calibri" w:cs="Calibri"/>
          <w:sz w:val="24"/>
          <w:szCs w:val="24"/>
        </w:rPr>
        <w:t>naprawy</w:t>
      </w:r>
      <w:r w:rsidR="00FD780F" w:rsidRPr="00F61F43">
        <w:rPr>
          <w:rFonts w:ascii="Calibri" w:hAnsi="Calibri" w:cs="Calibri"/>
          <w:sz w:val="24"/>
          <w:szCs w:val="24"/>
        </w:rPr>
        <w:t xml:space="preserve"> w przypadku wystąpienia</w:t>
      </w:r>
      <w:r w:rsidRPr="00F61F43">
        <w:rPr>
          <w:rFonts w:ascii="Calibri" w:hAnsi="Calibri" w:cs="Calibri"/>
          <w:sz w:val="24"/>
          <w:szCs w:val="24"/>
        </w:rPr>
        <w:t xml:space="preserve">: </w:t>
      </w:r>
    </w:p>
    <w:p w14:paraId="58A34583" w14:textId="09E02592" w:rsidR="00AE31C9" w:rsidRPr="00F61F43" w:rsidRDefault="00AE31C9" w:rsidP="00AE31C9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1F43">
        <w:rPr>
          <w:rFonts w:ascii="Calibri" w:hAnsi="Calibri" w:cs="Calibri"/>
          <w:sz w:val="24"/>
          <w:szCs w:val="24"/>
        </w:rPr>
        <w:t>wady infrastruktury sprzętowej i/lub awarii oprogramowania w okresie gwarancyjnym wskazanym w § 5 ust.2  – w wysokości 500 zł netto za każdą  godz. zwłoki w stosunku do terminów określonych w godzinach oraz w wysokości 250 zł. za każde 30 min. zwłoki w stosunku do terminów określonych w minutach oraz w wysokości 1000 zł. za każdy dzień zwłoki w stosunku do terminów określonych w dniach,</w:t>
      </w:r>
    </w:p>
    <w:p w14:paraId="659046A8" w14:textId="5B015D10" w:rsidR="00AE31C9" w:rsidRPr="00F61F43" w:rsidRDefault="00AE31C9" w:rsidP="00AE31C9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1F43">
        <w:rPr>
          <w:rFonts w:ascii="Calibri" w:hAnsi="Calibri" w:cs="Calibri"/>
          <w:sz w:val="24"/>
          <w:szCs w:val="24"/>
        </w:rPr>
        <w:t>błędu oprogramowania w okresie gwarancyjnym wskazanym w § 5 ust.2  –</w:t>
      </w:r>
      <w:r w:rsidR="00E26FA6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Pr="00F61F43">
        <w:rPr>
          <w:rFonts w:ascii="Calibri" w:hAnsi="Calibri" w:cs="Calibri"/>
          <w:sz w:val="24"/>
          <w:szCs w:val="24"/>
        </w:rPr>
        <w:t xml:space="preserve"> w wysokości 1000 zł netto za każde rozpoczęte 7 dni zwłoki w stosunku do terminów określonych w dniach, </w:t>
      </w:r>
    </w:p>
    <w:p w14:paraId="6AF388B9" w14:textId="3546F090" w:rsidR="00AE31C9" w:rsidRPr="00E26FA6" w:rsidRDefault="00AE31C9" w:rsidP="00AE31C9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1F43">
        <w:rPr>
          <w:rFonts w:ascii="Calibri" w:hAnsi="Calibri" w:cs="Calibri"/>
          <w:sz w:val="24"/>
          <w:szCs w:val="24"/>
        </w:rPr>
        <w:lastRenderedPageBreak/>
        <w:t>usterki oprogramowania w okresie gwarancyjnym wskazanym  w § 5 ust.2  – w wysokości 500 zł netto za każde rozpoczęte 14 dni zwłoki w stosunku do terminów określonych w dniach</w:t>
      </w:r>
      <w:r w:rsidR="0010643D">
        <w:rPr>
          <w:rFonts w:ascii="Calibri" w:hAnsi="Calibri" w:cs="Calibri"/>
          <w:sz w:val="24"/>
          <w:szCs w:val="24"/>
        </w:rPr>
        <w:t>”.</w:t>
      </w:r>
    </w:p>
    <w:p w14:paraId="26C48BA6" w14:textId="77777777" w:rsidR="007E5B10" w:rsidRPr="00F61F43" w:rsidRDefault="007E5B10" w:rsidP="007E5B1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E4954A3" w14:textId="77777777" w:rsidR="0010643D" w:rsidRDefault="0010643D" w:rsidP="0010643D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              </w:t>
      </w:r>
    </w:p>
    <w:p w14:paraId="1D7FD9C5" w14:textId="359D6D94" w:rsidR="0010643D" w:rsidRDefault="0010643D" w:rsidP="00F61F43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                </w:t>
      </w:r>
      <w:r w:rsidRPr="00F61F43">
        <w:rPr>
          <w:rFonts w:asciiTheme="majorHAnsi" w:eastAsia="Times New Roman" w:hAnsiTheme="majorHAnsi" w:cs="Arial"/>
          <w:b/>
          <w:bCs/>
          <w:sz w:val="24"/>
          <w:szCs w:val="24"/>
        </w:rPr>
        <w:t>Z upoważnienia Dyrektora</w:t>
      </w:r>
    </w:p>
    <w:p w14:paraId="3BE505D5" w14:textId="3F94F333" w:rsidR="0010643D" w:rsidRPr="00F61F43" w:rsidRDefault="0010643D" w:rsidP="0010643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F61F43">
        <w:rPr>
          <w:rFonts w:asciiTheme="majorHAnsi" w:eastAsia="Times New Roman" w:hAnsiTheme="majorHAnsi" w:cs="Arial"/>
          <w:b/>
          <w:bCs/>
          <w:sz w:val="24"/>
          <w:szCs w:val="24"/>
        </w:rPr>
        <w:t>Andrzej Marciniak</w:t>
      </w:r>
    </w:p>
    <w:p w14:paraId="4DA0DD8C" w14:textId="52F2A816" w:rsidR="0010643D" w:rsidRPr="00F61F43" w:rsidRDefault="0010643D" w:rsidP="00F4499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                                                                       Z</w:t>
      </w:r>
      <w:r w:rsidRPr="00F61F43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-ca Dyrektora ds. </w:t>
      </w:r>
      <w:proofErr w:type="spellStart"/>
      <w:r w:rsidRPr="00F61F43">
        <w:rPr>
          <w:rFonts w:asciiTheme="majorHAnsi" w:eastAsia="Times New Roman" w:hAnsiTheme="majorHAnsi" w:cs="Arial"/>
          <w:b/>
          <w:bCs/>
          <w:sz w:val="24"/>
          <w:szCs w:val="24"/>
        </w:rPr>
        <w:t>Ekonomiczno</w:t>
      </w:r>
      <w:proofErr w:type="spellEnd"/>
      <w:r w:rsidRPr="00F61F43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- Finansowych</w:t>
      </w:r>
    </w:p>
    <w:p w14:paraId="71B3BB88" w14:textId="77777777" w:rsidR="00B252A9" w:rsidRDefault="00B252A9" w:rsidP="00F61F4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1D4D598" w14:textId="6243E74D" w:rsidR="00CB7E30" w:rsidRPr="0020799D" w:rsidRDefault="0079059D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</w:t>
      </w:r>
      <w:r w:rsidR="00CB7E30" w:rsidRPr="0020799D">
        <w:rPr>
          <w:rFonts w:asciiTheme="majorHAnsi" w:eastAsia="Times New Roman" w:hAnsiTheme="majorHAnsi" w:cs="Arial"/>
          <w:sz w:val="24"/>
          <w:szCs w:val="24"/>
        </w:rPr>
        <w:t>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</w:t>
      </w:r>
      <w:r w:rsidR="00CB7E30" w:rsidRPr="0020799D">
        <w:rPr>
          <w:rFonts w:asciiTheme="majorHAnsi" w:eastAsia="Times New Roman" w:hAnsiTheme="majorHAnsi" w:cs="Arial"/>
          <w:sz w:val="24"/>
          <w:szCs w:val="24"/>
        </w:rPr>
        <w:t>…………….</w:t>
      </w:r>
    </w:p>
    <w:p w14:paraId="212ADD27" w14:textId="77777777" w:rsidR="0079059D" w:rsidRDefault="00CB7E30" w:rsidP="005D4B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lub osoba upoważniona do </w:t>
      </w:r>
      <w:r w:rsidR="0079059D">
        <w:rPr>
          <w:rFonts w:asciiTheme="majorHAnsi" w:eastAsia="Times New Roman" w:hAnsiTheme="majorHAnsi" w:cs="Arial"/>
          <w:sz w:val="18"/>
          <w:szCs w:val="18"/>
        </w:rPr>
        <w:t xml:space="preserve">     </w:t>
      </w:r>
    </w:p>
    <w:p w14:paraId="1D12EE0E" w14:textId="7497C40A" w:rsidR="00CB7E30" w:rsidRDefault="0079059D" w:rsidP="005D4B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 w:rsidR="00CB7E30" w:rsidRPr="0020799D">
        <w:rPr>
          <w:rFonts w:asciiTheme="majorHAnsi" w:eastAsia="Times New Roman" w:hAnsiTheme="majorHAnsi" w:cs="Arial"/>
          <w:sz w:val="18"/>
          <w:szCs w:val="18"/>
        </w:rPr>
        <w:t>podejmowania czynności w jego imieniu</w:t>
      </w:r>
    </w:p>
    <w:p w14:paraId="4D1F82F8" w14:textId="77777777" w:rsidR="006E3B2F" w:rsidRDefault="006E3B2F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2A8D3C0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7EA88D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C5E27FA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7E1FEAD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0CBF952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E291682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8389D91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2D37D7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B2D0DEE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3BCDB8D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4A30DD9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BA02A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F660B66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1443BCC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0142147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74D0E39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7C4788B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299F336" w14:textId="77777777" w:rsidR="0079059D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C2CEDA0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42476E67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4A0B9C50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497AEA82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BBFFFA6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1E3BEE74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6D94A17D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B467929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1DDACBA3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027D0B3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3FAB630B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DD90EFD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79D7783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72D17D46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66C9278C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56FA112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787CB9F7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3E4A15BC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57190E9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71B237B5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49499B5E" w14:textId="77777777" w:rsidR="00E26FA6" w:rsidRDefault="00E26FA6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3424975B" w14:textId="54D55ED4" w:rsidR="0079059D" w:rsidRPr="00EF1D01" w:rsidRDefault="0079059D" w:rsidP="0079059D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EF1D01">
        <w:rPr>
          <w:rFonts w:ascii="Tahoma" w:eastAsia="Times New Roman" w:hAnsi="Tahoma" w:cs="Tahoma"/>
          <w:sz w:val="18"/>
          <w:szCs w:val="18"/>
          <w:lang w:eastAsia="zh-CN"/>
        </w:rPr>
        <w:t>Sprawę prowadzi:</w:t>
      </w:r>
    </w:p>
    <w:p w14:paraId="7ACF434A" w14:textId="77777777" w:rsidR="0079059D" w:rsidRPr="00EF1D01" w:rsidRDefault="0079059D" w:rsidP="0079059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EF1D01">
        <w:rPr>
          <w:rFonts w:ascii="Tahoma" w:eastAsia="Times New Roman" w:hAnsi="Tahoma" w:cs="Tahoma"/>
          <w:sz w:val="18"/>
          <w:szCs w:val="18"/>
          <w:lang w:eastAsia="zh-CN"/>
        </w:rPr>
        <w:t>Marta Bachańska</w:t>
      </w:r>
    </w:p>
    <w:p w14:paraId="7C5567CA" w14:textId="77777777" w:rsidR="0079059D" w:rsidRPr="00EF1D01" w:rsidRDefault="0079059D" w:rsidP="0079059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EF1D01">
        <w:rPr>
          <w:rFonts w:ascii="Tahoma" w:eastAsia="Times New Roman" w:hAnsi="Tahoma" w:cs="Tahoma"/>
          <w:sz w:val="18"/>
          <w:szCs w:val="18"/>
          <w:lang w:eastAsia="zh-CN"/>
        </w:rPr>
        <w:t>ul. Nowowiejska 27, 00-665 Warszawa, pok. 8</w:t>
      </w:r>
    </w:p>
    <w:p w14:paraId="737B9E99" w14:textId="77777777" w:rsidR="0079059D" w:rsidRPr="00EF1D01" w:rsidRDefault="0079059D" w:rsidP="0079059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zh-CN"/>
        </w:rPr>
      </w:pPr>
      <w:r w:rsidRPr="00EF1D01">
        <w:rPr>
          <w:rFonts w:ascii="Tahoma" w:eastAsia="Times New Roman" w:hAnsi="Tahoma" w:cs="Tahoma"/>
          <w:sz w:val="18"/>
          <w:szCs w:val="18"/>
          <w:lang w:val="en-US" w:eastAsia="zh-CN"/>
        </w:rPr>
        <w:t>tel. (022) 11 65 359,</w:t>
      </w:r>
    </w:p>
    <w:p w14:paraId="68805B46" w14:textId="77777777" w:rsidR="0079059D" w:rsidRPr="00EF1D01" w:rsidRDefault="0079059D" w:rsidP="0079059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zh-CN"/>
        </w:rPr>
      </w:pPr>
      <w:r w:rsidRPr="00EF1D01">
        <w:rPr>
          <w:rFonts w:ascii="Tahoma" w:eastAsia="Times New Roman" w:hAnsi="Tahoma" w:cs="Tahoma"/>
          <w:sz w:val="18"/>
          <w:szCs w:val="18"/>
          <w:lang w:val="en-US" w:eastAsia="zh-CN"/>
        </w:rPr>
        <w:t xml:space="preserve">e-mail: </w:t>
      </w:r>
      <w:hyperlink r:id="rId5" w:history="1">
        <w:r w:rsidRPr="00EF1D01">
          <w:rPr>
            <w:rStyle w:val="Hipercze"/>
            <w:rFonts w:ascii="Tahoma" w:eastAsia="Times New Roman" w:hAnsi="Tahoma" w:cs="Tahoma"/>
            <w:sz w:val="18"/>
            <w:szCs w:val="18"/>
            <w:lang w:val="en-US" w:eastAsia="zh-CN"/>
          </w:rPr>
          <w:t>m.bachanska@szpitalnowowiejski.pl</w:t>
        </w:r>
      </w:hyperlink>
    </w:p>
    <w:p w14:paraId="1F3A8AD6" w14:textId="77777777" w:rsidR="0079059D" w:rsidRPr="00EF1D01" w:rsidRDefault="0079059D" w:rsidP="0079059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zh-CN"/>
        </w:rPr>
      </w:pPr>
    </w:p>
    <w:p w14:paraId="23ECF7A1" w14:textId="77777777" w:rsidR="0079059D" w:rsidRDefault="0079059D" w:rsidP="0079059D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52BFFFD" w14:textId="77777777" w:rsidR="0079059D" w:rsidRPr="005D4B76" w:rsidRDefault="0079059D" w:rsidP="0079059D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79059D" w:rsidRPr="005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305A"/>
    <w:multiLevelType w:val="multilevel"/>
    <w:tmpl w:val="66A8B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228" w:hanging="661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3147" w:hanging="1020"/>
      </w:pPr>
      <w:rPr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9B57AD"/>
    <w:multiLevelType w:val="hybridMultilevel"/>
    <w:tmpl w:val="0CA0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16E3"/>
    <w:multiLevelType w:val="multilevel"/>
    <w:tmpl w:val="BB508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228" w:hanging="661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147" w:hanging="1020"/>
      </w:pPr>
      <w:rPr>
        <w:rFonts w:ascii="Cambria" w:eastAsia="Times New Roman" w:hAnsi="Cambria" w:cs="Calibri Light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CF0430"/>
    <w:multiLevelType w:val="hybridMultilevel"/>
    <w:tmpl w:val="F8185702"/>
    <w:lvl w:ilvl="0" w:tplc="48C078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1BD9"/>
    <w:multiLevelType w:val="hybridMultilevel"/>
    <w:tmpl w:val="33D49238"/>
    <w:lvl w:ilvl="0" w:tplc="DC901B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539E"/>
    <w:multiLevelType w:val="hybridMultilevel"/>
    <w:tmpl w:val="18945714"/>
    <w:lvl w:ilvl="0" w:tplc="2304C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280"/>
    <w:multiLevelType w:val="hybridMultilevel"/>
    <w:tmpl w:val="1C1493AE"/>
    <w:lvl w:ilvl="0" w:tplc="168A06A4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A8A"/>
    <w:multiLevelType w:val="hybridMultilevel"/>
    <w:tmpl w:val="2E9EC00E"/>
    <w:lvl w:ilvl="0" w:tplc="41966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081957">
    <w:abstractNumId w:val="1"/>
  </w:num>
  <w:num w:numId="2" w16cid:durableId="2114937016">
    <w:abstractNumId w:val="0"/>
  </w:num>
  <w:num w:numId="3" w16cid:durableId="1071276066">
    <w:abstractNumId w:val="6"/>
  </w:num>
  <w:num w:numId="4" w16cid:durableId="1643776134">
    <w:abstractNumId w:val="3"/>
  </w:num>
  <w:num w:numId="5" w16cid:durableId="1687948618">
    <w:abstractNumId w:val="2"/>
  </w:num>
  <w:num w:numId="6" w16cid:durableId="119998777">
    <w:abstractNumId w:val="8"/>
  </w:num>
  <w:num w:numId="7" w16cid:durableId="1584338685">
    <w:abstractNumId w:val="10"/>
  </w:num>
  <w:num w:numId="8" w16cid:durableId="1144617958">
    <w:abstractNumId w:val="11"/>
  </w:num>
  <w:num w:numId="9" w16cid:durableId="76362596">
    <w:abstractNumId w:val="12"/>
  </w:num>
  <w:num w:numId="10" w16cid:durableId="1257246830">
    <w:abstractNumId w:val="5"/>
  </w:num>
  <w:num w:numId="11" w16cid:durableId="611086243">
    <w:abstractNumId w:val="7"/>
  </w:num>
  <w:num w:numId="12" w16cid:durableId="129446855">
    <w:abstractNumId w:val="4"/>
  </w:num>
  <w:num w:numId="13" w16cid:durableId="940723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41713"/>
    <w:rsid w:val="000C554F"/>
    <w:rsid w:val="0010643D"/>
    <w:rsid w:val="001B74BE"/>
    <w:rsid w:val="001D26EC"/>
    <w:rsid w:val="002A2087"/>
    <w:rsid w:val="003201A2"/>
    <w:rsid w:val="00471DB1"/>
    <w:rsid w:val="005000B1"/>
    <w:rsid w:val="00593D70"/>
    <w:rsid w:val="00596B9D"/>
    <w:rsid w:val="005B0203"/>
    <w:rsid w:val="005D4B76"/>
    <w:rsid w:val="00652394"/>
    <w:rsid w:val="00690FEC"/>
    <w:rsid w:val="006E3B2F"/>
    <w:rsid w:val="006E3E5E"/>
    <w:rsid w:val="0072113F"/>
    <w:rsid w:val="0079059D"/>
    <w:rsid w:val="007A704F"/>
    <w:rsid w:val="007E5B10"/>
    <w:rsid w:val="00820B53"/>
    <w:rsid w:val="00890B78"/>
    <w:rsid w:val="00927749"/>
    <w:rsid w:val="0097574A"/>
    <w:rsid w:val="00AD543C"/>
    <w:rsid w:val="00AE31C9"/>
    <w:rsid w:val="00B252A9"/>
    <w:rsid w:val="00CB7E30"/>
    <w:rsid w:val="00CC56F6"/>
    <w:rsid w:val="00CD6E40"/>
    <w:rsid w:val="00D50C3A"/>
    <w:rsid w:val="00D657BC"/>
    <w:rsid w:val="00D815F0"/>
    <w:rsid w:val="00DF3C2C"/>
    <w:rsid w:val="00E26FA6"/>
    <w:rsid w:val="00E864DE"/>
    <w:rsid w:val="00EB6027"/>
    <w:rsid w:val="00EF1699"/>
    <w:rsid w:val="00EF1D01"/>
    <w:rsid w:val="00F44992"/>
    <w:rsid w:val="00F61F43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,CP-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D01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041713"/>
  </w:style>
  <w:style w:type="paragraph" w:styleId="Poprawka">
    <w:name w:val="Revision"/>
    <w:hidden/>
    <w:uiPriority w:val="99"/>
    <w:semiHidden/>
    <w:rsid w:val="00927749"/>
    <w:pPr>
      <w:spacing w:after="0" w:line="240" w:lineRule="auto"/>
    </w:pPr>
  </w:style>
  <w:style w:type="paragraph" w:customStyle="1" w:styleId="Umowa111">
    <w:name w:val="Umowa 1.1.1"/>
    <w:basedOn w:val="Normalny"/>
    <w:link w:val="Umowa111Znak"/>
    <w:qFormat/>
    <w:rsid w:val="00927749"/>
    <w:pPr>
      <w:tabs>
        <w:tab w:val="left" w:pos="1560"/>
      </w:tabs>
      <w:spacing w:before="120" w:after="0"/>
      <w:ind w:left="2268" w:hanging="1020"/>
      <w:jc w:val="both"/>
    </w:pPr>
    <w:rPr>
      <w:rFonts w:ascii="Candara" w:eastAsia="Calibri" w:hAnsi="Candara" w:cs="Arial"/>
      <w:sz w:val="24"/>
      <w:szCs w:val="24"/>
      <w:lang w:eastAsia="pl-PL"/>
    </w:rPr>
  </w:style>
  <w:style w:type="character" w:customStyle="1" w:styleId="Umowa111Znak">
    <w:name w:val="Umowa 1.1.1 Znak"/>
    <w:link w:val="Umowa111"/>
    <w:rsid w:val="00927749"/>
    <w:rPr>
      <w:rFonts w:ascii="Candara" w:eastAsia="Calibri" w:hAnsi="Candar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achanska@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7</cp:revision>
  <cp:lastPrinted>2023-06-05T12:58:00Z</cp:lastPrinted>
  <dcterms:created xsi:type="dcterms:W3CDTF">2023-06-05T12:50:00Z</dcterms:created>
  <dcterms:modified xsi:type="dcterms:W3CDTF">2023-06-05T13:33:00Z</dcterms:modified>
</cp:coreProperties>
</file>