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03D6A111" w:rsidR="001C2F34" w:rsidRPr="001C2F34" w:rsidRDefault="00066BDF" w:rsidP="001C2F34">
      <w:pPr>
        <w:jc w:val="center"/>
        <w:rPr>
          <w:b/>
        </w:rPr>
      </w:pPr>
      <w:r>
        <w:rPr>
          <w:b/>
        </w:rPr>
        <w:t>GMINNY OŚRODEK POMOCY SPOŁECZNEJ</w:t>
      </w:r>
    </w:p>
    <w:p w14:paraId="00000006" w14:textId="0E1ECCD3" w:rsidR="00FE1011" w:rsidRDefault="00FE1011">
      <w:pPr>
        <w:jc w:val="center"/>
        <w:rPr>
          <w:sz w:val="26"/>
          <w:szCs w:val="26"/>
        </w:rPr>
      </w:pPr>
    </w:p>
    <w:p w14:paraId="00000007" w14:textId="05625F9E" w:rsidR="00FE1011" w:rsidRDefault="001C2F34" w:rsidP="00DB126F">
      <w:pPr>
        <w:spacing w:before="240" w:line="360" w:lineRule="auto"/>
        <w:jc w:val="center"/>
        <w:rPr>
          <w:sz w:val="20"/>
          <w:szCs w:val="20"/>
        </w:rPr>
      </w:pPr>
      <w:r>
        <w:rPr>
          <w:sz w:val="20"/>
          <w:szCs w:val="20"/>
        </w:rPr>
        <w:t xml:space="preserve">Zaprasza do złożenia oferty w trybie art. 275 pkt 1 (trybie podstawowym bez negocjacji) </w:t>
      </w:r>
      <w:r w:rsidR="00DB126F" w:rsidRPr="00DB126F">
        <w:rPr>
          <w:sz w:val="20"/>
          <w:szCs w:val="20"/>
          <w:lang w:val="pl-PL"/>
        </w:rPr>
        <w:t xml:space="preserve"> w związku z art. 359 pkt 2 </w:t>
      </w:r>
      <w:r>
        <w:rPr>
          <w:sz w:val="20"/>
          <w:szCs w:val="20"/>
        </w:rPr>
        <w:t xml:space="preserve">o wartości zamówienia </w:t>
      </w:r>
      <w:bookmarkStart w:id="0" w:name="_Hlk120023574"/>
      <w:r w:rsidR="00A070D2">
        <w:rPr>
          <w:sz w:val="20"/>
          <w:szCs w:val="20"/>
        </w:rPr>
        <w:t>mniejszej niż progi unijne</w:t>
      </w:r>
      <w:r>
        <w:rPr>
          <w:sz w:val="20"/>
          <w:szCs w:val="20"/>
        </w:rPr>
        <w:t xml:space="preserve"> </w:t>
      </w:r>
      <w:r w:rsidR="00881D58">
        <w:rPr>
          <w:sz w:val="20"/>
          <w:szCs w:val="20"/>
        </w:rPr>
        <w:t>– jeżeli wartość zamówienia wyrażona w złotych jest mniejsza niż równowartość kwoty 750 000 euro, nie mniejsza jednak niż równowartość kwoty 130 000 złotych</w:t>
      </w:r>
      <w:r>
        <w:rPr>
          <w:sz w:val="20"/>
          <w:szCs w:val="20"/>
        </w:rPr>
        <w:t xml:space="preserve"> </w:t>
      </w:r>
      <w:bookmarkEnd w:id="0"/>
      <w:r>
        <w:rPr>
          <w:sz w:val="20"/>
          <w:szCs w:val="20"/>
        </w:rPr>
        <w:t>ustawy z 11 września 2019 r. - Prawo zamówień publicznych (</w:t>
      </w:r>
      <w:r w:rsidR="00B12E25">
        <w:rPr>
          <w:sz w:val="20"/>
          <w:szCs w:val="20"/>
        </w:rPr>
        <w:t xml:space="preserve">j.t. </w:t>
      </w:r>
      <w:r>
        <w:rPr>
          <w:sz w:val="20"/>
          <w:szCs w:val="20"/>
        </w:rPr>
        <w:t>Dz. U. z 20</w:t>
      </w:r>
      <w:r w:rsidR="00B12E25">
        <w:rPr>
          <w:sz w:val="20"/>
          <w:szCs w:val="20"/>
        </w:rPr>
        <w:t>2</w:t>
      </w:r>
      <w:r w:rsidR="00B73E40">
        <w:rPr>
          <w:sz w:val="20"/>
          <w:szCs w:val="20"/>
        </w:rPr>
        <w:t>4</w:t>
      </w:r>
      <w:r>
        <w:rPr>
          <w:sz w:val="20"/>
          <w:szCs w:val="20"/>
        </w:rPr>
        <w:t xml:space="preserve"> r. poz. </w:t>
      </w:r>
      <w:r w:rsidR="00B73E40">
        <w:rPr>
          <w:sz w:val="20"/>
          <w:szCs w:val="20"/>
        </w:rPr>
        <w:t>1320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47588FFD" w:rsidR="00944389" w:rsidRPr="00944389" w:rsidRDefault="00944389" w:rsidP="008C483D">
      <w:pPr>
        <w:jc w:val="center"/>
        <w:rPr>
          <w:b/>
          <w:sz w:val="32"/>
          <w:szCs w:val="32"/>
        </w:rPr>
      </w:pPr>
      <w:r w:rsidRPr="00944389">
        <w:rPr>
          <w:b/>
          <w:sz w:val="32"/>
          <w:szCs w:val="32"/>
        </w:rPr>
        <w:t>“</w:t>
      </w:r>
      <w:r w:rsidR="00DB126F">
        <w:rPr>
          <w:b/>
          <w:sz w:val="32"/>
          <w:szCs w:val="32"/>
        </w:rPr>
        <w:t>Świadczenie specjalistycznych usług opiekuńczych dla osób z zaburzeniami psychicznymi</w:t>
      </w:r>
      <w:r w:rsidR="00D937CF">
        <w:rPr>
          <w:b/>
          <w:sz w:val="32"/>
          <w:szCs w:val="32"/>
        </w:rPr>
        <w:t xml:space="preserve"> w okresie od 1 stycznia 202</w:t>
      </w:r>
      <w:r w:rsidR="00B73E40">
        <w:rPr>
          <w:b/>
          <w:sz w:val="32"/>
          <w:szCs w:val="32"/>
        </w:rPr>
        <w:t>5</w:t>
      </w:r>
      <w:r w:rsidR="00D937CF">
        <w:rPr>
          <w:b/>
          <w:sz w:val="32"/>
          <w:szCs w:val="32"/>
        </w:rPr>
        <w:t xml:space="preserve"> r. do </w:t>
      </w:r>
      <w:r w:rsidR="008E7026">
        <w:rPr>
          <w:b/>
          <w:sz w:val="32"/>
          <w:szCs w:val="32"/>
        </w:rPr>
        <w:t>31 grudnia 202</w:t>
      </w:r>
      <w:r w:rsidR="00B73E40">
        <w:rPr>
          <w:b/>
          <w:sz w:val="32"/>
          <w:szCs w:val="32"/>
        </w:rPr>
        <w:t>6</w:t>
      </w:r>
      <w:r w:rsidR="00D937CF">
        <w:rPr>
          <w:b/>
          <w:sz w:val="32"/>
          <w:szCs w:val="32"/>
        </w:rPr>
        <w:t xml:space="preserve"> </w:t>
      </w:r>
      <w:r w:rsidR="008E7026">
        <w:rPr>
          <w:b/>
          <w:sz w:val="32"/>
          <w:szCs w:val="32"/>
        </w:rPr>
        <w:t>r</w:t>
      </w:r>
      <w:r w:rsidR="00DB126F">
        <w:rPr>
          <w:b/>
          <w:sz w:val="32"/>
          <w:szCs w:val="32"/>
        </w:rPr>
        <w:t>.</w:t>
      </w:r>
      <w:r w:rsidRPr="00944389">
        <w:rPr>
          <w:b/>
          <w:sz w:val="32"/>
          <w:szCs w:val="32"/>
        </w:rPr>
        <w:t>”</w:t>
      </w:r>
    </w:p>
    <w:p w14:paraId="00000010" w14:textId="77777777" w:rsidR="00FE1011" w:rsidRDefault="00FE1011">
      <w:pPr>
        <w:jc w:val="center"/>
        <w:rPr>
          <w:sz w:val="16"/>
          <w:szCs w:val="16"/>
        </w:rPr>
      </w:pPr>
    </w:p>
    <w:p w14:paraId="00000011" w14:textId="209A75D5" w:rsidR="00FE1011" w:rsidRPr="001C2F34" w:rsidRDefault="001C2F34">
      <w:pPr>
        <w:jc w:val="center"/>
        <w:rPr>
          <w:b/>
        </w:rPr>
      </w:pPr>
      <w:r>
        <w:t xml:space="preserve">Nr postępowania: </w:t>
      </w:r>
      <w:r>
        <w:rPr>
          <w:sz w:val="20"/>
          <w:szCs w:val="20"/>
        </w:rPr>
        <w:t>ZP.271.</w:t>
      </w:r>
      <w:r w:rsidR="00C57AF4">
        <w:rPr>
          <w:sz w:val="20"/>
          <w:szCs w:val="20"/>
        </w:rPr>
        <w:t>3</w:t>
      </w:r>
      <w:r w:rsidR="00B73E40">
        <w:rPr>
          <w:sz w:val="20"/>
          <w:szCs w:val="20"/>
        </w:rPr>
        <w:t>2</w:t>
      </w:r>
      <w:r>
        <w:rPr>
          <w:sz w:val="20"/>
          <w:szCs w:val="20"/>
        </w:rPr>
        <w:t>.202</w:t>
      </w:r>
      <w:r w:rsidR="00B73E40">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62539039" w:rsidR="00FE1011" w:rsidRPr="00944389" w:rsidRDefault="00B73E40">
      <w:pPr>
        <w:jc w:val="center"/>
        <w:rPr>
          <w:b/>
          <w:color w:val="000000" w:themeColor="text1"/>
        </w:rPr>
      </w:pPr>
      <w:r>
        <w:rPr>
          <w:b/>
          <w:color w:val="000000" w:themeColor="text1"/>
        </w:rPr>
        <w:t>2</w:t>
      </w:r>
      <w:r w:rsidR="00842C0D">
        <w:rPr>
          <w:b/>
          <w:color w:val="000000" w:themeColor="text1"/>
        </w:rPr>
        <w:t>9</w:t>
      </w:r>
      <w:r>
        <w:rPr>
          <w:b/>
          <w:color w:val="000000" w:themeColor="text1"/>
        </w:rPr>
        <w:t xml:space="preserve"> listopada 2024 roku</w:t>
      </w:r>
    </w:p>
    <w:p w14:paraId="0000002B" w14:textId="4689E440" w:rsidR="00FE1011" w:rsidRDefault="001C2F34" w:rsidP="008E7026">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Pr>
                <w:noProof/>
                <w:webHidden/>
              </w:rPr>
              <w:t>3</w:t>
            </w:r>
            <w:r>
              <w:rPr>
                <w:noProof/>
                <w:webHidden/>
              </w:rPr>
              <w:fldChar w:fldCharType="end"/>
            </w:r>
          </w:hyperlink>
        </w:p>
        <w:p w14:paraId="5E2B7AE5" w14:textId="62002EA4"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Pr>
                <w:noProof/>
                <w:webHidden/>
              </w:rPr>
              <w:t>4</w:t>
            </w:r>
            <w:r>
              <w:rPr>
                <w:noProof/>
                <w:webHidden/>
              </w:rPr>
              <w:fldChar w:fldCharType="end"/>
            </w:r>
          </w:hyperlink>
        </w:p>
        <w:p w14:paraId="451698D4" w14:textId="36A7C4AD"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Pr>
                <w:noProof/>
                <w:webHidden/>
              </w:rPr>
              <w:t>5</w:t>
            </w:r>
            <w:r>
              <w:rPr>
                <w:noProof/>
                <w:webHidden/>
              </w:rPr>
              <w:fldChar w:fldCharType="end"/>
            </w:r>
          </w:hyperlink>
        </w:p>
        <w:p w14:paraId="0EF1DD9A" w14:textId="51548B51"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Pr>
                <w:noProof/>
                <w:webHidden/>
              </w:rPr>
              <w:t>5</w:t>
            </w:r>
            <w:r>
              <w:rPr>
                <w:noProof/>
                <w:webHidden/>
              </w:rPr>
              <w:fldChar w:fldCharType="end"/>
            </w:r>
          </w:hyperlink>
        </w:p>
        <w:p w14:paraId="6FCF1597" w14:textId="09AF465B"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Pr>
                <w:noProof/>
                <w:webHidden/>
              </w:rPr>
              <w:t>6</w:t>
            </w:r>
            <w:r>
              <w:rPr>
                <w:noProof/>
                <w:webHidden/>
              </w:rPr>
              <w:fldChar w:fldCharType="end"/>
            </w:r>
          </w:hyperlink>
        </w:p>
        <w:p w14:paraId="767C27FB" w14:textId="1231F181"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Pr>
                <w:noProof/>
                <w:webHidden/>
              </w:rPr>
              <w:t>6</w:t>
            </w:r>
            <w:r>
              <w:rPr>
                <w:noProof/>
                <w:webHidden/>
              </w:rPr>
              <w:fldChar w:fldCharType="end"/>
            </w:r>
          </w:hyperlink>
        </w:p>
        <w:p w14:paraId="1416B834" w14:textId="7013EF83"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Pr>
                <w:noProof/>
                <w:webHidden/>
              </w:rPr>
              <w:t>7</w:t>
            </w:r>
            <w:r>
              <w:rPr>
                <w:noProof/>
                <w:webHidden/>
              </w:rPr>
              <w:fldChar w:fldCharType="end"/>
            </w:r>
          </w:hyperlink>
        </w:p>
        <w:p w14:paraId="46A56BA5" w14:textId="210A065C"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Pr>
                <w:noProof/>
                <w:webHidden/>
              </w:rPr>
              <w:t>8</w:t>
            </w:r>
            <w:r>
              <w:rPr>
                <w:noProof/>
                <w:webHidden/>
              </w:rPr>
              <w:fldChar w:fldCharType="end"/>
            </w:r>
          </w:hyperlink>
        </w:p>
        <w:p w14:paraId="531F8117" w14:textId="1D56D89D"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Pr>
                <w:noProof/>
                <w:webHidden/>
              </w:rPr>
              <w:t>9</w:t>
            </w:r>
            <w:r>
              <w:rPr>
                <w:noProof/>
                <w:webHidden/>
              </w:rPr>
              <w:fldChar w:fldCharType="end"/>
            </w:r>
          </w:hyperlink>
        </w:p>
        <w:p w14:paraId="7AA83BA0" w14:textId="6CEA4394"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Pr>
                <w:noProof/>
                <w:webHidden/>
              </w:rPr>
              <w:t>10</w:t>
            </w:r>
            <w:r>
              <w:rPr>
                <w:noProof/>
                <w:webHidden/>
              </w:rPr>
              <w:fldChar w:fldCharType="end"/>
            </w:r>
          </w:hyperlink>
        </w:p>
        <w:p w14:paraId="23045506" w14:textId="05831C29"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Pr>
                <w:noProof/>
                <w:webHidden/>
              </w:rPr>
              <w:t>10</w:t>
            </w:r>
            <w:r>
              <w:rPr>
                <w:noProof/>
                <w:webHidden/>
              </w:rPr>
              <w:fldChar w:fldCharType="end"/>
            </w:r>
          </w:hyperlink>
        </w:p>
        <w:p w14:paraId="783E903B" w14:textId="3B9F8235"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Pr>
                <w:noProof/>
                <w:webHidden/>
              </w:rPr>
              <w:t>12</w:t>
            </w:r>
            <w:r>
              <w:rPr>
                <w:noProof/>
                <w:webHidden/>
              </w:rPr>
              <w:fldChar w:fldCharType="end"/>
            </w:r>
          </w:hyperlink>
        </w:p>
        <w:p w14:paraId="3A000371" w14:textId="16ABF5FF"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Pr>
                <w:noProof/>
                <w:webHidden/>
              </w:rPr>
              <w:t>15</w:t>
            </w:r>
            <w:r>
              <w:rPr>
                <w:noProof/>
                <w:webHidden/>
              </w:rPr>
              <w:fldChar w:fldCharType="end"/>
            </w:r>
          </w:hyperlink>
        </w:p>
        <w:p w14:paraId="2D90DB05" w14:textId="73F2F5D4"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Pr>
                <w:noProof/>
                <w:webHidden/>
              </w:rPr>
              <w:t>16</w:t>
            </w:r>
            <w:r>
              <w:rPr>
                <w:noProof/>
                <w:webHidden/>
              </w:rPr>
              <w:fldChar w:fldCharType="end"/>
            </w:r>
          </w:hyperlink>
        </w:p>
        <w:p w14:paraId="292F27E8" w14:textId="6F958BE1"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Pr>
                <w:noProof/>
                <w:webHidden/>
              </w:rPr>
              <w:t>17</w:t>
            </w:r>
            <w:r>
              <w:rPr>
                <w:noProof/>
                <w:webHidden/>
              </w:rPr>
              <w:fldChar w:fldCharType="end"/>
            </w:r>
          </w:hyperlink>
        </w:p>
        <w:p w14:paraId="111AC800" w14:textId="4729430C"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Pr>
                <w:noProof/>
                <w:webHidden/>
              </w:rPr>
              <w:t>17</w:t>
            </w:r>
            <w:r>
              <w:rPr>
                <w:noProof/>
                <w:webHidden/>
              </w:rPr>
              <w:fldChar w:fldCharType="end"/>
            </w:r>
          </w:hyperlink>
        </w:p>
        <w:p w14:paraId="4B775DE0" w14:textId="0EB5B7BA"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Pr>
                <w:noProof/>
                <w:webHidden/>
              </w:rPr>
              <w:t>18</w:t>
            </w:r>
            <w:r>
              <w:rPr>
                <w:noProof/>
                <w:webHidden/>
              </w:rPr>
              <w:fldChar w:fldCharType="end"/>
            </w:r>
          </w:hyperlink>
        </w:p>
        <w:p w14:paraId="3D5924DB" w14:textId="6B3BB88B"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Pr>
                <w:noProof/>
                <w:webHidden/>
              </w:rPr>
              <w:t>19</w:t>
            </w:r>
            <w:r>
              <w:rPr>
                <w:noProof/>
                <w:webHidden/>
              </w:rPr>
              <w:fldChar w:fldCharType="end"/>
            </w:r>
          </w:hyperlink>
        </w:p>
        <w:p w14:paraId="1FE7AE2B" w14:textId="57AA1D30"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Pr>
                <w:noProof/>
                <w:webHidden/>
              </w:rPr>
              <w:t>20</w:t>
            </w:r>
            <w:r>
              <w:rPr>
                <w:noProof/>
                <w:webHidden/>
              </w:rPr>
              <w:fldChar w:fldCharType="end"/>
            </w:r>
          </w:hyperlink>
        </w:p>
        <w:p w14:paraId="16115B79" w14:textId="2539619D"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Pr>
                <w:noProof/>
                <w:webHidden/>
              </w:rPr>
              <w:t>20</w:t>
            </w:r>
            <w:r>
              <w:rPr>
                <w:noProof/>
                <w:webHidden/>
              </w:rPr>
              <w:fldChar w:fldCharType="end"/>
            </w:r>
          </w:hyperlink>
        </w:p>
        <w:p w14:paraId="32EEFF1C" w14:textId="48926A03"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Pr>
                <w:noProof/>
                <w:webHidden/>
              </w:rPr>
              <w:t>20</w:t>
            </w:r>
            <w:r>
              <w:rPr>
                <w:noProof/>
                <w:webHidden/>
              </w:rPr>
              <w:fldChar w:fldCharType="end"/>
            </w:r>
          </w:hyperlink>
        </w:p>
        <w:p w14:paraId="15BD99F5" w14:textId="6F92B8F3"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Pr>
                <w:noProof/>
                <w:webHidden/>
              </w:rPr>
              <w:t>21</w:t>
            </w:r>
            <w:r>
              <w:rPr>
                <w:noProof/>
                <w:webHidden/>
              </w:rPr>
              <w:fldChar w:fldCharType="end"/>
            </w:r>
          </w:hyperlink>
        </w:p>
        <w:p w14:paraId="25C81C1B" w14:textId="7CCE419E"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Pr>
                <w:noProof/>
                <w:webHidden/>
              </w:rPr>
              <w:t>22</w:t>
            </w:r>
            <w:r>
              <w:rPr>
                <w:noProof/>
                <w:webHidden/>
              </w:rPr>
              <w:fldChar w:fldCharType="end"/>
            </w:r>
          </w:hyperlink>
        </w:p>
        <w:p w14:paraId="08EAF1F5" w14:textId="686A2990"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04EF9F34" w:rsidR="001C2F34" w:rsidRPr="008D0DFA" w:rsidRDefault="00D937CF" w:rsidP="001C2F34">
      <w:pPr>
        <w:spacing w:before="120" w:after="120" w:line="240" w:lineRule="auto"/>
        <w:rPr>
          <w:b/>
        </w:rPr>
      </w:pPr>
      <w:r>
        <w:rPr>
          <w:b/>
        </w:rPr>
        <w:t>Gminny Ośrodek Pomocy Społecznej</w:t>
      </w:r>
      <w:r w:rsidR="001C2F34" w:rsidRPr="008D0DFA">
        <w:rPr>
          <w:b/>
        </w:rPr>
        <w:tab/>
      </w:r>
    </w:p>
    <w:p w14:paraId="1AF6CC52" w14:textId="6773D18C" w:rsidR="001C2F34" w:rsidRPr="008D0DFA" w:rsidRDefault="001C2F34" w:rsidP="001C2F34">
      <w:pPr>
        <w:spacing w:before="120" w:after="120" w:line="240" w:lineRule="auto"/>
        <w:rPr>
          <w:b/>
        </w:rPr>
      </w:pPr>
      <w:r w:rsidRPr="008D0DFA">
        <w:rPr>
          <w:b/>
        </w:rPr>
        <w:t>83-304 Przodkowo, ul. Kartuska 2</w:t>
      </w:r>
      <w:r w:rsidR="00D937CF">
        <w:rPr>
          <w:b/>
        </w:rPr>
        <w:t>3</w:t>
      </w:r>
    </w:p>
    <w:p w14:paraId="09092C27" w14:textId="505222BC" w:rsidR="001C2F34" w:rsidRPr="008D0DFA" w:rsidRDefault="001C2F34" w:rsidP="001C2F34">
      <w:pPr>
        <w:spacing w:before="120" w:after="120" w:line="240" w:lineRule="auto"/>
        <w:rPr>
          <w:b/>
        </w:rPr>
      </w:pPr>
      <w:r w:rsidRPr="008D0DFA">
        <w:rPr>
          <w:b/>
        </w:rPr>
        <w:t>NIP 589-1</w:t>
      </w:r>
      <w:r w:rsidR="00D937CF">
        <w:rPr>
          <w:b/>
        </w:rPr>
        <w:t>87-61-32</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319AC305"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w:t>
      </w:r>
      <w:r w:rsidR="00DB126F" w:rsidRPr="00DB126F">
        <w:rPr>
          <w:sz w:val="20"/>
          <w:szCs w:val="20"/>
        </w:rPr>
        <w:t>w związku z art. 359 pkt 2</w:t>
      </w:r>
      <w:r w:rsidR="00B739F9">
        <w:rPr>
          <w:sz w:val="20"/>
          <w:szCs w:val="20"/>
        </w:rPr>
        <w:t xml:space="preserve"> </w:t>
      </w:r>
      <w:r>
        <w:rPr>
          <w:sz w:val="20"/>
          <w:szCs w:val="20"/>
        </w:rPr>
        <w:t xml:space="preserve">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25D2AB74" w:rsidR="00FE1011" w:rsidRDefault="001C2F34" w:rsidP="004411F8">
      <w:pPr>
        <w:numPr>
          <w:ilvl w:val="0"/>
          <w:numId w:val="30"/>
        </w:numPr>
        <w:spacing w:line="360" w:lineRule="auto"/>
        <w:ind w:left="426"/>
        <w:jc w:val="both"/>
        <w:rPr>
          <w:sz w:val="20"/>
          <w:szCs w:val="20"/>
        </w:rPr>
      </w:pPr>
      <w:r>
        <w:rPr>
          <w:sz w:val="20"/>
          <w:szCs w:val="20"/>
        </w:rPr>
        <w:t xml:space="preserve">Szacunkowa </w:t>
      </w:r>
      <w:bookmarkStart w:id="3" w:name="_Hlk119936395"/>
      <w:r>
        <w:rPr>
          <w:sz w:val="20"/>
          <w:szCs w:val="20"/>
        </w:rPr>
        <w:t xml:space="preserve">wartość przedmiotowego zamówienia </w:t>
      </w:r>
      <w:bookmarkEnd w:id="3"/>
      <w:r w:rsidR="00A070D2" w:rsidRPr="00A070D2">
        <w:rPr>
          <w:sz w:val="20"/>
          <w:szCs w:val="20"/>
        </w:rPr>
        <w:t>mniejszej niż progi unijne – jeżeli wartość zamówienia wyrażona w złotych jest mniejsza niż równowartość kwoty 750 000 euro, nie mniejsza jednak niż równowartość kwoty 130 000 złotych</w:t>
      </w:r>
      <w:r>
        <w:rPr>
          <w:sz w:val="20"/>
          <w:szCs w:val="20"/>
        </w:rPr>
        <w:t xml:space="preserve">.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C88B92F" w:rsidR="00FE1011" w:rsidRPr="00DF5ADE" w:rsidRDefault="001C2F34" w:rsidP="004411F8">
      <w:pPr>
        <w:numPr>
          <w:ilvl w:val="0"/>
          <w:numId w:val="30"/>
        </w:numPr>
        <w:spacing w:line="360" w:lineRule="auto"/>
        <w:ind w:left="426"/>
        <w:jc w:val="both"/>
        <w:rPr>
          <w:sz w:val="20"/>
          <w:szCs w:val="20"/>
        </w:rPr>
      </w:pPr>
      <w:r w:rsidRPr="00DF5ADE">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sidRPr="00DF5ADE">
        <w:rPr>
          <w:sz w:val="20"/>
          <w:szCs w:val="20"/>
        </w:rPr>
        <w:t xml:space="preserve">j.t. </w:t>
      </w:r>
      <w:r w:rsidRPr="00DF5ADE">
        <w:rPr>
          <w:sz w:val="20"/>
          <w:szCs w:val="20"/>
        </w:rPr>
        <w:t>Dz. U. z 20</w:t>
      </w:r>
      <w:r w:rsidR="008412A1" w:rsidRPr="00DF5ADE">
        <w:rPr>
          <w:sz w:val="20"/>
          <w:szCs w:val="20"/>
        </w:rPr>
        <w:t>2</w:t>
      </w:r>
      <w:r w:rsidR="00042092">
        <w:rPr>
          <w:sz w:val="20"/>
          <w:szCs w:val="20"/>
        </w:rPr>
        <w:t>3</w:t>
      </w:r>
      <w:r w:rsidRPr="00DF5ADE">
        <w:rPr>
          <w:sz w:val="20"/>
          <w:szCs w:val="20"/>
        </w:rPr>
        <w:t xml:space="preserve"> r. poz. </w:t>
      </w:r>
      <w:r w:rsidR="00042092">
        <w:rPr>
          <w:sz w:val="20"/>
          <w:szCs w:val="20"/>
        </w:rPr>
        <w:t>1465</w:t>
      </w:r>
      <w:r w:rsidR="0053203C" w:rsidRPr="00DF5ADE">
        <w:rPr>
          <w:sz w:val="20"/>
          <w:szCs w:val="20"/>
        </w:rPr>
        <w:t xml:space="preserve"> ze zm.</w:t>
      </w:r>
      <w:r w:rsidRPr="00DF5ADE">
        <w:rPr>
          <w:sz w:val="20"/>
          <w:szCs w:val="20"/>
        </w:rPr>
        <w:t xml:space="preserve">) obejmują następujące rodzaje czynności: </w:t>
      </w:r>
    </w:p>
    <w:p w14:paraId="0000006C" w14:textId="580CA071" w:rsidR="00FE1011" w:rsidRPr="00DF5ADE" w:rsidRDefault="00607E5C" w:rsidP="004411F8">
      <w:pPr>
        <w:numPr>
          <w:ilvl w:val="0"/>
          <w:numId w:val="12"/>
        </w:numPr>
        <w:spacing w:line="360" w:lineRule="auto"/>
        <w:ind w:left="852" w:hanging="418"/>
        <w:jc w:val="both"/>
        <w:rPr>
          <w:sz w:val="20"/>
          <w:szCs w:val="20"/>
        </w:rPr>
      </w:pPr>
      <w:r>
        <w:rPr>
          <w:sz w:val="20"/>
          <w:szCs w:val="20"/>
        </w:rPr>
        <w:t>świadczenie usług opiekuńczych</w:t>
      </w:r>
      <w:r w:rsidR="001C2F34" w:rsidRPr="00DF5ADE">
        <w:rPr>
          <w:sz w:val="20"/>
          <w:szCs w:val="20"/>
        </w:rPr>
        <w:t>.</w:t>
      </w:r>
    </w:p>
    <w:p w14:paraId="64F58C51" w14:textId="2195C40F" w:rsidR="00F34900" w:rsidRPr="00DF5ADE" w:rsidRDefault="00F34900" w:rsidP="00F34900">
      <w:pPr>
        <w:pStyle w:val="Akapitzlist"/>
        <w:numPr>
          <w:ilvl w:val="0"/>
          <w:numId w:val="30"/>
        </w:numPr>
        <w:spacing w:line="360" w:lineRule="auto"/>
        <w:ind w:left="426" w:hanging="426"/>
        <w:jc w:val="both"/>
        <w:rPr>
          <w:sz w:val="20"/>
          <w:szCs w:val="20"/>
        </w:rPr>
      </w:pPr>
      <w:r w:rsidRPr="00DF5ADE">
        <w:rPr>
          <w:sz w:val="20"/>
          <w:szCs w:val="20"/>
        </w:rPr>
        <w:t>Sposób  dokumentowania  zatrudnienia  osób,  o  których  mowa  w  pkt.  8:  Zamawiający  wymaga przekazania w terminie 7 dni od dnia zawarcia Umowy oświadczenia Wykonawcy o zatrudnieniu na podstawie umowy o pracę osób wykonujących czynności, o których mowa w pkt. 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lastRenderedPageBreak/>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22C30804" w14:textId="2DD22AC7" w:rsidR="00944389" w:rsidRPr="00944389" w:rsidRDefault="00056246" w:rsidP="00BB0F69">
      <w:pPr>
        <w:numPr>
          <w:ilvl w:val="0"/>
          <w:numId w:val="1"/>
        </w:numPr>
        <w:spacing w:before="120" w:after="120" w:line="360" w:lineRule="auto"/>
        <w:jc w:val="both"/>
        <w:rPr>
          <w:sz w:val="20"/>
          <w:szCs w:val="20"/>
        </w:rPr>
      </w:pPr>
      <w:r w:rsidRPr="00056246">
        <w:rPr>
          <w:sz w:val="20"/>
          <w:szCs w:val="20"/>
          <w:lang w:val="pl-PL"/>
        </w:rPr>
        <w:t xml:space="preserve">Przedmiotem zamówienia jest świadczenie specjalistycznych usług opiekuńczych dla osób z zaburzeniami psychicznymi.   </w:t>
      </w:r>
      <w:r w:rsidR="00042092" w:rsidRPr="00042092">
        <w:rPr>
          <w:sz w:val="20"/>
          <w:szCs w:val="20"/>
          <w:lang w:val="pl-PL"/>
        </w:rPr>
        <w:t>Usługi będą świadczone dla klientów GOPS i członków ich rodzin na terenie Gminy Przodkowo w szacunkowej ilości 777</w:t>
      </w:r>
      <w:r w:rsidR="009C6D8C">
        <w:rPr>
          <w:sz w:val="20"/>
          <w:szCs w:val="20"/>
          <w:lang w:val="pl-PL"/>
        </w:rPr>
        <w:t>6</w:t>
      </w:r>
      <w:r w:rsidR="00042092" w:rsidRPr="00042092">
        <w:rPr>
          <w:sz w:val="20"/>
          <w:szCs w:val="20"/>
          <w:lang w:val="pl-PL"/>
        </w:rPr>
        <w:t xml:space="preserve"> godzin w okresie od 1 stycznia 2025 roku do dnia 31 grudnia 2026 roku</w:t>
      </w:r>
      <w:r w:rsidR="00944389" w:rsidRPr="00944389">
        <w:rPr>
          <w:sz w:val="20"/>
          <w:szCs w:val="20"/>
        </w:rPr>
        <w:t>.</w:t>
      </w:r>
      <w:r w:rsidR="00BB0F69" w:rsidRPr="00BB0F69">
        <w:rPr>
          <w:sz w:val="20"/>
          <w:szCs w:val="20"/>
        </w:rPr>
        <w:t xml:space="preserve"> Zgodnie z załącznikiem nr </w:t>
      </w:r>
      <w:r w:rsidR="00BB0F69">
        <w:rPr>
          <w:sz w:val="20"/>
          <w:szCs w:val="20"/>
        </w:rPr>
        <w:t>2</w:t>
      </w:r>
      <w:r w:rsidR="00BB0F69" w:rsidRPr="00BB0F69">
        <w:rPr>
          <w:sz w:val="20"/>
          <w:szCs w:val="20"/>
        </w:rPr>
        <w:t xml:space="preserve"> do SWZ</w:t>
      </w:r>
      <w:r w:rsidR="0088661A">
        <w:rPr>
          <w:sz w:val="20"/>
          <w:szCs w:val="20"/>
        </w:rPr>
        <w:t>.</w:t>
      </w:r>
    </w:p>
    <w:p w14:paraId="4F0CF3A2" w14:textId="4D590898" w:rsidR="00944389" w:rsidRPr="00BB0F69" w:rsidRDefault="00944389" w:rsidP="00BB0F69">
      <w:pPr>
        <w:pStyle w:val="Akapitzlist"/>
        <w:numPr>
          <w:ilvl w:val="0"/>
          <w:numId w:val="1"/>
        </w:numPr>
        <w:spacing w:before="120" w:after="120" w:line="360" w:lineRule="auto"/>
        <w:jc w:val="both"/>
        <w:rPr>
          <w:sz w:val="20"/>
          <w:szCs w:val="20"/>
        </w:rPr>
      </w:pPr>
      <w:r w:rsidRPr="00BB0F69">
        <w:rPr>
          <w:sz w:val="20"/>
          <w:szCs w:val="20"/>
        </w:rPr>
        <w:t xml:space="preserve">Nazwy i kody określone we Wspólnym Słowniku Zamówień: </w:t>
      </w:r>
    </w:p>
    <w:p w14:paraId="182DF439" w14:textId="73BABD3C" w:rsidR="00D31076" w:rsidRPr="00944389" w:rsidRDefault="005143ED" w:rsidP="005143ED">
      <w:pPr>
        <w:spacing w:before="120" w:after="120" w:line="360" w:lineRule="auto"/>
        <w:ind w:left="360" w:firstLine="66"/>
        <w:jc w:val="both"/>
        <w:rPr>
          <w:sz w:val="20"/>
          <w:szCs w:val="20"/>
        </w:rPr>
      </w:pPr>
      <w:r>
        <w:rPr>
          <w:sz w:val="20"/>
          <w:szCs w:val="20"/>
          <w:lang w:val="pl-PL"/>
        </w:rPr>
        <w:t>85000000-9 usługi w zakresie zdrowia i opieki społecznej</w:t>
      </w:r>
    </w:p>
    <w:p w14:paraId="00000073" w14:textId="42FAF202" w:rsidR="00FE1011" w:rsidRPr="000254E5" w:rsidRDefault="00944389" w:rsidP="00BB0F69">
      <w:pPr>
        <w:spacing w:before="120" w:after="120" w:line="360" w:lineRule="auto"/>
        <w:ind w:left="360" w:hanging="360"/>
        <w:jc w:val="both"/>
        <w:rPr>
          <w:sz w:val="20"/>
          <w:szCs w:val="20"/>
        </w:rPr>
      </w:pPr>
      <w:r>
        <w:rPr>
          <w:sz w:val="20"/>
          <w:szCs w:val="20"/>
        </w:rPr>
        <w:t xml:space="preserve">3  . </w:t>
      </w:r>
      <w:r w:rsidR="001C2F34" w:rsidRPr="000254E5">
        <w:rPr>
          <w:sz w:val="20"/>
          <w:szCs w:val="20"/>
        </w:rPr>
        <w:t>Zamawiający</w:t>
      </w:r>
      <w:r w:rsidR="00613ED4">
        <w:rPr>
          <w:sz w:val="20"/>
          <w:szCs w:val="20"/>
        </w:rPr>
        <w:t xml:space="preserve"> nie</w:t>
      </w:r>
      <w:r w:rsidR="001C2F34" w:rsidRPr="000254E5">
        <w:rPr>
          <w:sz w:val="20"/>
          <w:szCs w:val="20"/>
        </w:rPr>
        <w:t xml:space="preserve">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BB0F69">
      <w:pPr>
        <w:pStyle w:val="Akapitzlist"/>
        <w:numPr>
          <w:ilvl w:val="0"/>
          <w:numId w:val="46"/>
        </w:numPr>
        <w:spacing w:before="120" w:after="120" w:line="360" w:lineRule="auto"/>
        <w:ind w:left="360"/>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BB0F69">
      <w:pPr>
        <w:numPr>
          <w:ilvl w:val="0"/>
          <w:numId w:val="46"/>
        </w:numPr>
        <w:spacing w:before="120" w:after="120" w:line="360" w:lineRule="auto"/>
        <w:ind w:left="360"/>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78CC5B6C"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w:t>
      </w:r>
      <w:r w:rsidR="0088661A">
        <w:rPr>
          <w:sz w:val="20"/>
          <w:szCs w:val="20"/>
        </w:rPr>
        <w:t>01 stycznia 202</w:t>
      </w:r>
      <w:r w:rsidR="00860491">
        <w:rPr>
          <w:sz w:val="20"/>
          <w:szCs w:val="20"/>
        </w:rPr>
        <w:t>5</w:t>
      </w:r>
      <w:r w:rsidR="0088661A">
        <w:rPr>
          <w:sz w:val="20"/>
          <w:szCs w:val="20"/>
        </w:rPr>
        <w:t xml:space="preserve"> roku</w:t>
      </w:r>
      <w:r w:rsidR="007417A0">
        <w:rPr>
          <w:sz w:val="20"/>
          <w:szCs w:val="20"/>
        </w:rPr>
        <w:t xml:space="preserve"> do </w:t>
      </w:r>
      <w:r w:rsidR="008C3ABC">
        <w:rPr>
          <w:sz w:val="20"/>
          <w:szCs w:val="20"/>
        </w:rPr>
        <w:t>3</w:t>
      </w:r>
      <w:r w:rsidR="0088661A">
        <w:rPr>
          <w:sz w:val="20"/>
          <w:szCs w:val="20"/>
        </w:rPr>
        <w:t>1</w:t>
      </w:r>
      <w:r w:rsidR="008C3ABC">
        <w:rPr>
          <w:sz w:val="20"/>
          <w:szCs w:val="20"/>
        </w:rPr>
        <w:t xml:space="preserve"> </w:t>
      </w:r>
      <w:r w:rsidR="0088661A">
        <w:rPr>
          <w:sz w:val="20"/>
          <w:szCs w:val="20"/>
        </w:rPr>
        <w:t xml:space="preserve">grudnia </w:t>
      </w:r>
      <w:r w:rsidR="008C3ABC">
        <w:rPr>
          <w:sz w:val="20"/>
          <w:szCs w:val="20"/>
        </w:rPr>
        <w:t>202</w:t>
      </w:r>
      <w:r w:rsidR="00860491">
        <w:rPr>
          <w:sz w:val="20"/>
          <w:szCs w:val="20"/>
        </w:rPr>
        <w:t>6</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9"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9"/>
    <w:p w14:paraId="00000086" w14:textId="612F7167" w:rsidR="00FE1011" w:rsidRDefault="001C2F34" w:rsidP="00DB778B">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DB778B">
      <w:pPr>
        <w:spacing w:line="360" w:lineRule="auto"/>
        <w:ind w:left="852" w:right="20" w:hanging="426"/>
        <w:jc w:val="both"/>
        <w:rPr>
          <w:sz w:val="20"/>
          <w:szCs w:val="20"/>
        </w:rPr>
      </w:pPr>
      <w:bookmarkStart w:id="10" w:name="_Hlk115353231"/>
      <w:r>
        <w:rPr>
          <w:sz w:val="20"/>
          <w:szCs w:val="20"/>
        </w:rPr>
        <w:t xml:space="preserve">Zamawiający nie określa warunku </w:t>
      </w:r>
      <w:r w:rsidR="00F10E7D">
        <w:rPr>
          <w:sz w:val="20"/>
          <w:szCs w:val="20"/>
        </w:rPr>
        <w:t>w powyższym zakresie.</w:t>
      </w:r>
    </w:p>
    <w:bookmarkEnd w:id="10"/>
    <w:p w14:paraId="00000088" w14:textId="77777777" w:rsidR="00FE1011" w:rsidRDefault="001C2F34" w:rsidP="00DB778B">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DB778B">
      <w:pPr>
        <w:spacing w:line="360" w:lineRule="auto"/>
        <w:ind w:left="852" w:right="20" w:hanging="426"/>
        <w:jc w:val="both"/>
        <w:rPr>
          <w:sz w:val="20"/>
          <w:szCs w:val="20"/>
        </w:rPr>
      </w:pPr>
      <w:r w:rsidRPr="008C3ABC">
        <w:rPr>
          <w:sz w:val="20"/>
          <w:szCs w:val="20"/>
        </w:rPr>
        <w:t>Zamawiający nie określa warunku w powyższym zakresie.</w:t>
      </w:r>
    </w:p>
    <w:p w14:paraId="0000008A" w14:textId="060485C3" w:rsidR="00FE1011" w:rsidRDefault="00DB778B" w:rsidP="00DB778B">
      <w:pPr>
        <w:spacing w:line="360" w:lineRule="auto"/>
        <w:ind w:right="20"/>
        <w:jc w:val="both"/>
        <w:rPr>
          <w:sz w:val="20"/>
          <w:szCs w:val="20"/>
        </w:rPr>
      </w:pPr>
      <w:r>
        <w:rPr>
          <w:sz w:val="20"/>
          <w:szCs w:val="20"/>
        </w:rPr>
        <w:t xml:space="preserve">      </w:t>
      </w:r>
      <w:r w:rsidR="00CE3743">
        <w:rPr>
          <w:sz w:val="20"/>
          <w:szCs w:val="20"/>
        </w:rPr>
        <w:t xml:space="preserve">  </w:t>
      </w:r>
      <w:r w:rsidR="00CE3743" w:rsidRPr="00DB778B">
        <w:rPr>
          <w:b/>
          <w:bCs/>
          <w:sz w:val="20"/>
          <w:szCs w:val="20"/>
        </w:rPr>
        <w:t>4)</w:t>
      </w:r>
      <w:r w:rsidR="00CE3743">
        <w:rPr>
          <w:sz w:val="20"/>
          <w:szCs w:val="20"/>
        </w:rPr>
        <w:t xml:space="preserve">    </w:t>
      </w:r>
      <w:r w:rsidR="001C2F34">
        <w:rPr>
          <w:b/>
          <w:sz w:val="20"/>
          <w:szCs w:val="20"/>
        </w:rPr>
        <w:t>zdolności technicznej lub zawodowej:</w:t>
      </w:r>
    </w:p>
    <w:p w14:paraId="260B370C" w14:textId="77777777" w:rsidR="00613ED4" w:rsidRDefault="001C2F34" w:rsidP="00DB778B">
      <w:pPr>
        <w:spacing w:line="360" w:lineRule="auto"/>
        <w:ind w:left="852" w:right="20" w:hanging="426"/>
        <w:jc w:val="both"/>
      </w:pPr>
      <w:bookmarkStart w:id="11" w:name="_Hlk66866436"/>
      <w:r>
        <w:rPr>
          <w:sz w:val="20"/>
          <w:szCs w:val="20"/>
        </w:rPr>
        <w:t>Wykonawca spełni warunek, jeżeli wykaże</w:t>
      </w:r>
      <w:bookmarkEnd w:id="11"/>
      <w:r w:rsidR="00613ED4">
        <w:rPr>
          <w:sz w:val="20"/>
          <w:szCs w:val="20"/>
        </w:rPr>
        <w:t xml:space="preserve"> że:</w:t>
      </w:r>
      <w:r w:rsidR="00613ED4" w:rsidRPr="00613ED4">
        <w:t xml:space="preserve"> </w:t>
      </w:r>
    </w:p>
    <w:p w14:paraId="79779407" w14:textId="6BB4D303" w:rsidR="00CE3743" w:rsidRPr="00613ED4" w:rsidRDefault="00613ED4" w:rsidP="00DB778B">
      <w:pPr>
        <w:pStyle w:val="Akapitzlist"/>
        <w:numPr>
          <w:ilvl w:val="0"/>
          <w:numId w:val="48"/>
        </w:numPr>
        <w:spacing w:line="360" w:lineRule="auto"/>
        <w:ind w:left="852" w:right="20" w:hanging="426"/>
        <w:jc w:val="both"/>
        <w:rPr>
          <w:sz w:val="20"/>
          <w:szCs w:val="20"/>
        </w:rPr>
      </w:pPr>
      <w:r w:rsidRPr="00613ED4">
        <w:rPr>
          <w:sz w:val="20"/>
          <w:szCs w:val="20"/>
        </w:rPr>
        <w:t xml:space="preserve">wykonał nie wcześniej niż w okresie ostatnich trzech lat przed upływem terminu składania ofert, a jeżeli okres prowadzenia działalności jest krótszy - w tym okresie, co najmniej 1 usługę polegającą na świadczeniu usług  opiekuńczych dla osób  z zaburzeniami psychicznymi  w ilości minimum 2000 </w:t>
      </w:r>
      <w:r w:rsidR="00DF5ADE">
        <w:rPr>
          <w:sz w:val="20"/>
          <w:szCs w:val="20"/>
        </w:rPr>
        <w:t>godzin</w:t>
      </w:r>
    </w:p>
    <w:p w14:paraId="51774FFE" w14:textId="768C433B" w:rsidR="00CA1A72" w:rsidRDefault="00CA1A72" w:rsidP="00DB778B">
      <w:pPr>
        <w:pStyle w:val="Akapitzlist"/>
        <w:numPr>
          <w:ilvl w:val="0"/>
          <w:numId w:val="48"/>
        </w:numPr>
        <w:spacing w:line="360" w:lineRule="auto"/>
        <w:ind w:left="852" w:hanging="426"/>
        <w:jc w:val="both"/>
        <w:rPr>
          <w:sz w:val="20"/>
          <w:szCs w:val="20"/>
        </w:rPr>
      </w:pPr>
      <w:r w:rsidRPr="00CA1A72">
        <w:rPr>
          <w:sz w:val="20"/>
          <w:szCs w:val="20"/>
        </w:rPr>
        <w:t>dysponuje lub będzie dysponował następującym osobami skierowanymi  do realizacji zamówienia publicznego</w:t>
      </w:r>
      <w:r>
        <w:rPr>
          <w:sz w:val="20"/>
          <w:szCs w:val="20"/>
        </w:rPr>
        <w:t xml:space="preserve"> – 5 osób </w:t>
      </w:r>
      <w:r w:rsidRPr="00CA1A72">
        <w:rPr>
          <w:sz w:val="20"/>
          <w:szCs w:val="20"/>
        </w:rPr>
        <w:t xml:space="preserve">z co najmniej </w:t>
      </w:r>
      <w:r>
        <w:rPr>
          <w:sz w:val="20"/>
          <w:szCs w:val="20"/>
        </w:rPr>
        <w:t>5</w:t>
      </w:r>
      <w:r w:rsidRPr="00CA1A72">
        <w:rPr>
          <w:sz w:val="20"/>
          <w:szCs w:val="20"/>
        </w:rPr>
        <w:t xml:space="preserve"> </w:t>
      </w:r>
      <w:r>
        <w:rPr>
          <w:sz w:val="20"/>
          <w:szCs w:val="20"/>
        </w:rPr>
        <w:t>-</w:t>
      </w:r>
      <w:r w:rsidRPr="00CA1A72">
        <w:rPr>
          <w:sz w:val="20"/>
          <w:szCs w:val="20"/>
        </w:rPr>
        <w:t xml:space="preserve"> letnim doświadczeniem </w:t>
      </w:r>
      <w:r>
        <w:rPr>
          <w:sz w:val="20"/>
          <w:szCs w:val="20"/>
        </w:rPr>
        <w:t xml:space="preserve"> w pracy jako specjalista opiekun/terapeuta.</w:t>
      </w:r>
    </w:p>
    <w:p w14:paraId="0000008C" w14:textId="77777777" w:rsidR="00FE1011" w:rsidRPr="00DB778B" w:rsidRDefault="001C2F34" w:rsidP="00DB778B">
      <w:pPr>
        <w:pStyle w:val="Akapitzlist"/>
        <w:numPr>
          <w:ilvl w:val="0"/>
          <w:numId w:val="49"/>
        </w:numPr>
        <w:spacing w:line="360" w:lineRule="auto"/>
        <w:ind w:left="284"/>
        <w:jc w:val="both"/>
        <w:rPr>
          <w:sz w:val="20"/>
          <w:szCs w:val="20"/>
        </w:rPr>
      </w:pPr>
      <w:r w:rsidRPr="00DB778B">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DB778B" w:rsidRDefault="003F65F2" w:rsidP="00DB778B">
      <w:pPr>
        <w:pStyle w:val="Akapitzlist"/>
        <w:numPr>
          <w:ilvl w:val="0"/>
          <w:numId w:val="49"/>
        </w:numPr>
        <w:spacing w:line="360" w:lineRule="auto"/>
        <w:ind w:left="284"/>
        <w:jc w:val="both"/>
        <w:rPr>
          <w:sz w:val="20"/>
          <w:szCs w:val="20"/>
          <w:lang w:val="pl-PL"/>
        </w:rPr>
      </w:pPr>
      <w:r w:rsidRPr="00DB778B">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Pr="00DB778B" w:rsidRDefault="001C2F34" w:rsidP="00DB778B">
      <w:pPr>
        <w:pStyle w:val="Akapitzlist"/>
        <w:spacing w:line="360" w:lineRule="auto"/>
        <w:ind w:left="284"/>
        <w:jc w:val="both"/>
        <w:rPr>
          <w:sz w:val="20"/>
          <w:szCs w:val="20"/>
        </w:rPr>
      </w:pPr>
      <w:r w:rsidRPr="00DB778B">
        <w:rPr>
          <w:sz w:val="20"/>
          <w:szCs w:val="20"/>
        </w:rPr>
        <w:t xml:space="preserve">Wykonawcy wspólnie ubiegający się o udzielenie zamówienia </w:t>
      </w:r>
      <w:r w:rsidRPr="00DB778B">
        <w:rPr>
          <w:b/>
          <w:bCs/>
          <w:sz w:val="20"/>
          <w:szCs w:val="20"/>
        </w:rPr>
        <w:t>dołączają do oferty</w:t>
      </w:r>
      <w:r w:rsidRPr="00DB778B">
        <w:rPr>
          <w:sz w:val="20"/>
          <w:szCs w:val="20"/>
        </w:rPr>
        <w:t xml:space="preserve"> oświadczenie, z którego wynika, które usługi wykonają poszczególni wykonawcy w odniesieniu do warunków, które zostały opisane w ust. 2 - zgodnie z </w:t>
      </w:r>
      <w:r w:rsidRPr="00DB778B">
        <w:rPr>
          <w:b/>
          <w:sz w:val="20"/>
          <w:szCs w:val="20"/>
        </w:rPr>
        <w:t xml:space="preserve">Załącznikiem nr </w:t>
      </w:r>
      <w:r w:rsidR="00EF5488" w:rsidRPr="00DB778B">
        <w:rPr>
          <w:b/>
          <w:sz w:val="20"/>
          <w:szCs w:val="20"/>
        </w:rPr>
        <w:t>2</w:t>
      </w:r>
      <w:r w:rsidRPr="00DB778B">
        <w:rPr>
          <w:b/>
          <w:sz w:val="20"/>
          <w:szCs w:val="20"/>
        </w:rPr>
        <w:t xml:space="preserve"> do SWZ</w:t>
      </w:r>
      <w:r w:rsidR="00EF5488" w:rsidRPr="00DB778B">
        <w:rPr>
          <w:sz w:val="20"/>
          <w:szCs w:val="20"/>
        </w:rPr>
        <w:t xml:space="preserve">, oraz oświadczenie podmiotu udostępniającego – </w:t>
      </w:r>
      <w:r w:rsidR="00EF5488" w:rsidRPr="00DB778B">
        <w:rPr>
          <w:b/>
          <w:bCs/>
          <w:sz w:val="20"/>
          <w:szCs w:val="20"/>
        </w:rPr>
        <w:t>Załącznik nr 6 do SWZ</w:t>
      </w:r>
      <w:r w:rsidR="00EF5488" w:rsidRPr="00DB778B">
        <w:rPr>
          <w:sz w:val="20"/>
          <w:szCs w:val="20"/>
        </w:rPr>
        <w:t xml:space="preserve">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6C1EAB4C" w:rsidR="00C768C5" w:rsidRDefault="00C768C5" w:rsidP="00C768C5">
      <w:pPr>
        <w:pStyle w:val="Akapitzlist"/>
        <w:numPr>
          <w:ilvl w:val="1"/>
          <w:numId w:val="2"/>
        </w:numPr>
        <w:spacing w:line="360" w:lineRule="auto"/>
        <w:jc w:val="both"/>
        <w:rPr>
          <w:sz w:val="20"/>
          <w:szCs w:val="20"/>
        </w:rPr>
      </w:pPr>
      <w:r w:rsidRPr="009A006D">
        <w:rPr>
          <w:sz w:val="20"/>
          <w:szCs w:val="20"/>
        </w:rPr>
        <w:lastRenderedPageBreak/>
        <w:t xml:space="preserve">wykonawcę, którego beneficjentem rzeczywistym w rozumieniu ustawy z dnia 1 marca 2018 r. o przeciwdziałaniu praniu pieniędzy oraz finansowaniu terroryzmu (Dz. U. z </w:t>
      </w:r>
      <w:r w:rsidR="00860491">
        <w:rPr>
          <w:sz w:val="20"/>
          <w:szCs w:val="20"/>
        </w:rPr>
        <w:t>2023 r. poz. 1124 ze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698471B7"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B31D12">
        <w:rPr>
          <w:sz w:val="20"/>
          <w:szCs w:val="20"/>
        </w:rPr>
        <w:t>3</w:t>
      </w:r>
      <w:r w:rsidRPr="00C768C5">
        <w:rPr>
          <w:sz w:val="20"/>
          <w:szCs w:val="20"/>
        </w:rPr>
        <w:t xml:space="preserve"> r. poz. </w:t>
      </w:r>
      <w:r w:rsidR="00B31D12">
        <w:rPr>
          <w:sz w:val="20"/>
          <w:szCs w:val="20"/>
        </w:rPr>
        <w:t>120 ze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lastRenderedPageBreak/>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00252D03" w:rsidR="00FE1011" w:rsidRDefault="001C2F34" w:rsidP="00CA1A72">
      <w:pPr>
        <w:numPr>
          <w:ilvl w:val="2"/>
          <w:numId w:val="4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B31D12">
        <w:rPr>
          <w:sz w:val="20"/>
          <w:szCs w:val="20"/>
        </w:rPr>
        <w:t>4</w:t>
      </w:r>
      <w:r>
        <w:rPr>
          <w:sz w:val="20"/>
          <w:szCs w:val="20"/>
        </w:rPr>
        <w:t xml:space="preserve"> r. poz. </w:t>
      </w:r>
      <w:r w:rsidR="00B31D12">
        <w:rPr>
          <w:sz w:val="20"/>
          <w:szCs w:val="20"/>
        </w:rPr>
        <w:t>1616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CA1A72">
      <w:pPr>
        <w:numPr>
          <w:ilvl w:val="2"/>
          <w:numId w:val="4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4A41A02" w14:textId="435D67F5" w:rsidR="00CA1A72" w:rsidRPr="00CA1A72" w:rsidRDefault="00CA1A72" w:rsidP="00CA1A72">
      <w:pPr>
        <w:numPr>
          <w:ilvl w:val="2"/>
          <w:numId w:val="48"/>
        </w:numPr>
        <w:spacing w:line="360" w:lineRule="auto"/>
        <w:ind w:left="709" w:hanging="425"/>
        <w:jc w:val="both"/>
        <w:rPr>
          <w:sz w:val="20"/>
          <w:szCs w:val="20"/>
          <w:lang w:val="pl-PL"/>
        </w:rPr>
      </w:pPr>
      <w:r w:rsidRPr="00CA1A72">
        <w:rPr>
          <w:sz w:val="20"/>
          <w:szCs w:val="20"/>
          <w:lang w:val="pl-PL"/>
        </w:rPr>
        <w:t xml:space="preserve">wykaz </w:t>
      </w:r>
      <w:r>
        <w:rPr>
          <w:sz w:val="20"/>
          <w:szCs w:val="20"/>
          <w:lang w:val="pl-PL"/>
        </w:rPr>
        <w:t>usług</w:t>
      </w:r>
      <w:r w:rsidRPr="00CA1A72">
        <w:rPr>
          <w:sz w:val="20"/>
          <w:szCs w:val="20"/>
          <w:lang w:val="pl-PL"/>
        </w:rPr>
        <w:t xml:space="preserve"> wykonanych nie wcześniej niż w okresie ostatnich </w:t>
      </w:r>
      <w:r>
        <w:rPr>
          <w:sz w:val="20"/>
          <w:szCs w:val="20"/>
          <w:lang w:val="pl-PL"/>
        </w:rPr>
        <w:t>3</w:t>
      </w:r>
      <w:r w:rsidRPr="00CA1A72">
        <w:rPr>
          <w:sz w:val="20"/>
          <w:szCs w:val="20"/>
          <w:lang w:val="pl-PL"/>
        </w:rPr>
        <w:t xml:space="preserve"> lat, a jeżeli okres prowadzenia działalności jest krótszy – w tym okresie, wraz z podaniem ich rodzaju, wartości, daty, miejsca wykonania i podmiotów, na rzecz których </w:t>
      </w:r>
      <w:r w:rsidR="00175A2D">
        <w:rPr>
          <w:sz w:val="20"/>
          <w:szCs w:val="20"/>
          <w:lang w:val="pl-PL"/>
        </w:rPr>
        <w:t xml:space="preserve">usługi te </w:t>
      </w:r>
      <w:r w:rsidRPr="00CA1A72">
        <w:rPr>
          <w:sz w:val="20"/>
          <w:szCs w:val="20"/>
          <w:lang w:val="pl-PL"/>
        </w:rPr>
        <w:t xml:space="preserve">zostały wykonane, oraz załączeniem dowodów określających czy te </w:t>
      </w:r>
      <w:r w:rsidR="00175A2D">
        <w:rPr>
          <w:sz w:val="20"/>
          <w:szCs w:val="20"/>
          <w:lang w:val="pl-PL"/>
        </w:rPr>
        <w:t>usługi</w:t>
      </w:r>
      <w:r w:rsidRPr="00CA1A72">
        <w:rPr>
          <w:sz w:val="20"/>
          <w:szCs w:val="20"/>
          <w:lang w:val="pl-PL"/>
        </w:rPr>
        <w:t xml:space="preserve"> zostały wykonane należycie, przy czym dowodami, o których mowa, są referencje bądź inne dokumenty sporządzone przez podmiot, na rzecz którego </w:t>
      </w:r>
      <w:r w:rsidR="00175A2D">
        <w:rPr>
          <w:sz w:val="20"/>
          <w:szCs w:val="20"/>
          <w:lang w:val="pl-PL"/>
        </w:rPr>
        <w:t>usługi</w:t>
      </w:r>
      <w:r w:rsidRPr="00CA1A72">
        <w:rPr>
          <w:sz w:val="20"/>
          <w:szCs w:val="20"/>
          <w:lang w:val="pl-PL"/>
        </w:rPr>
        <w:t xml:space="preserve"> były wykonywane, a jeżeli z uzasadnionej przyczyny o obiektywnym charakterze Wykonawca nie jest w stanie uzyskać tych dokumentów – inne odpowiednie dokumenty - załącznik nr 8 do SWZ;</w:t>
      </w:r>
    </w:p>
    <w:p w14:paraId="51353CCC" w14:textId="3DA7EE74" w:rsidR="008026BB" w:rsidRPr="00175A2D" w:rsidRDefault="00CA1A72" w:rsidP="00175A2D">
      <w:pPr>
        <w:numPr>
          <w:ilvl w:val="2"/>
          <w:numId w:val="48"/>
        </w:numPr>
        <w:spacing w:line="360" w:lineRule="auto"/>
        <w:ind w:left="709" w:hanging="425"/>
        <w:jc w:val="both"/>
        <w:rPr>
          <w:sz w:val="20"/>
          <w:szCs w:val="20"/>
          <w:lang w:val="pl-PL"/>
        </w:rPr>
      </w:pPr>
      <w:r w:rsidRPr="00CA1A72">
        <w:rPr>
          <w:sz w:val="20"/>
          <w:szCs w:val="20"/>
          <w:lang w:val="pl-PL"/>
        </w:rPr>
        <w:t>wykazu osób, skierowanych do realizacji zamówienia publicznego</w:t>
      </w:r>
      <w:r w:rsidR="00175A2D">
        <w:rPr>
          <w:sz w:val="20"/>
          <w:szCs w:val="20"/>
          <w:lang w:val="pl-PL"/>
        </w:rPr>
        <w:t xml:space="preserve"> wraz z</w:t>
      </w:r>
      <w:r w:rsidRPr="00CA1A72">
        <w:rPr>
          <w:sz w:val="20"/>
          <w:szCs w:val="20"/>
          <w:lang w:val="pl-PL"/>
        </w:rPr>
        <w:t xml:space="preserve"> doświadczenia zgodnie z rozdziałem VII ust. 2 pkt. 4 lit. b) SWZ, a także zakresu wykonywanych przez nie czynności oraz informacją o podstawie do dysponowania tymi osobami - załącznik nr 9 do SWZ.</w:t>
      </w:r>
    </w:p>
    <w:p w14:paraId="0000009F" w14:textId="706373CA" w:rsidR="00FE1011" w:rsidRDefault="001C2F34" w:rsidP="00DF5ADE">
      <w:pPr>
        <w:numPr>
          <w:ilvl w:val="0"/>
          <w:numId w:val="10"/>
        </w:numPr>
        <w:spacing w:line="360" w:lineRule="auto"/>
        <w:ind w:left="426" w:hanging="490"/>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DF5ADE">
      <w:pPr>
        <w:numPr>
          <w:ilvl w:val="0"/>
          <w:numId w:val="10"/>
        </w:numPr>
        <w:spacing w:line="360" w:lineRule="auto"/>
        <w:ind w:left="28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000000A1" w14:textId="77777777" w:rsidR="00FE1011" w:rsidRDefault="001C2F34" w:rsidP="00DF5ADE">
      <w:pPr>
        <w:numPr>
          <w:ilvl w:val="0"/>
          <w:numId w:val="10"/>
        </w:numPr>
        <w:pBdr>
          <w:top w:val="nil"/>
          <w:left w:val="nil"/>
          <w:bottom w:val="nil"/>
          <w:right w:val="nil"/>
          <w:between w:val="nil"/>
        </w:pBdr>
        <w:spacing w:line="360" w:lineRule="auto"/>
        <w:ind w:left="28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DF5ADE">
      <w:pPr>
        <w:numPr>
          <w:ilvl w:val="0"/>
          <w:numId w:val="10"/>
        </w:numPr>
        <w:pBdr>
          <w:top w:val="nil"/>
          <w:left w:val="nil"/>
          <w:bottom w:val="nil"/>
          <w:right w:val="nil"/>
          <w:between w:val="nil"/>
        </w:pBdr>
        <w:spacing w:line="360" w:lineRule="auto"/>
        <w:ind w:left="28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019263C"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175A2D">
        <w:rPr>
          <w:b/>
          <w:sz w:val="20"/>
          <w:szCs w:val="20"/>
        </w:rPr>
        <w:t>10</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w:t>
      </w:r>
      <w:r>
        <w:rPr>
          <w:sz w:val="20"/>
          <w:szCs w:val="20"/>
        </w:rPr>
        <w:lastRenderedPageBreak/>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8"/>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lastRenderedPageBreak/>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F0E01BE"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 xml:space="preserve">h </w:t>
      </w:r>
      <w:r w:rsidR="00175A2D">
        <w:rPr>
          <w:sz w:val="20"/>
          <w:szCs w:val="20"/>
          <w:lang w:val="pl-PL"/>
        </w:rPr>
        <w:t>świadczonej usługi</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A8E8C3C"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B31D12">
        <w:rPr>
          <w:sz w:val="20"/>
          <w:szCs w:val="20"/>
        </w:rPr>
        <w:t>4</w:t>
      </w:r>
      <w:r>
        <w:rPr>
          <w:sz w:val="20"/>
          <w:szCs w:val="20"/>
        </w:rPr>
        <w:t xml:space="preserve"> r. poz. </w:t>
      </w:r>
      <w:r w:rsidR="00B31D12">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373BC9EE" w14:textId="2719E910" w:rsidR="00FA275C" w:rsidRPr="003F2D0D" w:rsidRDefault="003F2D0D" w:rsidP="003F2D0D">
      <w:pPr>
        <w:spacing w:line="360" w:lineRule="auto"/>
        <w:jc w:val="both"/>
        <w:rPr>
          <w:sz w:val="20"/>
          <w:szCs w:val="20"/>
        </w:rPr>
      </w:pPr>
      <w:r>
        <w:rPr>
          <w:sz w:val="20"/>
          <w:szCs w:val="20"/>
        </w:rPr>
        <w:t xml:space="preserve">     </w:t>
      </w:r>
      <w:r w:rsidR="004D446C" w:rsidRPr="003F2D0D">
        <w:rPr>
          <w:sz w:val="20"/>
          <w:szCs w:val="20"/>
        </w:rPr>
        <w:t xml:space="preserve">  </w:t>
      </w:r>
      <w:r w:rsidR="00B70312" w:rsidRPr="003F2D0D">
        <w:rPr>
          <w:sz w:val="20"/>
          <w:szCs w:val="20"/>
        </w:rPr>
        <w:t>2000</w:t>
      </w:r>
      <w:r w:rsidR="004D446C" w:rsidRPr="003F2D0D">
        <w:rPr>
          <w:sz w:val="20"/>
          <w:szCs w:val="20"/>
        </w:rPr>
        <w:t xml:space="preserve">  zł   (słownie: </w:t>
      </w:r>
      <w:r w:rsidR="00B70312" w:rsidRPr="003F2D0D">
        <w:rPr>
          <w:sz w:val="20"/>
          <w:szCs w:val="20"/>
        </w:rPr>
        <w:t>dwa tysiące</w:t>
      </w:r>
      <w:r w:rsidR="004D446C" w:rsidRPr="003F2D0D">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51549963"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175A2D" w:rsidRPr="00175A2D">
        <w:rPr>
          <w:b/>
          <w:bCs/>
          <w:sz w:val="20"/>
          <w:szCs w:val="20"/>
        </w:rPr>
        <w:t>Świadczenie specjalistycznych usług opiekuńczych dla osób z zaburzeniami psychicznymi w okresie od 1 stycznia 202</w:t>
      </w:r>
      <w:r w:rsidR="009B5520">
        <w:rPr>
          <w:b/>
          <w:bCs/>
          <w:sz w:val="20"/>
          <w:szCs w:val="20"/>
        </w:rPr>
        <w:t>5</w:t>
      </w:r>
      <w:r w:rsidR="00175A2D" w:rsidRPr="00175A2D">
        <w:rPr>
          <w:b/>
          <w:bCs/>
          <w:sz w:val="20"/>
          <w:szCs w:val="20"/>
        </w:rPr>
        <w:t xml:space="preserve"> r. do 31 grudnia 202</w:t>
      </w:r>
      <w:r w:rsidR="009B5520">
        <w:rPr>
          <w:b/>
          <w:bCs/>
          <w:sz w:val="20"/>
          <w:szCs w:val="20"/>
        </w:rPr>
        <w:t>6</w:t>
      </w:r>
      <w:r w:rsidR="00175A2D" w:rsidRPr="00175A2D">
        <w:rPr>
          <w:b/>
          <w:bCs/>
          <w:sz w:val="20"/>
          <w:szCs w:val="20"/>
        </w:rPr>
        <w:t xml:space="preserve"> r.”</w:t>
      </w:r>
      <w:r w:rsidR="00171B74" w:rsidRPr="00171B74">
        <w:rPr>
          <w:sz w:val="20"/>
          <w:szCs w:val="20"/>
          <w:lang w:val="pl-PL"/>
        </w:rPr>
        <w:t>znak sprawy ZP.271.</w:t>
      </w:r>
      <w:r w:rsidR="0003120C">
        <w:rPr>
          <w:sz w:val="20"/>
          <w:szCs w:val="20"/>
          <w:lang w:val="pl-PL"/>
        </w:rPr>
        <w:t>3</w:t>
      </w:r>
      <w:r w:rsidR="009B5520">
        <w:rPr>
          <w:sz w:val="20"/>
          <w:szCs w:val="20"/>
          <w:lang w:val="pl-PL"/>
        </w:rPr>
        <w:t>2</w:t>
      </w:r>
      <w:r w:rsidR="00171B74" w:rsidRPr="00171B74">
        <w:rPr>
          <w:sz w:val="20"/>
          <w:szCs w:val="20"/>
          <w:lang w:val="pl-PL"/>
        </w:rPr>
        <w:t>.202</w:t>
      </w:r>
      <w:r w:rsidR="009B5520">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65D3F3A4"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9B5520">
        <w:rPr>
          <w:sz w:val="20"/>
          <w:szCs w:val="20"/>
        </w:rPr>
        <w:t>10</w:t>
      </w:r>
      <w:r w:rsidR="00B70312">
        <w:rPr>
          <w:sz w:val="20"/>
          <w:szCs w:val="20"/>
        </w:rPr>
        <w:t xml:space="preserve"> styczna</w:t>
      </w:r>
      <w:r w:rsidR="00FA275C" w:rsidRPr="00FA275C">
        <w:rPr>
          <w:color w:val="000000" w:themeColor="text1"/>
          <w:sz w:val="20"/>
          <w:szCs w:val="20"/>
        </w:rPr>
        <w:t xml:space="preserve"> 202</w:t>
      </w:r>
      <w:r w:rsidR="009B5520">
        <w:rPr>
          <w:color w:val="000000" w:themeColor="text1"/>
          <w:sz w:val="20"/>
          <w:szCs w:val="20"/>
        </w:rPr>
        <w:t>5</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6BE90063"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9B5520">
        <w:rPr>
          <w:color w:val="000000" w:themeColor="text1"/>
          <w:sz w:val="20"/>
          <w:szCs w:val="20"/>
        </w:rPr>
        <w:t>12</w:t>
      </w:r>
      <w:r w:rsidR="00FA275C" w:rsidRPr="00FA275C">
        <w:rPr>
          <w:color w:val="000000" w:themeColor="text1"/>
          <w:sz w:val="20"/>
          <w:szCs w:val="20"/>
        </w:rPr>
        <w:t xml:space="preserve"> </w:t>
      </w:r>
      <w:r w:rsidR="00B70312">
        <w:rPr>
          <w:color w:val="000000" w:themeColor="text1"/>
          <w:sz w:val="20"/>
          <w:szCs w:val="20"/>
        </w:rPr>
        <w:t>grudnia</w:t>
      </w:r>
      <w:r w:rsidR="00FA275C" w:rsidRPr="00FA275C">
        <w:rPr>
          <w:color w:val="000000" w:themeColor="text1"/>
          <w:sz w:val="20"/>
          <w:szCs w:val="20"/>
        </w:rPr>
        <w:t xml:space="preserve"> 202</w:t>
      </w:r>
      <w:r w:rsidR="009B5520">
        <w:rPr>
          <w:color w:val="000000" w:themeColor="text1"/>
          <w:sz w:val="20"/>
          <w:szCs w:val="20"/>
        </w:rPr>
        <w:t>4</w:t>
      </w:r>
      <w:r w:rsidR="00FA275C" w:rsidRPr="00FA275C">
        <w:rPr>
          <w:color w:val="000000" w:themeColor="text1"/>
          <w:sz w:val="20"/>
          <w:szCs w:val="20"/>
        </w:rPr>
        <w:t xml:space="preserve"> roku godz. </w:t>
      </w:r>
      <w:r w:rsidR="00DF5ADE">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4487A8C8"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9B5520">
        <w:rPr>
          <w:color w:val="000000" w:themeColor="text1"/>
          <w:sz w:val="20"/>
          <w:szCs w:val="20"/>
        </w:rPr>
        <w:t>12</w:t>
      </w:r>
      <w:r w:rsidR="00B70312">
        <w:rPr>
          <w:color w:val="000000" w:themeColor="text1"/>
          <w:sz w:val="20"/>
          <w:szCs w:val="20"/>
        </w:rPr>
        <w:t xml:space="preserve"> grudnia</w:t>
      </w:r>
      <w:r w:rsidR="00FA275C" w:rsidRPr="00FA275C">
        <w:rPr>
          <w:color w:val="000000" w:themeColor="text1"/>
          <w:sz w:val="20"/>
          <w:szCs w:val="20"/>
        </w:rPr>
        <w:t xml:space="preserve"> 202</w:t>
      </w:r>
      <w:r w:rsidR="009B5520">
        <w:rPr>
          <w:color w:val="000000" w:themeColor="text1"/>
          <w:sz w:val="20"/>
          <w:szCs w:val="20"/>
        </w:rPr>
        <w:t>4</w:t>
      </w:r>
      <w:r w:rsidR="00FA275C" w:rsidRPr="00FA275C">
        <w:rPr>
          <w:color w:val="000000" w:themeColor="text1"/>
          <w:sz w:val="20"/>
          <w:szCs w:val="20"/>
        </w:rPr>
        <w:t xml:space="preserve"> roku godz. </w:t>
      </w:r>
      <w:r w:rsidR="00DF5ADE">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lastRenderedPageBreak/>
        <w:t>X</w:t>
      </w:r>
      <w:r w:rsidR="00EE23F1">
        <w:t>I</w:t>
      </w:r>
      <w:r>
        <w:t>X. Opis kryteriów oceny ofert wraz z podaniem wag tych kryteriów i sposobu oceny ofert</w:t>
      </w:r>
      <w:bookmarkEnd w:id="32"/>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73839D6F" w:rsidR="00FE1011" w:rsidRDefault="003776DA" w:rsidP="004411F8">
      <w:pPr>
        <w:numPr>
          <w:ilvl w:val="0"/>
          <w:numId w:val="23"/>
        </w:numPr>
        <w:spacing w:line="360" w:lineRule="auto"/>
        <w:ind w:left="924" w:hanging="476"/>
        <w:rPr>
          <w:sz w:val="20"/>
          <w:szCs w:val="20"/>
        </w:rPr>
      </w:pPr>
      <w:r>
        <w:rPr>
          <w:b/>
          <w:bCs/>
          <w:sz w:val="20"/>
          <w:szCs w:val="20"/>
          <w:lang w:val="pl-PL"/>
        </w:rPr>
        <w:t>Termin zapłaty faktury</w:t>
      </w:r>
      <w:r w:rsidR="00C768C5" w:rsidRPr="00C768C5">
        <w:rPr>
          <w:b/>
          <w:bCs/>
          <w:sz w:val="20"/>
          <w:szCs w:val="20"/>
        </w:rPr>
        <w:t xml:space="preserve"> </w:t>
      </w:r>
      <w:r w:rsidR="001C2F34">
        <w:rPr>
          <w:smallCaps/>
          <w:sz w:val="20"/>
          <w:szCs w:val="20"/>
        </w:rPr>
        <w:t xml:space="preserve"> </w:t>
      </w:r>
      <w:r w:rsidR="00C2424B">
        <w:rPr>
          <w:smallCaps/>
          <w:sz w:val="20"/>
          <w:szCs w:val="20"/>
        </w:rPr>
        <w:t>(</w:t>
      </w:r>
      <w:r w:rsidR="00DF5ADE">
        <w:rPr>
          <w:smallCaps/>
          <w:sz w:val="20"/>
          <w:szCs w:val="20"/>
        </w:rPr>
        <w:t>TZ</w:t>
      </w:r>
      <w:r w:rsidR="00C2424B">
        <w:rPr>
          <w:smallCaps/>
          <w:sz w:val="20"/>
          <w:szCs w:val="20"/>
        </w:rPr>
        <w:t>)</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E0E3F89" w14:textId="53A83311" w:rsidR="00B70312" w:rsidRDefault="00C768C5" w:rsidP="00863BFC">
      <w:pPr>
        <w:pStyle w:val="pkt"/>
        <w:numPr>
          <w:ilvl w:val="0"/>
          <w:numId w:val="25"/>
        </w:numPr>
        <w:autoSpaceDE w:val="0"/>
        <w:autoSpaceDN w:val="0"/>
        <w:spacing w:before="100" w:beforeAutospacing="1" w:after="100" w:afterAutospacing="1" w:line="276" w:lineRule="auto"/>
        <w:ind w:left="851" w:hanging="284"/>
        <w:rPr>
          <w:rFonts w:ascii="Arial" w:hAnsi="Arial" w:cs="Arial"/>
          <w:b/>
          <w:sz w:val="20"/>
          <w:szCs w:val="20"/>
          <w:lang w:val="pl"/>
        </w:rPr>
      </w:pPr>
      <w:r w:rsidRPr="00C768C5">
        <w:rPr>
          <w:rFonts w:ascii="Arial" w:hAnsi="Arial" w:cs="Arial"/>
          <w:b/>
          <w:sz w:val="20"/>
          <w:szCs w:val="20"/>
          <w:lang w:val="pl"/>
        </w:rPr>
        <w:t>Kryterium „</w:t>
      </w:r>
      <w:r w:rsidR="00B70312">
        <w:rPr>
          <w:rFonts w:ascii="Arial" w:hAnsi="Arial" w:cs="Arial"/>
          <w:b/>
          <w:sz w:val="20"/>
          <w:szCs w:val="20"/>
          <w:lang w:val="pl"/>
        </w:rPr>
        <w:t xml:space="preserve">Termin płatności faktury </w:t>
      </w:r>
      <w:r w:rsidRPr="00C768C5">
        <w:rPr>
          <w:rFonts w:ascii="Arial" w:hAnsi="Arial" w:cs="Arial"/>
          <w:b/>
          <w:sz w:val="20"/>
          <w:szCs w:val="20"/>
          <w:lang w:val="pl"/>
        </w:rPr>
        <w:t>”</w:t>
      </w:r>
    </w:p>
    <w:p w14:paraId="2D2AE3AA" w14:textId="7B6C7271" w:rsidR="00B70312" w:rsidRPr="00A71394" w:rsidRDefault="00863BFC" w:rsidP="00B70312">
      <w:pPr>
        <w:pStyle w:val="pkt"/>
        <w:numPr>
          <w:ilvl w:val="1"/>
          <w:numId w:val="20"/>
        </w:numPr>
        <w:autoSpaceDE w:val="0"/>
        <w:autoSpaceDN w:val="0"/>
        <w:spacing w:before="100" w:beforeAutospacing="1" w:after="100" w:afterAutospacing="1" w:line="276" w:lineRule="auto"/>
        <w:ind w:firstLine="109"/>
        <w:rPr>
          <w:rFonts w:ascii="Arial" w:hAnsi="Arial" w:cs="Arial"/>
          <w:b/>
          <w:bCs/>
          <w:sz w:val="20"/>
          <w:szCs w:val="20"/>
        </w:rPr>
      </w:pPr>
      <w:r w:rsidRPr="00A71394">
        <w:rPr>
          <w:rFonts w:ascii="Arial" w:hAnsi="Arial" w:cs="Arial"/>
          <w:b/>
          <w:bCs/>
          <w:sz w:val="20"/>
          <w:szCs w:val="20"/>
        </w:rPr>
        <w:t xml:space="preserve"> </w:t>
      </w:r>
      <w:r w:rsidR="00B70312" w:rsidRPr="00A71394">
        <w:rPr>
          <w:rFonts w:ascii="Arial" w:hAnsi="Arial" w:cs="Arial"/>
          <w:b/>
          <w:bCs/>
          <w:sz w:val="20"/>
          <w:szCs w:val="20"/>
        </w:rPr>
        <w:t xml:space="preserve">Termin </w:t>
      </w:r>
      <w:r w:rsidR="00204EFF">
        <w:rPr>
          <w:rFonts w:ascii="Arial" w:hAnsi="Arial" w:cs="Arial"/>
          <w:b/>
          <w:bCs/>
          <w:sz w:val="20"/>
          <w:szCs w:val="20"/>
        </w:rPr>
        <w:t>płatności</w:t>
      </w:r>
      <w:r w:rsidR="00B70312" w:rsidRPr="00A71394">
        <w:rPr>
          <w:rFonts w:ascii="Arial" w:hAnsi="Arial" w:cs="Arial"/>
          <w:b/>
          <w:bCs/>
          <w:sz w:val="20"/>
          <w:szCs w:val="20"/>
        </w:rPr>
        <w:t xml:space="preserve"> faktury (Tz) – waga 40% </w:t>
      </w:r>
    </w:p>
    <w:p w14:paraId="616CC054" w14:textId="56B6D157" w:rsidR="00B70312" w:rsidRPr="00B70312" w:rsidRDefault="00863BFC" w:rsidP="00B70312">
      <w:pPr>
        <w:spacing w:line="360" w:lineRule="auto"/>
        <w:ind w:left="1800" w:hanging="382"/>
        <w:jc w:val="both"/>
        <w:rPr>
          <w:rFonts w:eastAsia="Times New Roman"/>
          <w:sz w:val="20"/>
          <w:szCs w:val="20"/>
          <w:lang w:val="pl-PL"/>
        </w:rPr>
      </w:pPr>
      <w:r>
        <w:rPr>
          <w:rFonts w:eastAsia="Times New Roman"/>
          <w:sz w:val="20"/>
          <w:szCs w:val="20"/>
          <w:lang w:val="pl-PL"/>
        </w:rPr>
        <w:t xml:space="preserve">                 </w:t>
      </w:r>
      <w:r w:rsidR="00B70312" w:rsidRPr="00B70312">
        <w:rPr>
          <w:rFonts w:eastAsia="Times New Roman"/>
          <w:sz w:val="20"/>
          <w:szCs w:val="20"/>
          <w:lang w:val="pl-PL"/>
        </w:rPr>
        <w:t xml:space="preserve"> najkrótszy termin zapłaty</w:t>
      </w:r>
    </w:p>
    <w:p w14:paraId="241B52F9" w14:textId="580B5000" w:rsidR="00B70312" w:rsidRPr="00B70312" w:rsidRDefault="00DF5ADE" w:rsidP="00B70312">
      <w:pPr>
        <w:spacing w:line="360" w:lineRule="auto"/>
        <w:ind w:left="1800"/>
        <w:jc w:val="both"/>
        <w:rPr>
          <w:rFonts w:eastAsia="Times New Roman"/>
          <w:sz w:val="20"/>
          <w:szCs w:val="20"/>
          <w:lang w:val="pl-PL"/>
        </w:rPr>
      </w:pPr>
      <w:r>
        <w:rPr>
          <w:rFonts w:eastAsia="Times New Roman"/>
          <w:sz w:val="20"/>
          <w:szCs w:val="20"/>
          <w:lang w:val="pl-PL"/>
        </w:rPr>
        <w:t>T</w:t>
      </w:r>
      <w:r w:rsidR="00B70312" w:rsidRPr="00B70312">
        <w:rPr>
          <w:rFonts w:eastAsia="Times New Roman"/>
          <w:sz w:val="20"/>
          <w:szCs w:val="20"/>
          <w:lang w:val="pl-PL"/>
        </w:rPr>
        <w:t>z = ------------------------------------------------   x 100 pkt x 40%</w:t>
      </w:r>
    </w:p>
    <w:p w14:paraId="474AE8FB" w14:textId="5C18E3E3" w:rsidR="00B70312" w:rsidRPr="00B70312" w:rsidRDefault="00863BFC" w:rsidP="00B70312">
      <w:pPr>
        <w:spacing w:line="360" w:lineRule="auto"/>
        <w:ind w:left="1800"/>
        <w:jc w:val="both"/>
        <w:rPr>
          <w:rFonts w:eastAsia="Times New Roman"/>
          <w:sz w:val="20"/>
          <w:szCs w:val="20"/>
          <w:lang w:val="pl-PL"/>
        </w:rPr>
      </w:pPr>
      <w:r>
        <w:rPr>
          <w:rFonts w:eastAsia="Times New Roman"/>
          <w:sz w:val="20"/>
          <w:szCs w:val="20"/>
          <w:lang w:val="pl-PL"/>
        </w:rPr>
        <w:t xml:space="preserve">         </w:t>
      </w:r>
      <w:r w:rsidR="00B70312" w:rsidRPr="00B70312">
        <w:rPr>
          <w:rFonts w:eastAsia="Times New Roman"/>
          <w:sz w:val="20"/>
          <w:szCs w:val="20"/>
          <w:lang w:val="pl-PL"/>
        </w:rPr>
        <w:t xml:space="preserve">termin zapłaty oferty ocenianej </w:t>
      </w:r>
    </w:p>
    <w:p w14:paraId="1FD8CCD0"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Wykonawca podaje termin zapłaty w liczbach całkowitych. Termin zapłaty nie może być krótszy niż 7 dni i dłuższy niż 30 dni. Oświadczenie wykonawcy w zakresie przekraczającym 30-dniowy termin zapłaty będzie uznane za nieważne. W przypadku podania przez wykonawcę terminu płatności dłuższego niż 30 dni, do oceny ofert zostanie przyjęty termin płatności maksymalny – 30 dni.</w:t>
      </w:r>
    </w:p>
    <w:p w14:paraId="5B36030E"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 xml:space="preserve"> W przypadku podania przez Wykonawcę terminu zapłaty krótszego  niż 7 dni, Zamawiający uzna ofertę jako niezgodną z treścią specyfikacji istotnych warunków zamówienia. </w:t>
      </w:r>
    </w:p>
    <w:p w14:paraId="42201278"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W przypadku nie wpisania przez Wykonawcę terminu zapłaty faktury w formularzu ofertowym, Zamawiający przyjmie do oceny minimalny termin zapłaty tj. 7 dni.</w:t>
      </w:r>
    </w:p>
    <w:p w14:paraId="63714C06" w14:textId="77777777" w:rsidR="00B70312" w:rsidRPr="00B70312" w:rsidRDefault="00B70312" w:rsidP="00B70312">
      <w:pPr>
        <w:spacing w:line="360" w:lineRule="auto"/>
        <w:ind w:left="1800"/>
        <w:jc w:val="both"/>
        <w:rPr>
          <w:rFonts w:eastAsia="Times New Roman"/>
          <w:sz w:val="20"/>
          <w:szCs w:val="20"/>
          <w:lang w:val="pl-PL"/>
        </w:rPr>
      </w:pPr>
    </w:p>
    <w:p w14:paraId="0C7E787F" w14:textId="76B92136"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Zamawiający ogranicza wykonawcom w postępowaniu możliwości zaoferowania długości terminu zapłaty dłuższego niż 30 dni uwzględniając bezwzględnie obowiązujące w dacie wszczęcia postępowania przepisy ustawy z dnia 12 czerwca 2003 r. o terminach zapłaty w transakcjach handlowych (Dz. U. z 202</w:t>
      </w:r>
      <w:r w:rsidR="009B5520">
        <w:rPr>
          <w:rFonts w:eastAsia="Times New Roman"/>
          <w:sz w:val="20"/>
          <w:szCs w:val="20"/>
          <w:lang w:val="pl-PL"/>
        </w:rPr>
        <w:t>3</w:t>
      </w:r>
      <w:r w:rsidRPr="00B70312">
        <w:rPr>
          <w:rFonts w:eastAsia="Times New Roman"/>
          <w:sz w:val="20"/>
          <w:szCs w:val="20"/>
          <w:lang w:val="pl-PL"/>
        </w:rPr>
        <w:t xml:space="preserve"> r., poz. </w:t>
      </w:r>
      <w:r w:rsidR="009B5520">
        <w:rPr>
          <w:rFonts w:eastAsia="Times New Roman"/>
          <w:sz w:val="20"/>
          <w:szCs w:val="20"/>
          <w:lang w:val="pl-PL"/>
        </w:rPr>
        <w:t>1790</w:t>
      </w:r>
      <w:r w:rsidRPr="00B70312">
        <w:rPr>
          <w:rFonts w:eastAsia="Times New Roman"/>
          <w:sz w:val="20"/>
          <w:szCs w:val="20"/>
          <w:lang w:val="pl-PL"/>
        </w:rPr>
        <w:t xml:space="preserve"> ze zm.). </w:t>
      </w:r>
    </w:p>
    <w:p w14:paraId="6AE14C58" w14:textId="7CAD921F" w:rsidR="00B70312" w:rsidRPr="00B70312" w:rsidRDefault="00B70312" w:rsidP="00863BFC">
      <w:pPr>
        <w:spacing w:line="360" w:lineRule="auto"/>
        <w:ind w:left="1276"/>
        <w:jc w:val="both"/>
        <w:rPr>
          <w:rFonts w:eastAsia="Times New Roman"/>
          <w:sz w:val="20"/>
          <w:szCs w:val="20"/>
          <w:lang w:val="pl-PL"/>
        </w:rPr>
      </w:pPr>
      <w:r w:rsidRPr="00B70312">
        <w:rPr>
          <w:rFonts w:eastAsia="Times New Roman"/>
          <w:sz w:val="20"/>
          <w:szCs w:val="20"/>
          <w:lang w:val="pl-PL"/>
        </w:rPr>
        <w:lastRenderedPageBreak/>
        <w:t>Zgodnie z art. 5 ustawy o terminach zapłaty w transakcjach handlowych, jeżeli strony transakcji handlowej, z wyłączeniem podmiotu publicznego będącego podmiotem leczniczym w rozumieniu art. 4 ust. 1 pkt 2-4 ustawy z dnia 15 kwietnia 2011 r. o działalności leczniczej (Dz. U. z 202</w:t>
      </w:r>
      <w:r w:rsidR="006318EB">
        <w:rPr>
          <w:rFonts w:eastAsia="Times New Roman"/>
          <w:sz w:val="20"/>
          <w:szCs w:val="20"/>
          <w:lang w:val="pl-PL"/>
        </w:rPr>
        <w:t>4</w:t>
      </w:r>
      <w:r w:rsidRPr="00B70312">
        <w:rPr>
          <w:rFonts w:eastAsia="Times New Roman"/>
          <w:sz w:val="20"/>
          <w:szCs w:val="20"/>
          <w:lang w:val="pl-PL"/>
        </w:rPr>
        <w:t xml:space="preserve"> r. poz. </w:t>
      </w:r>
      <w:r w:rsidR="006318EB">
        <w:rPr>
          <w:rFonts w:eastAsia="Times New Roman"/>
          <w:sz w:val="20"/>
          <w:szCs w:val="20"/>
          <w:lang w:val="pl-PL"/>
        </w:rPr>
        <w:t>799</w:t>
      </w:r>
      <w:r w:rsidRPr="00B70312">
        <w:rPr>
          <w:rFonts w:eastAsia="Times New Roman"/>
          <w:sz w:val="20"/>
          <w:szCs w:val="20"/>
          <w:lang w:val="pl-PL"/>
        </w:rPr>
        <w:t>, z późn. zm.),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0000012B" w14:textId="603AAC40" w:rsidR="00FE1011" w:rsidRDefault="00B70312" w:rsidP="00863BFC">
      <w:pPr>
        <w:spacing w:line="360" w:lineRule="auto"/>
        <w:ind w:left="1276"/>
        <w:jc w:val="both"/>
        <w:rPr>
          <w:sz w:val="20"/>
          <w:szCs w:val="20"/>
        </w:rPr>
      </w:pPr>
      <w:r w:rsidRPr="00B70312">
        <w:rPr>
          <w:rFonts w:eastAsia="Times New Roman"/>
          <w:sz w:val="20"/>
          <w:szCs w:val="20"/>
          <w:lang w:val="pl-PL"/>
        </w:rPr>
        <w:t>Zgodnie natomiast z art. 13 ustawy o terminach zapłaty w transakcjach handlowych postanowienia umowy wyłączające lub ograniczające uprawnienia wierzyciela lub obowiązki dłużnika, o których mowa m. in. w art. 5 tej ustawy są nieważne, a zamiast nich stosuje się przepisy ustawy..    </w:t>
      </w:r>
      <w:r w:rsidR="001C2F34">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67402214"/>
      <w:r>
        <w:t>XX. Informacje o formalnościach, jakie powinny być dopełnione po wyborze oferty w celu zawarcia umowy</w:t>
      </w:r>
      <w:bookmarkEnd w:id="34"/>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67402215"/>
      <w:r>
        <w:lastRenderedPageBreak/>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67402216"/>
      <w:r>
        <w:t>XXII. Informacje o treści zawieranej umowy oraz możliwości jej zmiany</w:t>
      </w:r>
      <w:bookmarkEnd w:id="36"/>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7" w:name="_Toc67402217"/>
      <w:r>
        <w:t>X</w:t>
      </w:r>
      <w:r w:rsidR="00EE23F1">
        <w:t>XI</w:t>
      </w:r>
      <w:r w:rsidR="00F34900">
        <w:t>II</w:t>
      </w:r>
      <w:r>
        <w:t>. Pouczenie o środkach ochrony prawnej przysługujących Wykonawcy</w:t>
      </w:r>
      <w:bookmarkEnd w:id="3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7402218"/>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66401C0"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lastRenderedPageBreak/>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6318EB">
        <w:rPr>
          <w:sz w:val="20"/>
          <w:szCs w:val="20"/>
          <w:lang w:val="pl-PL"/>
        </w:rPr>
        <w:t>4</w:t>
      </w:r>
      <w:r w:rsidRPr="00EE23F1">
        <w:rPr>
          <w:sz w:val="20"/>
          <w:szCs w:val="20"/>
          <w:lang w:val="pl-PL"/>
        </w:rPr>
        <w:t xml:space="preserve"> r. poz. </w:t>
      </w:r>
      <w:r w:rsidR="006318EB">
        <w:rPr>
          <w:sz w:val="20"/>
          <w:szCs w:val="20"/>
          <w:lang w:val="pl-PL"/>
        </w:rPr>
        <w:t>1320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lastRenderedPageBreak/>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7402219"/>
      <w:r>
        <w:t>XXV. Spis załączników</w:t>
      </w:r>
      <w:bookmarkEnd w:id="41"/>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526445C1" w:rsidR="00FE1011" w:rsidRDefault="007B5F65" w:rsidP="0091041F">
      <w:pPr>
        <w:numPr>
          <w:ilvl w:val="0"/>
          <w:numId w:val="28"/>
        </w:numPr>
        <w:ind w:left="714" w:hanging="357"/>
      </w:pPr>
      <w:r>
        <w:t xml:space="preserve">Załącznik nr 2 </w:t>
      </w:r>
      <w:r w:rsidR="00B3594A">
        <w:t xml:space="preserve">do SWZ </w:t>
      </w:r>
      <w:r>
        <w:t xml:space="preserve">– </w:t>
      </w:r>
      <w:r w:rsidR="00B3594A">
        <w:t xml:space="preserve">opis przedmiotu zamówienia </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2" w:name="_Hlk67555526"/>
      <w:r>
        <w:t>Załącznik nr 4 do SWZ</w:t>
      </w:r>
      <w:bookmarkEnd w:id="42"/>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3"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3"/>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1D505E4B"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t>
      </w:r>
      <w:r w:rsidR="00175A2D">
        <w:t>usług</w:t>
      </w:r>
    </w:p>
    <w:p w14:paraId="689C4F0D" w14:textId="3C096815" w:rsidR="00175A2D" w:rsidRDefault="00175A2D" w:rsidP="001077C3">
      <w:pPr>
        <w:numPr>
          <w:ilvl w:val="0"/>
          <w:numId w:val="28"/>
        </w:numPr>
        <w:ind w:left="714" w:hanging="357"/>
        <w:jc w:val="both"/>
      </w:pPr>
      <w:r>
        <w:t>Załącznik nr 9 do SWZ – wykaz osób</w:t>
      </w:r>
    </w:p>
    <w:p w14:paraId="049B5A55" w14:textId="0A499170" w:rsidR="00B3594A" w:rsidRDefault="00B3594A" w:rsidP="001077C3">
      <w:pPr>
        <w:numPr>
          <w:ilvl w:val="0"/>
          <w:numId w:val="28"/>
        </w:numPr>
        <w:ind w:left="714" w:hanging="357"/>
        <w:jc w:val="both"/>
      </w:pPr>
      <w:r w:rsidRPr="00B3594A">
        <w:t xml:space="preserve">Załącznik nr </w:t>
      </w:r>
      <w:r w:rsidR="00863BFC">
        <w:t>10</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7CB1B09F"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C57AF4">
      <w:rPr>
        <w:b/>
        <w:bCs/>
        <w:sz w:val="20"/>
        <w:szCs w:val="20"/>
      </w:rPr>
      <w:t>3</w:t>
    </w:r>
    <w:r w:rsidR="00B73E40">
      <w:rPr>
        <w:b/>
        <w:bCs/>
        <w:sz w:val="20"/>
        <w:szCs w:val="20"/>
      </w:rPr>
      <w:t>2</w:t>
    </w:r>
    <w:r w:rsidRPr="00D922B2">
      <w:rPr>
        <w:b/>
        <w:bCs/>
        <w:sz w:val="20"/>
        <w:szCs w:val="20"/>
      </w:rPr>
      <w:t>.202</w:t>
    </w:r>
    <w:r w:rsidR="00B73E40">
      <w:rPr>
        <w:b/>
        <w:bCs/>
        <w:sz w:val="20"/>
        <w:szCs w:val="20"/>
      </w:rPr>
      <w:t>4</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FC785E5" w:rsidR="001077C3" w:rsidRPr="003053FF" w:rsidRDefault="001077C3" w:rsidP="001C2F34">
    <w:pPr>
      <w:pStyle w:val="Nagwek"/>
      <w:rPr>
        <w:b/>
        <w:color w:val="1F497D" w:themeColor="text2"/>
        <w:lang w:val="pl-PL"/>
      </w:rPr>
    </w:pPr>
    <w:r w:rsidRPr="003053FF">
      <w:rPr>
        <w:b/>
        <w:color w:val="1F497D" w:themeColor="text2"/>
        <w:lang w:val="pl-PL"/>
      </w:rPr>
      <w:t>Gmi</w:t>
    </w:r>
    <w:r w:rsidR="00066BDF">
      <w:rPr>
        <w:b/>
        <w:color w:val="1F497D" w:themeColor="text2"/>
        <w:lang w:val="pl-PL"/>
      </w:rPr>
      <w:t>nny Ośrodek Pomocy Społecznej</w:t>
    </w:r>
  </w:p>
  <w:p w14:paraId="4146AC87" w14:textId="314A2DFC" w:rsidR="001077C3" w:rsidRPr="003053FF" w:rsidRDefault="001077C3" w:rsidP="001C2F34">
    <w:pPr>
      <w:pStyle w:val="Nagwek"/>
      <w:rPr>
        <w:b/>
        <w:color w:val="1F497D" w:themeColor="text2"/>
        <w:lang w:val="pl-PL"/>
      </w:rPr>
    </w:pPr>
    <w:r w:rsidRPr="003053FF">
      <w:rPr>
        <w:b/>
        <w:color w:val="1F497D" w:themeColor="text2"/>
        <w:lang w:val="pl-PL"/>
      </w:rPr>
      <w:t>ul. Kartuska 2</w:t>
    </w:r>
    <w:r w:rsidR="00066BDF">
      <w:rPr>
        <w:b/>
        <w:color w:val="1F497D" w:themeColor="text2"/>
        <w:lang w:val="pl-PL"/>
      </w:rPr>
      <w:t>3</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CF02B5"/>
    <w:multiLevelType w:val="hybridMultilevel"/>
    <w:tmpl w:val="A9AEF3C4"/>
    <w:lvl w:ilvl="0" w:tplc="C8E8E7D0">
      <w:start w:val="1"/>
      <w:numFmt w:val="decimal"/>
      <w:lvlText w:val="%1."/>
      <w:lvlJc w:val="left"/>
      <w:pPr>
        <w:ind w:left="1228" w:hanging="360"/>
      </w:pPr>
      <w:rPr>
        <w:rFonts w:hint="default"/>
        <w:b/>
        <w:bCs w:val="0"/>
        <w:i w:val="0"/>
        <w:color w:val="auto"/>
        <w:sz w:val="20"/>
        <w:szCs w:val="20"/>
      </w:rPr>
    </w:lvl>
    <w:lvl w:ilvl="1" w:tplc="FFFFFFFF" w:tentative="1">
      <w:start w:val="1"/>
      <w:numFmt w:val="bullet"/>
      <w:lvlText w:val="o"/>
      <w:lvlJc w:val="left"/>
      <w:pPr>
        <w:ind w:left="1948" w:hanging="360"/>
      </w:pPr>
      <w:rPr>
        <w:rFonts w:ascii="Courier New" w:hAnsi="Courier New" w:cs="Courier New" w:hint="default"/>
      </w:rPr>
    </w:lvl>
    <w:lvl w:ilvl="2" w:tplc="FFFFFFFF">
      <w:start w:val="1"/>
      <w:numFmt w:val="decimal"/>
      <w:lvlText w:val="%3)"/>
      <w:lvlJc w:val="left"/>
      <w:pPr>
        <w:ind w:left="2668" w:hanging="360"/>
      </w:p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8"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20"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3EC66454"/>
    <w:multiLevelType w:val="hybridMultilevel"/>
    <w:tmpl w:val="EB3E72A0"/>
    <w:lvl w:ilvl="0" w:tplc="92E83502">
      <w:start w:val="3"/>
      <w:numFmt w:val="decimal"/>
      <w:lvlText w:val="%1."/>
      <w:lvlJc w:val="left"/>
      <w:pPr>
        <w:ind w:left="1588" w:hanging="360"/>
      </w:pPr>
      <w:rPr>
        <w:rFonts w:hint="default"/>
        <w:b/>
        <w:bCs w:val="0"/>
        <w:i w:val="0"/>
        <w:color w:val="auto"/>
        <w:sz w:val="20"/>
        <w:szCs w:val="20"/>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0"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44B2310"/>
    <w:multiLevelType w:val="hybridMultilevel"/>
    <w:tmpl w:val="83722202"/>
    <w:lvl w:ilvl="0" w:tplc="84D443E0">
      <w:start w:val="1"/>
      <w:numFmt w:val="lowerLetter"/>
      <w:lvlText w:val="%1)"/>
      <w:lvlJc w:val="left"/>
      <w:pPr>
        <w:ind w:left="1228" w:hanging="360"/>
      </w:pPr>
      <w:rPr>
        <w:rFonts w:ascii="Arial" w:eastAsia="Arial" w:hAnsi="Arial" w:cs="Arial"/>
      </w:rPr>
    </w:lvl>
    <w:lvl w:ilvl="1" w:tplc="04150003" w:tentative="1">
      <w:start w:val="1"/>
      <w:numFmt w:val="bullet"/>
      <w:lvlText w:val="o"/>
      <w:lvlJc w:val="left"/>
      <w:pPr>
        <w:ind w:left="1948" w:hanging="360"/>
      </w:pPr>
      <w:rPr>
        <w:rFonts w:ascii="Courier New" w:hAnsi="Courier New" w:cs="Courier New" w:hint="default"/>
      </w:rPr>
    </w:lvl>
    <w:lvl w:ilvl="2" w:tplc="04150011">
      <w:start w:val="1"/>
      <w:numFmt w:val="decimal"/>
      <w:lvlText w:val="%3)"/>
      <w:lvlJc w:val="left"/>
      <w:pPr>
        <w:ind w:left="2668" w:hanging="360"/>
      </w:p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47"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8"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5"/>
  </w:num>
  <w:num w:numId="2" w16cid:durableId="46531940">
    <w:abstractNumId w:val="38"/>
  </w:num>
  <w:num w:numId="3" w16cid:durableId="148056986">
    <w:abstractNumId w:val="8"/>
  </w:num>
  <w:num w:numId="4" w16cid:durableId="91240115">
    <w:abstractNumId w:val="15"/>
  </w:num>
  <w:num w:numId="5" w16cid:durableId="1398741519">
    <w:abstractNumId w:val="28"/>
  </w:num>
  <w:num w:numId="6" w16cid:durableId="697244652">
    <w:abstractNumId w:val="24"/>
  </w:num>
  <w:num w:numId="7" w16cid:durableId="333069037">
    <w:abstractNumId w:val="16"/>
  </w:num>
  <w:num w:numId="8" w16cid:durableId="43413787">
    <w:abstractNumId w:val="9"/>
  </w:num>
  <w:num w:numId="9" w16cid:durableId="1188837762">
    <w:abstractNumId w:val="1"/>
  </w:num>
  <w:num w:numId="10" w16cid:durableId="855733866">
    <w:abstractNumId w:val="23"/>
  </w:num>
  <w:num w:numId="11" w16cid:durableId="975068370">
    <w:abstractNumId w:val="13"/>
  </w:num>
  <w:num w:numId="12" w16cid:durableId="1034042183">
    <w:abstractNumId w:val="48"/>
  </w:num>
  <w:num w:numId="13" w16cid:durableId="163714010">
    <w:abstractNumId w:val="39"/>
  </w:num>
  <w:num w:numId="14" w16cid:durableId="1149833122">
    <w:abstractNumId w:val="0"/>
  </w:num>
  <w:num w:numId="15" w16cid:durableId="1857377885">
    <w:abstractNumId w:val="34"/>
  </w:num>
  <w:num w:numId="16" w16cid:durableId="1800026947">
    <w:abstractNumId w:val="25"/>
  </w:num>
  <w:num w:numId="17" w16cid:durableId="1053846218">
    <w:abstractNumId w:val="27"/>
  </w:num>
  <w:num w:numId="18" w16cid:durableId="279841307">
    <w:abstractNumId w:val="43"/>
  </w:num>
  <w:num w:numId="19" w16cid:durableId="277613420">
    <w:abstractNumId w:val="32"/>
  </w:num>
  <w:num w:numId="20" w16cid:durableId="812404925">
    <w:abstractNumId w:val="44"/>
  </w:num>
  <w:num w:numId="21" w16cid:durableId="1441149527">
    <w:abstractNumId w:val="31"/>
  </w:num>
  <w:num w:numId="22" w16cid:durableId="1260336032">
    <w:abstractNumId w:val="47"/>
  </w:num>
  <w:num w:numId="23" w16cid:durableId="1177498800">
    <w:abstractNumId w:val="40"/>
  </w:num>
  <w:num w:numId="24" w16cid:durableId="880745927">
    <w:abstractNumId w:val="12"/>
  </w:num>
  <w:num w:numId="25" w16cid:durableId="1348676320">
    <w:abstractNumId w:val="10"/>
  </w:num>
  <w:num w:numId="26" w16cid:durableId="419061246">
    <w:abstractNumId w:val="11"/>
  </w:num>
  <w:num w:numId="27" w16cid:durableId="1771779841">
    <w:abstractNumId w:val="2"/>
  </w:num>
  <w:num w:numId="28" w16cid:durableId="1376202017">
    <w:abstractNumId w:val="18"/>
  </w:num>
  <w:num w:numId="29" w16cid:durableId="636298319">
    <w:abstractNumId w:val="33"/>
  </w:num>
  <w:num w:numId="30" w16cid:durableId="1561743341">
    <w:abstractNumId w:val="17"/>
  </w:num>
  <w:num w:numId="31" w16cid:durableId="2078940275">
    <w:abstractNumId w:val="3"/>
  </w:num>
  <w:num w:numId="32" w16cid:durableId="1604991022">
    <w:abstractNumId w:val="22"/>
  </w:num>
  <w:num w:numId="33" w16cid:durableId="843471477">
    <w:abstractNumId w:val="21"/>
  </w:num>
  <w:num w:numId="34" w16cid:durableId="438838734">
    <w:abstractNumId w:val="7"/>
  </w:num>
  <w:num w:numId="35" w16cid:durableId="1757365976">
    <w:abstractNumId w:val="45"/>
  </w:num>
  <w:num w:numId="36" w16cid:durableId="489174149">
    <w:abstractNumId w:val="6"/>
  </w:num>
  <w:num w:numId="37" w16cid:durableId="16390395">
    <w:abstractNumId w:val="42"/>
  </w:num>
  <w:num w:numId="38" w16cid:durableId="1591238683">
    <w:abstractNumId w:val="36"/>
  </w:num>
  <w:num w:numId="39" w16cid:durableId="1677464333">
    <w:abstractNumId w:val="41"/>
  </w:num>
  <w:num w:numId="40" w16cid:durableId="1366633402">
    <w:abstractNumId w:val="19"/>
  </w:num>
  <w:num w:numId="41" w16cid:durableId="304895636">
    <w:abstractNumId w:val="26"/>
  </w:num>
  <w:num w:numId="42" w16cid:durableId="5915953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9"/>
  </w:num>
  <w:num w:numId="44" w16cid:durableId="1730153937">
    <w:abstractNumId w:val="37"/>
  </w:num>
  <w:num w:numId="45" w16cid:durableId="540240407">
    <w:abstractNumId w:val="35"/>
  </w:num>
  <w:num w:numId="46" w16cid:durableId="613634110">
    <w:abstractNumId w:val="14"/>
  </w:num>
  <w:num w:numId="47" w16cid:durableId="1209298321">
    <w:abstractNumId w:val="20"/>
  </w:num>
  <w:num w:numId="48" w16cid:durableId="1935552065">
    <w:abstractNumId w:val="46"/>
  </w:num>
  <w:num w:numId="49" w16cid:durableId="928584669">
    <w:abstractNumId w:val="29"/>
  </w:num>
  <w:num w:numId="50" w16cid:durableId="27749367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3120C"/>
    <w:rsid w:val="00042092"/>
    <w:rsid w:val="000473CE"/>
    <w:rsid w:val="00056246"/>
    <w:rsid w:val="00064F9A"/>
    <w:rsid w:val="00066BDF"/>
    <w:rsid w:val="00067636"/>
    <w:rsid w:val="000C1A35"/>
    <w:rsid w:val="000C41EF"/>
    <w:rsid w:val="000D15F2"/>
    <w:rsid w:val="000E7C1E"/>
    <w:rsid w:val="001077C3"/>
    <w:rsid w:val="00144DC9"/>
    <w:rsid w:val="001541A8"/>
    <w:rsid w:val="00171B74"/>
    <w:rsid w:val="00175A2D"/>
    <w:rsid w:val="0019780D"/>
    <w:rsid w:val="001A33D0"/>
    <w:rsid w:val="001A6FCF"/>
    <w:rsid w:val="001C2F34"/>
    <w:rsid w:val="00204EFF"/>
    <w:rsid w:val="002430F4"/>
    <w:rsid w:val="002540CC"/>
    <w:rsid w:val="0028160A"/>
    <w:rsid w:val="00290E6F"/>
    <w:rsid w:val="002E366B"/>
    <w:rsid w:val="002E59CE"/>
    <w:rsid w:val="00304C62"/>
    <w:rsid w:val="00312267"/>
    <w:rsid w:val="003776DA"/>
    <w:rsid w:val="003904E4"/>
    <w:rsid w:val="003B1266"/>
    <w:rsid w:val="003C4B37"/>
    <w:rsid w:val="003E2288"/>
    <w:rsid w:val="003E483F"/>
    <w:rsid w:val="003E6A51"/>
    <w:rsid w:val="003F2D0D"/>
    <w:rsid w:val="003F65F2"/>
    <w:rsid w:val="004325F9"/>
    <w:rsid w:val="004411F8"/>
    <w:rsid w:val="00444A50"/>
    <w:rsid w:val="00494ECA"/>
    <w:rsid w:val="00496ED9"/>
    <w:rsid w:val="004B2402"/>
    <w:rsid w:val="004C6C37"/>
    <w:rsid w:val="004D446C"/>
    <w:rsid w:val="004F357A"/>
    <w:rsid w:val="00502FFA"/>
    <w:rsid w:val="0050570B"/>
    <w:rsid w:val="00507C03"/>
    <w:rsid w:val="005143ED"/>
    <w:rsid w:val="0053203C"/>
    <w:rsid w:val="00554497"/>
    <w:rsid w:val="00560FD2"/>
    <w:rsid w:val="00566800"/>
    <w:rsid w:val="005754F6"/>
    <w:rsid w:val="0059681A"/>
    <w:rsid w:val="005F7F94"/>
    <w:rsid w:val="00607E5C"/>
    <w:rsid w:val="00611481"/>
    <w:rsid w:val="00613BA6"/>
    <w:rsid w:val="00613ED4"/>
    <w:rsid w:val="00616D52"/>
    <w:rsid w:val="006318EB"/>
    <w:rsid w:val="00640845"/>
    <w:rsid w:val="0065074E"/>
    <w:rsid w:val="00681959"/>
    <w:rsid w:val="006D2E9E"/>
    <w:rsid w:val="006E071D"/>
    <w:rsid w:val="006E4DC2"/>
    <w:rsid w:val="006F378A"/>
    <w:rsid w:val="00707878"/>
    <w:rsid w:val="0072355E"/>
    <w:rsid w:val="00724EDD"/>
    <w:rsid w:val="00740062"/>
    <w:rsid w:val="007417A0"/>
    <w:rsid w:val="00752AE7"/>
    <w:rsid w:val="007642D6"/>
    <w:rsid w:val="00793084"/>
    <w:rsid w:val="007A6F7F"/>
    <w:rsid w:val="007B5F65"/>
    <w:rsid w:val="008026BB"/>
    <w:rsid w:val="0080462E"/>
    <w:rsid w:val="008058B8"/>
    <w:rsid w:val="00815E56"/>
    <w:rsid w:val="00820996"/>
    <w:rsid w:val="008412A1"/>
    <w:rsid w:val="00842C0D"/>
    <w:rsid w:val="008560DF"/>
    <w:rsid w:val="00860491"/>
    <w:rsid w:val="00863BFC"/>
    <w:rsid w:val="00864444"/>
    <w:rsid w:val="00874DF3"/>
    <w:rsid w:val="00874ED1"/>
    <w:rsid w:val="00881D58"/>
    <w:rsid w:val="0088661A"/>
    <w:rsid w:val="008A31DA"/>
    <w:rsid w:val="008B5907"/>
    <w:rsid w:val="008C3ABC"/>
    <w:rsid w:val="008C40A8"/>
    <w:rsid w:val="008C46D1"/>
    <w:rsid w:val="008C483D"/>
    <w:rsid w:val="008E7026"/>
    <w:rsid w:val="0091041F"/>
    <w:rsid w:val="00927C4A"/>
    <w:rsid w:val="00943ADF"/>
    <w:rsid w:val="00944389"/>
    <w:rsid w:val="0095173D"/>
    <w:rsid w:val="00952427"/>
    <w:rsid w:val="00984EB0"/>
    <w:rsid w:val="009B4F6B"/>
    <w:rsid w:val="009B5520"/>
    <w:rsid w:val="009C6D8C"/>
    <w:rsid w:val="00A0549C"/>
    <w:rsid w:val="00A070D2"/>
    <w:rsid w:val="00A12170"/>
    <w:rsid w:val="00A259E0"/>
    <w:rsid w:val="00A27DD6"/>
    <w:rsid w:val="00A40E49"/>
    <w:rsid w:val="00A462B6"/>
    <w:rsid w:val="00A66F52"/>
    <w:rsid w:val="00A71394"/>
    <w:rsid w:val="00A9091F"/>
    <w:rsid w:val="00AC2489"/>
    <w:rsid w:val="00AC6B4B"/>
    <w:rsid w:val="00AF0B8C"/>
    <w:rsid w:val="00B12E25"/>
    <w:rsid w:val="00B16C27"/>
    <w:rsid w:val="00B31D12"/>
    <w:rsid w:val="00B32CB1"/>
    <w:rsid w:val="00B3594A"/>
    <w:rsid w:val="00B565F6"/>
    <w:rsid w:val="00B70312"/>
    <w:rsid w:val="00B739F9"/>
    <w:rsid w:val="00B73E40"/>
    <w:rsid w:val="00B932C0"/>
    <w:rsid w:val="00BB0F69"/>
    <w:rsid w:val="00BE2758"/>
    <w:rsid w:val="00BE409D"/>
    <w:rsid w:val="00BF2EA9"/>
    <w:rsid w:val="00C2424B"/>
    <w:rsid w:val="00C37E4E"/>
    <w:rsid w:val="00C437C0"/>
    <w:rsid w:val="00C57AF4"/>
    <w:rsid w:val="00C6589D"/>
    <w:rsid w:val="00C730A2"/>
    <w:rsid w:val="00C768C5"/>
    <w:rsid w:val="00C9090A"/>
    <w:rsid w:val="00CA1A72"/>
    <w:rsid w:val="00CE3743"/>
    <w:rsid w:val="00CE5B25"/>
    <w:rsid w:val="00CF2C15"/>
    <w:rsid w:val="00CF2E36"/>
    <w:rsid w:val="00D063E2"/>
    <w:rsid w:val="00D30974"/>
    <w:rsid w:val="00D31076"/>
    <w:rsid w:val="00D504F0"/>
    <w:rsid w:val="00D72D3B"/>
    <w:rsid w:val="00D922B2"/>
    <w:rsid w:val="00D937CF"/>
    <w:rsid w:val="00DA6C0A"/>
    <w:rsid w:val="00DB126F"/>
    <w:rsid w:val="00DB652A"/>
    <w:rsid w:val="00DB778B"/>
    <w:rsid w:val="00DD1F50"/>
    <w:rsid w:val="00DD6F63"/>
    <w:rsid w:val="00DF5ADE"/>
    <w:rsid w:val="00E01FDE"/>
    <w:rsid w:val="00E54149"/>
    <w:rsid w:val="00E57DB1"/>
    <w:rsid w:val="00E84A2A"/>
    <w:rsid w:val="00EB2618"/>
    <w:rsid w:val="00ED1B27"/>
    <w:rsid w:val="00ED5FCF"/>
    <w:rsid w:val="00ED7E3D"/>
    <w:rsid w:val="00EE23F1"/>
    <w:rsid w:val="00EF5488"/>
    <w:rsid w:val="00F010C7"/>
    <w:rsid w:val="00F10E7D"/>
    <w:rsid w:val="00F25598"/>
    <w:rsid w:val="00F34900"/>
    <w:rsid w:val="00F36981"/>
    <w:rsid w:val="00F4311A"/>
    <w:rsid w:val="00F754B0"/>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23</Pages>
  <Words>8289</Words>
  <Characters>49736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Monika Warkusz</cp:lastModifiedBy>
  <cp:revision>14</cp:revision>
  <dcterms:created xsi:type="dcterms:W3CDTF">2022-11-28T14:19:00Z</dcterms:created>
  <dcterms:modified xsi:type="dcterms:W3CDTF">2024-11-29T13:20:00Z</dcterms:modified>
</cp:coreProperties>
</file>