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792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F297C" w14:textId="77777777" w:rsidR="007927F0" w:rsidRDefault="007927F0">
      <w:r>
        <w:separator/>
      </w:r>
    </w:p>
  </w:endnote>
  <w:endnote w:type="continuationSeparator" w:id="0">
    <w:p w14:paraId="24D666BA" w14:textId="77777777" w:rsidR="007927F0" w:rsidRDefault="0079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5A636" w14:textId="77777777" w:rsidR="00BC68DC" w:rsidRDefault="00BC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5FC94" w14:textId="77777777" w:rsidR="007927F0" w:rsidRDefault="007927F0">
      <w:r>
        <w:separator/>
      </w:r>
    </w:p>
  </w:footnote>
  <w:footnote w:type="continuationSeparator" w:id="0">
    <w:p w14:paraId="660D1085" w14:textId="77777777" w:rsidR="007927F0" w:rsidRDefault="0079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711FEB6D" w:rsidR="00575FE0" w:rsidRPr="00BC68DC" w:rsidRDefault="00BC68DC" w:rsidP="00BC68DC">
    <w:pPr>
      <w:pStyle w:val="Nagwek"/>
      <w:jc w:val="center"/>
    </w:pPr>
    <w:r w:rsidRPr="00BC68DC">
      <w:rPr>
        <w:rFonts w:ascii="Calibri" w:hAnsi="Calibri" w:cs="Calibri"/>
        <w:i/>
        <w:sz w:val="22"/>
        <w:szCs w:val="22"/>
      </w:rPr>
      <w:t>ZP.271.8.2024 – Rozbudowa skrzyżowania ul. Fabianowskiej i ul. Skrytej w Plewiskach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27F0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47B7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C68DC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2A18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2024-02-08T10:20:00Z</cp:lastPrinted>
  <dcterms:created xsi:type="dcterms:W3CDTF">2024-03-01T08:55:00Z</dcterms:created>
  <dcterms:modified xsi:type="dcterms:W3CDTF">2024-03-01T08:55:00Z</dcterms:modified>
</cp:coreProperties>
</file>