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E45C" w14:textId="77777777" w:rsidR="00A96705" w:rsidRDefault="00A96705" w:rsidP="001F40BD">
      <w:pPr>
        <w:jc w:val="right"/>
        <w:rPr>
          <w:szCs w:val="20"/>
        </w:rPr>
      </w:pPr>
    </w:p>
    <w:p w14:paraId="4FA37B4E" w14:textId="1E39B1F7" w:rsidR="001F40BD" w:rsidRPr="0072230F" w:rsidRDefault="00492D42" w:rsidP="001F40BD">
      <w:pPr>
        <w:jc w:val="right"/>
        <w:rPr>
          <w:szCs w:val="20"/>
        </w:rPr>
      </w:pPr>
      <w:r w:rsidRPr="001D1839">
        <w:rPr>
          <w:szCs w:val="20"/>
        </w:rPr>
        <w:t xml:space="preserve">Czersk, </w:t>
      </w:r>
      <w:r w:rsidR="00F65835" w:rsidRPr="001D1839">
        <w:rPr>
          <w:szCs w:val="20"/>
        </w:rPr>
        <w:t>2022-03-0</w:t>
      </w:r>
      <w:r w:rsidR="00683BFB">
        <w:rPr>
          <w:szCs w:val="20"/>
        </w:rPr>
        <w:t>3</w:t>
      </w:r>
    </w:p>
    <w:p w14:paraId="4DBE5007" w14:textId="77777777" w:rsidR="001F40BD" w:rsidRPr="0072230F" w:rsidRDefault="00454976" w:rsidP="001F40BD">
      <w:pPr>
        <w:tabs>
          <w:tab w:val="left" w:pos="1080"/>
          <w:tab w:val="left" w:pos="7020"/>
        </w:tabs>
        <w:ind w:left="1080" w:hanging="180"/>
        <w:jc w:val="both"/>
        <w:rPr>
          <w:szCs w:val="20"/>
        </w:rPr>
      </w:pPr>
      <w:r>
        <w:rPr>
          <w:szCs w:val="20"/>
        </w:rPr>
        <w:t xml:space="preserve">  WZ.271.</w:t>
      </w:r>
      <w:r w:rsidR="002C1256">
        <w:rPr>
          <w:szCs w:val="20"/>
        </w:rPr>
        <w:t>7</w:t>
      </w:r>
      <w:r>
        <w:rPr>
          <w:szCs w:val="20"/>
        </w:rPr>
        <w:t>.202</w:t>
      </w:r>
      <w:r w:rsidR="00343C77">
        <w:rPr>
          <w:szCs w:val="20"/>
        </w:rPr>
        <w:t>2</w:t>
      </w:r>
    </w:p>
    <w:p w14:paraId="1910FD94" w14:textId="77777777" w:rsidR="001F40BD" w:rsidRPr="0072230F" w:rsidRDefault="001F40BD" w:rsidP="001F40BD">
      <w:pPr>
        <w:rPr>
          <w:rFonts w:eastAsia="Times New Roman"/>
          <w:b/>
          <w:szCs w:val="20"/>
        </w:rPr>
      </w:pPr>
    </w:p>
    <w:p w14:paraId="3BDCD2DC" w14:textId="77777777" w:rsidR="001F40BD" w:rsidRPr="0072230F" w:rsidRDefault="001F40BD" w:rsidP="001F40BD">
      <w:pPr>
        <w:rPr>
          <w:rFonts w:eastAsia="Times New Roman"/>
          <w:b/>
          <w:szCs w:val="20"/>
        </w:rPr>
      </w:pPr>
    </w:p>
    <w:p w14:paraId="21920F53" w14:textId="77777777" w:rsidR="001F40BD" w:rsidRPr="0072230F" w:rsidRDefault="001F40BD" w:rsidP="001F40BD">
      <w:pPr>
        <w:tabs>
          <w:tab w:val="left" w:pos="5103"/>
        </w:tabs>
        <w:ind w:left="4536" w:firstLine="142"/>
        <w:jc w:val="right"/>
        <w:rPr>
          <w:rFonts w:eastAsia="Times New Roman"/>
          <w:b/>
          <w:sz w:val="24"/>
        </w:rPr>
      </w:pPr>
    </w:p>
    <w:p w14:paraId="7B62AEFA" w14:textId="77777777" w:rsidR="001F40BD" w:rsidRDefault="001F40BD" w:rsidP="00B6137A">
      <w:pPr>
        <w:tabs>
          <w:tab w:val="left" w:pos="5103"/>
        </w:tabs>
        <w:rPr>
          <w:rFonts w:eastAsia="Times New Roman"/>
          <w:b/>
          <w:sz w:val="24"/>
        </w:rPr>
      </w:pPr>
    </w:p>
    <w:p w14:paraId="13DFA622" w14:textId="77777777" w:rsidR="001F40BD" w:rsidRPr="0072230F" w:rsidRDefault="003230A2" w:rsidP="001F40BD">
      <w:pPr>
        <w:tabs>
          <w:tab w:val="left" w:pos="5103"/>
        </w:tabs>
        <w:ind w:left="4536" w:firstLine="142"/>
        <w:jc w:val="right"/>
        <w:rPr>
          <w:rFonts w:eastAsia="Times New Roman"/>
          <w:b/>
          <w:sz w:val="24"/>
        </w:rPr>
      </w:pPr>
      <w:r>
        <w:rPr>
          <w:rFonts w:eastAsia="Times New Roman"/>
          <w:b/>
          <w:sz w:val="24"/>
        </w:rPr>
        <w:t>Do Wykonawców</w:t>
      </w:r>
    </w:p>
    <w:p w14:paraId="05F51CD4" w14:textId="77777777" w:rsidR="001F40BD" w:rsidRDefault="001F40BD" w:rsidP="001F40BD">
      <w:pPr>
        <w:widowControl w:val="0"/>
        <w:autoSpaceDE w:val="0"/>
        <w:autoSpaceDN w:val="0"/>
        <w:adjustRightInd w:val="0"/>
        <w:spacing w:after="100" w:line="216" w:lineRule="atLeast"/>
        <w:ind w:left="113" w:right="113"/>
        <w:jc w:val="center"/>
        <w:rPr>
          <w:rFonts w:eastAsia="Times New Roman"/>
          <w:b/>
          <w:bCs/>
          <w:szCs w:val="16"/>
        </w:rPr>
      </w:pPr>
    </w:p>
    <w:p w14:paraId="275FA684" w14:textId="77777777" w:rsidR="004E3F34" w:rsidRPr="0072230F" w:rsidRDefault="004E3F34" w:rsidP="004E3F34">
      <w:pPr>
        <w:keepNext/>
        <w:spacing w:line="276" w:lineRule="auto"/>
        <w:jc w:val="both"/>
        <w:outlineLvl w:val="3"/>
        <w:rPr>
          <w:rFonts w:eastAsia="Times New Roman"/>
          <w:szCs w:val="20"/>
        </w:rPr>
      </w:pPr>
      <w:r w:rsidRPr="00527072">
        <w:rPr>
          <w:rFonts w:eastAsia="Times New Roman"/>
          <w:bCs/>
          <w:szCs w:val="16"/>
        </w:rPr>
        <w:t xml:space="preserve">dotyczy </w:t>
      </w:r>
      <w:r w:rsidRPr="00527072">
        <w:rPr>
          <w:rFonts w:eastAsia="Times New Roman"/>
          <w:szCs w:val="20"/>
        </w:rPr>
        <w:t>postępowani</w:t>
      </w:r>
      <w:r>
        <w:rPr>
          <w:rFonts w:eastAsia="Times New Roman"/>
          <w:szCs w:val="20"/>
        </w:rPr>
        <w:t>a</w:t>
      </w:r>
      <w:r w:rsidRPr="00527072">
        <w:rPr>
          <w:rFonts w:eastAsia="Times New Roman"/>
          <w:szCs w:val="20"/>
        </w:rPr>
        <w:t xml:space="preserve"> o udzielenie</w:t>
      </w:r>
      <w:r w:rsidRPr="0072230F">
        <w:rPr>
          <w:rFonts w:eastAsia="Times New Roman"/>
          <w:szCs w:val="20"/>
        </w:rPr>
        <w:t xml:space="preserve"> zamówienia publicznego pn.: </w:t>
      </w:r>
      <w:r w:rsidRPr="001D215B">
        <w:rPr>
          <w:rFonts w:eastAsia="Times New Roman"/>
          <w:b/>
          <w:sz w:val="21"/>
          <w:szCs w:val="21"/>
        </w:rPr>
        <w:t>„</w:t>
      </w:r>
      <w:bookmarkStart w:id="0" w:name="_Hlk94265946"/>
      <w:bookmarkStart w:id="1" w:name="_Hlk74120620"/>
      <w:r w:rsidR="002C1256" w:rsidRPr="00BE37B3">
        <w:rPr>
          <w:b/>
          <w:szCs w:val="20"/>
        </w:rPr>
        <w:t>Rewitalizacja części miasta Czersk - Budowa ogólnodostępnego wielofunkcyjnego boiska sportowego w Czersku</w:t>
      </w:r>
      <w:bookmarkEnd w:id="0"/>
      <w:r w:rsidRPr="00501551">
        <w:rPr>
          <w:b/>
          <w:szCs w:val="20"/>
        </w:rPr>
        <w:t>”</w:t>
      </w:r>
      <w:r w:rsidRPr="0072230F">
        <w:rPr>
          <w:rFonts w:eastAsia="Times New Roman"/>
          <w:b/>
          <w:szCs w:val="20"/>
        </w:rPr>
        <w:t>,</w:t>
      </w:r>
      <w:r w:rsidRPr="0072230F">
        <w:rPr>
          <w:rFonts w:eastAsia="Times New Roman"/>
          <w:szCs w:val="20"/>
        </w:rPr>
        <w:t xml:space="preserve"> (ogłoszenie </w:t>
      </w:r>
      <w:r w:rsidR="00601262">
        <w:rPr>
          <w:rFonts w:eastAsia="Times New Roman"/>
          <w:szCs w:val="20"/>
        </w:rPr>
        <w:br/>
      </w:r>
      <w:r>
        <w:rPr>
          <w:rFonts w:eastAsia="Times New Roman"/>
          <w:szCs w:val="20"/>
        </w:rPr>
        <w:t xml:space="preserve">nr </w:t>
      </w:r>
      <w:r w:rsidR="002C1256">
        <w:t xml:space="preserve">2022/BZP 00050959/01 </w:t>
      </w:r>
      <w:r>
        <w:rPr>
          <w:rFonts w:eastAsia="Times New Roman"/>
          <w:szCs w:val="20"/>
        </w:rPr>
        <w:t xml:space="preserve">z dnia </w:t>
      </w:r>
      <w:r w:rsidR="00343C77">
        <w:rPr>
          <w:rFonts w:eastAsia="Times New Roman"/>
          <w:szCs w:val="20"/>
        </w:rPr>
        <w:t>09</w:t>
      </w:r>
      <w:r>
        <w:rPr>
          <w:rFonts w:eastAsia="Times New Roman"/>
          <w:szCs w:val="20"/>
        </w:rPr>
        <w:t>.0</w:t>
      </w:r>
      <w:r w:rsidR="00343C77">
        <w:rPr>
          <w:rFonts w:eastAsia="Times New Roman"/>
          <w:szCs w:val="20"/>
        </w:rPr>
        <w:t>2</w:t>
      </w:r>
      <w:r>
        <w:rPr>
          <w:rFonts w:eastAsia="Times New Roman"/>
          <w:szCs w:val="20"/>
        </w:rPr>
        <w:t>.202</w:t>
      </w:r>
      <w:r w:rsidR="00343C77">
        <w:rPr>
          <w:rFonts w:eastAsia="Times New Roman"/>
          <w:szCs w:val="20"/>
        </w:rPr>
        <w:t>2</w:t>
      </w:r>
      <w:r w:rsidRPr="0072230F">
        <w:rPr>
          <w:rFonts w:eastAsia="Times New Roman"/>
          <w:szCs w:val="20"/>
        </w:rPr>
        <w:t>r</w:t>
      </w:r>
      <w:r>
        <w:rPr>
          <w:rFonts w:eastAsia="Times New Roman"/>
          <w:szCs w:val="20"/>
        </w:rPr>
        <w:t>.).</w:t>
      </w:r>
    </w:p>
    <w:bookmarkEnd w:id="1"/>
    <w:p w14:paraId="1B83E3F5" w14:textId="77777777" w:rsidR="00D65772" w:rsidRPr="009E7B8F" w:rsidRDefault="00D65772" w:rsidP="00B6137A">
      <w:pPr>
        <w:tabs>
          <w:tab w:val="left" w:pos="360"/>
        </w:tabs>
        <w:contextualSpacing/>
        <w:jc w:val="both"/>
        <w:rPr>
          <w:szCs w:val="20"/>
        </w:rPr>
      </w:pPr>
    </w:p>
    <w:p w14:paraId="2DCCE4DA" w14:textId="77777777" w:rsidR="00454976" w:rsidRPr="00976DDA" w:rsidRDefault="00454976" w:rsidP="00454976">
      <w:pPr>
        <w:tabs>
          <w:tab w:val="left" w:pos="540"/>
        </w:tabs>
        <w:spacing w:after="200" w:line="360" w:lineRule="auto"/>
        <w:jc w:val="center"/>
        <w:rPr>
          <w:rFonts w:eastAsia="Calibri"/>
          <w:b/>
          <w:szCs w:val="20"/>
          <w:u w:val="single"/>
          <w:lang w:eastAsia="en-US"/>
        </w:rPr>
      </w:pPr>
      <w:r w:rsidRPr="00976DDA">
        <w:rPr>
          <w:rFonts w:eastAsia="Calibri"/>
          <w:b/>
          <w:szCs w:val="20"/>
          <w:u w:val="single"/>
          <w:lang w:eastAsia="en-US"/>
        </w:rPr>
        <w:t xml:space="preserve">WYJAŚNIENIE TREŚCI </w:t>
      </w:r>
      <w:r w:rsidR="00F70BEB">
        <w:rPr>
          <w:rFonts w:eastAsia="Calibri"/>
          <w:b/>
          <w:szCs w:val="20"/>
          <w:u w:val="single"/>
          <w:lang w:eastAsia="en-US"/>
        </w:rPr>
        <w:t>S</w:t>
      </w:r>
      <w:r>
        <w:rPr>
          <w:rFonts w:eastAsia="Calibri"/>
          <w:b/>
          <w:szCs w:val="20"/>
          <w:u w:val="single"/>
          <w:lang w:eastAsia="en-US"/>
        </w:rPr>
        <w:t>WZ</w:t>
      </w:r>
    </w:p>
    <w:p w14:paraId="2874578A" w14:textId="77777777" w:rsidR="00454976" w:rsidRDefault="00454976" w:rsidP="007951AA">
      <w:pPr>
        <w:keepNext/>
        <w:spacing w:before="120" w:after="120" w:line="276" w:lineRule="auto"/>
        <w:jc w:val="both"/>
        <w:outlineLvl w:val="3"/>
        <w:rPr>
          <w:color w:val="000000"/>
          <w:szCs w:val="20"/>
        </w:rPr>
      </w:pPr>
      <w:r w:rsidRPr="00976DDA">
        <w:rPr>
          <w:szCs w:val="20"/>
          <w:lang w:eastAsia="en-US"/>
        </w:rPr>
        <w:tab/>
        <w:t xml:space="preserve">Na podstawie art. </w:t>
      </w:r>
      <w:r>
        <w:rPr>
          <w:szCs w:val="20"/>
          <w:lang w:eastAsia="en-US"/>
        </w:rPr>
        <w:t>284</w:t>
      </w:r>
      <w:r w:rsidRPr="00976DDA">
        <w:rPr>
          <w:szCs w:val="20"/>
          <w:lang w:eastAsia="en-US"/>
        </w:rPr>
        <w:t xml:space="preserve"> ust. 2 ustawy z </w:t>
      </w:r>
      <w:r>
        <w:rPr>
          <w:szCs w:val="20"/>
          <w:lang w:eastAsia="en-US"/>
        </w:rPr>
        <w:t>11 września</w:t>
      </w:r>
      <w:r w:rsidRPr="00976DDA">
        <w:rPr>
          <w:szCs w:val="20"/>
          <w:lang w:eastAsia="en-US"/>
        </w:rPr>
        <w:t xml:space="preserve"> 20</w:t>
      </w:r>
      <w:r>
        <w:rPr>
          <w:szCs w:val="20"/>
          <w:lang w:eastAsia="en-US"/>
        </w:rPr>
        <w:t>19</w:t>
      </w:r>
      <w:r w:rsidRPr="00976DDA">
        <w:rPr>
          <w:szCs w:val="20"/>
          <w:lang w:eastAsia="en-US"/>
        </w:rPr>
        <w:t xml:space="preserve"> r. Prawo zamówień publicznych </w:t>
      </w:r>
      <w:r>
        <w:rPr>
          <w:szCs w:val="20"/>
          <w:lang w:eastAsia="en-US"/>
        </w:rPr>
        <w:t xml:space="preserve">                (</w:t>
      </w:r>
      <w:r w:rsidR="00492D42">
        <w:rPr>
          <w:szCs w:val="20"/>
          <w:lang w:eastAsia="en-US"/>
        </w:rPr>
        <w:t xml:space="preserve">t. j. - </w:t>
      </w:r>
      <w:r w:rsidRPr="00976DDA">
        <w:rPr>
          <w:szCs w:val="20"/>
          <w:lang w:eastAsia="en-US"/>
        </w:rPr>
        <w:t>Dz. U. z 20</w:t>
      </w:r>
      <w:r w:rsidR="00492D42">
        <w:rPr>
          <w:szCs w:val="20"/>
          <w:lang w:eastAsia="en-US"/>
        </w:rPr>
        <w:t>21</w:t>
      </w:r>
      <w:r w:rsidRPr="00976DDA">
        <w:rPr>
          <w:szCs w:val="20"/>
          <w:lang w:eastAsia="en-US"/>
        </w:rPr>
        <w:t xml:space="preserve"> r., poz. </w:t>
      </w:r>
      <w:r w:rsidR="00492D42">
        <w:rPr>
          <w:szCs w:val="20"/>
          <w:lang w:eastAsia="en-US"/>
        </w:rPr>
        <w:t>1129</w:t>
      </w:r>
      <w:r>
        <w:rPr>
          <w:szCs w:val="20"/>
          <w:lang w:eastAsia="en-US"/>
        </w:rPr>
        <w:t xml:space="preserve"> ze zm.</w:t>
      </w:r>
      <w:r w:rsidRPr="00976DDA">
        <w:rPr>
          <w:szCs w:val="20"/>
          <w:lang w:eastAsia="en-US"/>
        </w:rPr>
        <w:t>) Zamawiający udziela wyjaśnień do zadan</w:t>
      </w:r>
      <w:r w:rsidR="00D0690E">
        <w:rPr>
          <w:szCs w:val="20"/>
          <w:lang w:eastAsia="en-US"/>
        </w:rPr>
        <w:t>ych</w:t>
      </w:r>
      <w:r w:rsidRPr="00976DDA">
        <w:rPr>
          <w:szCs w:val="20"/>
          <w:lang w:eastAsia="en-US"/>
        </w:rPr>
        <w:t xml:space="preserve"> prze</w:t>
      </w:r>
      <w:r>
        <w:rPr>
          <w:szCs w:val="20"/>
          <w:lang w:eastAsia="en-US"/>
        </w:rPr>
        <w:t>z Wykonawc</w:t>
      </w:r>
      <w:r w:rsidR="00D0690E">
        <w:rPr>
          <w:szCs w:val="20"/>
          <w:lang w:eastAsia="en-US"/>
        </w:rPr>
        <w:t>ów pytań</w:t>
      </w:r>
      <w:r w:rsidRPr="00976DDA">
        <w:rPr>
          <w:szCs w:val="20"/>
          <w:lang w:eastAsia="en-US"/>
        </w:rPr>
        <w:t>:</w:t>
      </w:r>
    </w:p>
    <w:p w14:paraId="124F0288" w14:textId="1EE74565" w:rsidR="009136F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Jaką kwotę zamierza przeznaczyć na przedmiotowe zadanie?</w:t>
      </w:r>
      <w:r w:rsidR="00C22A69">
        <w:rPr>
          <w:rFonts w:ascii="Arial" w:eastAsiaTheme="minorHAnsi" w:hAnsi="Arial" w:cs="Arial"/>
          <w:sz w:val="20"/>
          <w:szCs w:val="20"/>
        </w:rPr>
        <w:t xml:space="preserve"> </w:t>
      </w:r>
      <w:r w:rsidRPr="00D0690E">
        <w:rPr>
          <w:rFonts w:ascii="Arial" w:eastAsiaTheme="minorHAnsi" w:hAnsi="Arial" w:cs="Arial"/>
          <w:sz w:val="20"/>
          <w:szCs w:val="20"/>
        </w:rPr>
        <w:t>Informacja ta jest niezbędna dla ograniczenia zaangażowania wykonawcy, którego oferta przekroczy budżet Zamawiającego.</w:t>
      </w:r>
    </w:p>
    <w:p w14:paraId="7C20D420" w14:textId="6816618B" w:rsidR="009136FE" w:rsidRPr="001D1839" w:rsidRDefault="001D1839" w:rsidP="008A24E8">
      <w:pPr>
        <w:pStyle w:val="Akapitzlist"/>
        <w:spacing w:after="0"/>
        <w:ind w:left="284"/>
        <w:jc w:val="both"/>
        <w:rPr>
          <w:rFonts w:ascii="Arial" w:eastAsiaTheme="minorHAnsi" w:hAnsi="Arial" w:cs="Arial"/>
          <w:sz w:val="20"/>
          <w:szCs w:val="20"/>
        </w:rPr>
      </w:pPr>
      <w:bookmarkStart w:id="2" w:name="_Hlk97184081"/>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bookmarkEnd w:id="2"/>
      <w:r w:rsidR="009136FE" w:rsidRPr="001D1839">
        <w:rPr>
          <w:rFonts w:ascii="Arial" w:eastAsiaTheme="minorHAnsi" w:hAnsi="Arial" w:cs="Arial"/>
          <w:sz w:val="20"/>
          <w:szCs w:val="20"/>
        </w:rPr>
        <w:t xml:space="preserve">Zamawiający w </w:t>
      </w:r>
      <w:r w:rsidR="009136FE" w:rsidRPr="001D1839">
        <w:rPr>
          <w:rStyle w:val="Pogrubienie"/>
          <w:rFonts w:ascii="Arial" w:hAnsi="Arial" w:cs="Arial"/>
          <w:b w:val="0"/>
          <w:sz w:val="20"/>
          <w:szCs w:val="20"/>
          <w:shd w:val="clear" w:color="auto" w:fill="FFFFFF"/>
        </w:rPr>
        <w:t>planie postępowań o udzielenie zamówień publicznych na rok 2022, przyjętym Zarządzeniem nr</w:t>
      </w:r>
      <w:r w:rsidR="009136FE" w:rsidRPr="001D1839">
        <w:rPr>
          <w:rStyle w:val="Pogrubienie"/>
          <w:rFonts w:ascii="Arial" w:hAnsi="Arial" w:cs="Arial"/>
          <w:sz w:val="20"/>
          <w:szCs w:val="20"/>
          <w:shd w:val="clear" w:color="auto" w:fill="FFFFFF"/>
        </w:rPr>
        <w:t xml:space="preserve"> </w:t>
      </w:r>
      <w:r w:rsidR="009136FE" w:rsidRPr="001D1839">
        <w:rPr>
          <w:rFonts w:ascii="Arial" w:eastAsia="Times New Roman" w:hAnsi="Arial" w:cs="Arial"/>
          <w:sz w:val="20"/>
          <w:szCs w:val="20"/>
        </w:rPr>
        <w:t xml:space="preserve">835/22 </w:t>
      </w:r>
      <w:r w:rsidR="00AA4E8F" w:rsidRPr="001D1839">
        <w:rPr>
          <w:rFonts w:ascii="Arial" w:eastAsia="Times New Roman" w:hAnsi="Arial" w:cs="Arial"/>
          <w:bCs/>
          <w:sz w:val="20"/>
          <w:szCs w:val="20"/>
        </w:rPr>
        <w:t xml:space="preserve">Burmistrza Czerska </w:t>
      </w:r>
      <w:r w:rsidR="009136FE" w:rsidRPr="001D1839">
        <w:rPr>
          <w:rFonts w:ascii="Arial" w:eastAsia="Times New Roman" w:hAnsi="Arial" w:cs="Arial"/>
          <w:sz w:val="20"/>
          <w:szCs w:val="20"/>
        </w:rPr>
        <w:t>z dnia 18 stycznia 2022 r.</w:t>
      </w:r>
      <w:r w:rsidR="006B0A20" w:rsidRPr="001D1839">
        <w:rPr>
          <w:rFonts w:ascii="Arial" w:eastAsia="Times New Roman" w:hAnsi="Arial" w:cs="Arial"/>
          <w:sz w:val="20"/>
          <w:szCs w:val="20"/>
        </w:rPr>
        <w:t>,</w:t>
      </w:r>
      <w:r w:rsidR="009136FE" w:rsidRPr="001D1839">
        <w:rPr>
          <w:rFonts w:ascii="Arial" w:eastAsia="Times New Roman" w:hAnsi="Arial" w:cs="Arial"/>
          <w:sz w:val="20"/>
          <w:szCs w:val="20"/>
        </w:rPr>
        <w:t xml:space="preserve"> określił orientacyjną wartość zamówienia. Natomiast kwota, jaką </w:t>
      </w:r>
      <w:r w:rsidR="00AA4E8F" w:rsidRPr="001D1839">
        <w:rPr>
          <w:rFonts w:ascii="Arial" w:eastAsia="Times New Roman" w:hAnsi="Arial" w:cs="Arial"/>
          <w:sz w:val="20"/>
          <w:szCs w:val="20"/>
        </w:rPr>
        <w:t xml:space="preserve">Zamawiający </w:t>
      </w:r>
      <w:r w:rsidR="009136FE" w:rsidRPr="001D1839">
        <w:rPr>
          <w:rFonts w:ascii="Arial" w:eastAsia="Times New Roman" w:hAnsi="Arial" w:cs="Arial"/>
          <w:sz w:val="20"/>
          <w:szCs w:val="20"/>
        </w:rPr>
        <w:t xml:space="preserve">zamierza przeznaczyć na przedmiotowe zadanie, zostanie ujawniona z chwilą rozpoczęcia procedury otwarcia ofert. </w:t>
      </w:r>
    </w:p>
    <w:p w14:paraId="1276BCB9" w14:textId="77777777" w:rsidR="00D0690E" w:rsidRP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Umowa podaje w §11 (ODBIÓR ROBÓT) ust. 9. 2):</w:t>
      </w:r>
    </w:p>
    <w:p w14:paraId="7032CAAA" w14:textId="77777777" w:rsidR="00D0690E" w:rsidRPr="00D0690E" w:rsidRDefault="00D0690E" w:rsidP="008A24E8">
      <w:pPr>
        <w:autoSpaceDE w:val="0"/>
        <w:autoSpaceDN w:val="0"/>
        <w:adjustRightInd w:val="0"/>
        <w:spacing w:line="276" w:lineRule="auto"/>
        <w:jc w:val="both"/>
        <w:rPr>
          <w:rFonts w:ascii="Verdana" w:eastAsiaTheme="minorHAnsi" w:hAnsi="Verdana" w:cs="Calibri"/>
          <w:color w:val="0070C0"/>
          <w:sz w:val="16"/>
          <w:szCs w:val="16"/>
          <w:lang w:eastAsia="en-US"/>
        </w:rPr>
      </w:pPr>
      <w:r w:rsidRPr="00D0690E">
        <w:rPr>
          <w:rFonts w:ascii="Verdana" w:eastAsiaTheme="minorHAnsi" w:hAnsi="Verdana" w:cs="Calibri"/>
          <w:noProof/>
          <w:color w:val="0070C0"/>
          <w:sz w:val="16"/>
          <w:szCs w:val="16"/>
        </w:rPr>
        <w:drawing>
          <wp:inline distT="0" distB="0" distL="0" distR="0" wp14:anchorId="15D3C216" wp14:editId="77C980A8">
            <wp:extent cx="4352925" cy="355600"/>
            <wp:effectExtent l="0" t="0" r="9525"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355600"/>
                    </a:xfrm>
                    <a:prstGeom prst="rect">
                      <a:avLst/>
                    </a:prstGeom>
                    <a:noFill/>
                    <a:ln>
                      <a:noFill/>
                    </a:ln>
                  </pic:spPr>
                </pic:pic>
              </a:graphicData>
            </a:graphic>
          </wp:inline>
        </w:drawing>
      </w:r>
    </w:p>
    <w:p w14:paraId="6795C435" w14:textId="77777777" w:rsidR="00D0690E" w:rsidRPr="00D0690E" w:rsidRDefault="00D0690E" w:rsidP="008A24E8">
      <w:pPr>
        <w:autoSpaceDE w:val="0"/>
        <w:autoSpaceDN w:val="0"/>
        <w:adjustRightInd w:val="0"/>
        <w:spacing w:line="276" w:lineRule="auto"/>
        <w:jc w:val="both"/>
        <w:rPr>
          <w:rFonts w:ascii="Verdana" w:eastAsiaTheme="minorHAnsi" w:hAnsi="Verdana" w:cs="Calibri"/>
          <w:color w:val="0070C0"/>
          <w:sz w:val="16"/>
          <w:szCs w:val="16"/>
          <w:lang w:eastAsia="en-US"/>
        </w:rPr>
      </w:pPr>
      <w:r w:rsidRPr="00D0690E">
        <w:rPr>
          <w:rFonts w:ascii="Verdana" w:eastAsiaTheme="minorHAnsi" w:hAnsi="Verdana" w:cs="Calibri"/>
          <w:noProof/>
          <w:color w:val="0070C0"/>
          <w:sz w:val="16"/>
          <w:szCs w:val="16"/>
        </w:rPr>
        <w:drawing>
          <wp:inline distT="0" distB="0" distL="0" distR="0" wp14:anchorId="0859B5DB" wp14:editId="74A239BE">
            <wp:extent cx="4309110" cy="109220"/>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9110" cy="109220"/>
                    </a:xfrm>
                    <a:prstGeom prst="rect">
                      <a:avLst/>
                    </a:prstGeom>
                    <a:noFill/>
                    <a:ln>
                      <a:noFill/>
                    </a:ln>
                  </pic:spPr>
                </pic:pic>
              </a:graphicData>
            </a:graphic>
          </wp:inline>
        </w:drawing>
      </w:r>
    </w:p>
    <w:p w14:paraId="7795072F" w14:textId="77777777" w:rsidR="00D0690E" w:rsidRDefault="00D0690E" w:rsidP="008A24E8">
      <w:pPr>
        <w:pStyle w:val="Akapitzlist"/>
        <w:spacing w:after="0"/>
        <w:ind w:left="284"/>
        <w:jc w:val="both"/>
        <w:rPr>
          <w:rFonts w:ascii="Arial" w:eastAsiaTheme="minorHAnsi" w:hAnsi="Arial" w:cs="Arial"/>
          <w:sz w:val="20"/>
          <w:szCs w:val="20"/>
        </w:rPr>
      </w:pPr>
      <w:r w:rsidRPr="008F2CCE">
        <w:rPr>
          <w:rFonts w:ascii="Arial" w:eastAsiaTheme="minorHAnsi" w:hAnsi="Arial" w:cs="Arial"/>
          <w:sz w:val="20"/>
          <w:szCs w:val="20"/>
        </w:rPr>
        <w:t>W związku z tym, że STWIOR nie określa katalogu badan i sprawdzeń, proszę o przedstawienie katalogu prób i sprawdzeń dla poszczególnych elementów przedmiotu zamówienia.</w:t>
      </w:r>
      <w:bookmarkStart w:id="3" w:name="_Hlk95685814"/>
    </w:p>
    <w:p w14:paraId="2B417F6D" w14:textId="729B96AC" w:rsidR="00AA4E8F" w:rsidRPr="008F2CCE"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8F2CCE" w:rsidRPr="001D1839">
        <w:rPr>
          <w:rFonts w:ascii="Arial" w:eastAsiaTheme="minorHAnsi" w:hAnsi="Arial" w:cs="Arial"/>
          <w:sz w:val="20"/>
          <w:szCs w:val="20"/>
        </w:rPr>
        <w:t>Sposób kontroli jakości robót został opisany w załączonej do post</w:t>
      </w:r>
      <w:r>
        <w:rPr>
          <w:rFonts w:ascii="Arial" w:eastAsiaTheme="minorHAnsi" w:hAnsi="Arial" w:cs="Arial"/>
          <w:sz w:val="20"/>
          <w:szCs w:val="20"/>
        </w:rPr>
        <w:t>ę</w:t>
      </w:r>
      <w:r w:rsidR="008F2CCE" w:rsidRPr="001D1839">
        <w:rPr>
          <w:rFonts w:ascii="Arial" w:eastAsiaTheme="minorHAnsi" w:hAnsi="Arial" w:cs="Arial"/>
          <w:sz w:val="20"/>
          <w:szCs w:val="20"/>
        </w:rPr>
        <w:t>pow</w:t>
      </w:r>
      <w:r>
        <w:rPr>
          <w:rFonts w:ascii="Arial" w:eastAsiaTheme="minorHAnsi" w:hAnsi="Arial" w:cs="Arial"/>
          <w:sz w:val="20"/>
          <w:szCs w:val="20"/>
        </w:rPr>
        <w:t>a</w:t>
      </w:r>
      <w:r w:rsidR="008F2CCE" w:rsidRPr="001D1839">
        <w:rPr>
          <w:rFonts w:ascii="Arial" w:eastAsiaTheme="minorHAnsi" w:hAnsi="Arial" w:cs="Arial"/>
          <w:sz w:val="20"/>
          <w:szCs w:val="20"/>
        </w:rPr>
        <w:t xml:space="preserve">nia o udzielenie zamówienia publicznego </w:t>
      </w:r>
      <w:proofErr w:type="spellStart"/>
      <w:r w:rsidR="008F2CCE" w:rsidRPr="001D1839">
        <w:rPr>
          <w:rFonts w:ascii="Arial" w:eastAsiaTheme="minorHAnsi" w:hAnsi="Arial" w:cs="Arial"/>
          <w:sz w:val="20"/>
          <w:szCs w:val="20"/>
        </w:rPr>
        <w:t>STWiORB</w:t>
      </w:r>
      <w:proofErr w:type="spellEnd"/>
      <w:r w:rsidR="008F2CCE" w:rsidRPr="001D1839">
        <w:rPr>
          <w:rFonts w:ascii="Arial" w:eastAsiaTheme="minorHAnsi" w:hAnsi="Arial" w:cs="Arial"/>
          <w:sz w:val="20"/>
          <w:szCs w:val="20"/>
        </w:rPr>
        <w:t xml:space="preserve"> (pkt. 6 w poszczególnych specyfikacjach).</w:t>
      </w:r>
    </w:p>
    <w:p w14:paraId="0AC23B10" w14:textId="77777777" w:rsidR="00D0690E" w:rsidRP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Umowa podaje w §17 (ZMIANY W UMOWIE) ust. 1. 10):</w:t>
      </w:r>
    </w:p>
    <w:bookmarkEnd w:id="3"/>
    <w:p w14:paraId="58608CB5" w14:textId="77777777" w:rsidR="00D0690E" w:rsidRPr="00D0690E" w:rsidRDefault="00D0690E" w:rsidP="008A24E8">
      <w:pPr>
        <w:autoSpaceDE w:val="0"/>
        <w:autoSpaceDN w:val="0"/>
        <w:adjustRightInd w:val="0"/>
        <w:spacing w:line="276" w:lineRule="auto"/>
        <w:jc w:val="both"/>
        <w:rPr>
          <w:rFonts w:ascii="Verdana" w:eastAsiaTheme="minorHAnsi" w:hAnsi="Verdana" w:cs="Calibri"/>
          <w:color w:val="0070C0"/>
          <w:sz w:val="16"/>
          <w:szCs w:val="16"/>
          <w:lang w:eastAsia="en-US"/>
        </w:rPr>
      </w:pPr>
      <w:r w:rsidRPr="00D0690E">
        <w:rPr>
          <w:rFonts w:ascii="Verdana" w:eastAsiaTheme="minorHAnsi" w:hAnsi="Verdana" w:cs="Calibri"/>
          <w:noProof/>
          <w:color w:val="0070C0"/>
          <w:sz w:val="16"/>
          <w:szCs w:val="16"/>
        </w:rPr>
        <w:drawing>
          <wp:inline distT="0" distB="0" distL="0" distR="0" wp14:anchorId="0E8E2E27" wp14:editId="7F8D5905">
            <wp:extent cx="4803065" cy="547545"/>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285" cy="550762"/>
                    </a:xfrm>
                    <a:prstGeom prst="rect">
                      <a:avLst/>
                    </a:prstGeom>
                    <a:noFill/>
                    <a:ln>
                      <a:noFill/>
                    </a:ln>
                  </pic:spPr>
                </pic:pic>
              </a:graphicData>
            </a:graphic>
          </wp:inline>
        </w:drawing>
      </w:r>
    </w:p>
    <w:p w14:paraId="0B02E8EE"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 xml:space="preserve">Cytowany zapis jest niezrozumiałym ograniczeniem względem wymagań technologicznych dla przedmiotu zamówienia w szczególności nawierzchni sportowej. Zamawiający określa własną definicję niekorzystnych warunków atmosferycznych ignorując obiektywne dla stron wymagania technologiczne narzucone przez producentów. Chodzi o zapis </w:t>
      </w:r>
      <w:bookmarkStart w:id="4" w:name="_Hlk92910559"/>
      <w:r w:rsidRPr="00D0690E">
        <w:rPr>
          <w:rFonts w:ascii="Arial" w:eastAsiaTheme="minorHAnsi" w:hAnsi="Arial" w:cs="Arial"/>
          <w:sz w:val="20"/>
          <w:szCs w:val="20"/>
        </w:rPr>
        <w:t>„</w:t>
      </w:r>
      <w:bookmarkStart w:id="5" w:name="_Hlk96715523"/>
      <w:r w:rsidRPr="00D0690E">
        <w:rPr>
          <w:rFonts w:ascii="Arial" w:eastAsiaTheme="minorHAnsi" w:hAnsi="Arial" w:cs="Arial"/>
          <w:sz w:val="20"/>
          <w:szCs w:val="20"/>
        </w:rPr>
        <w:t>szczególności długotrwałe opady atmosferyczne</w:t>
      </w:r>
      <w:bookmarkEnd w:id="5"/>
      <w:r w:rsidRPr="00D0690E">
        <w:rPr>
          <w:rFonts w:ascii="Arial" w:eastAsiaTheme="minorHAnsi" w:hAnsi="Arial" w:cs="Arial"/>
          <w:sz w:val="20"/>
          <w:szCs w:val="20"/>
        </w:rPr>
        <w:t>”.</w:t>
      </w:r>
    </w:p>
    <w:bookmarkEnd w:id="4"/>
    <w:p w14:paraId="09AE9887"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 xml:space="preserve">Stwierdzamy, że zachodzi niebezpieczeństwo np. jeśli wystąpią warunki atmosferyczne np. opady atmosferyczne, nieodpowiednia wilgotność powietrza, nieodpowiednia temperatura powietrza, nieodpowiednia temperatura podłoża względem punktu rosy, mokre podłoże, silny wiatr, które wg technologii zamawianych robót uniemożliwiają ich wykonywanie a nie wpisują się w ograniczenia podane w projekcie umowy (ww. cytat) to wykonawca nie będzie miał możliwości zmiany terminu wykonania robót – taka sytuacja jest niedopuszczalna gdyż jest wyjątkowo krzywdząca dla wykonawcy. </w:t>
      </w:r>
    </w:p>
    <w:p w14:paraId="0A1E3103"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Zamawiający w sposób niefortunny ogranicza warunki atmosferyczne a powinien odnosić się do wymagań technologicznych dla elementów przedmiotu zamówienia jeśli wymaga aby został on wykonany w sposób zgodny z technologią. Zapis umowy jest niefortunny ponieważ wykonawca nie ma wpływu na warunki atmosferyczne.</w:t>
      </w:r>
    </w:p>
    <w:p w14:paraId="434AFBE2"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 xml:space="preserve">Należy obiektywnie stwierdzić, że warunki atmosferyczne są zmienne i niezależne do wykonawcy i wykonawca nie może ponosić odpowiedzialności za brak możliwości wykonywania robót zgodnie </w:t>
      </w:r>
      <w:r w:rsidRPr="00D0690E">
        <w:rPr>
          <w:rFonts w:ascii="Arial" w:eastAsiaTheme="minorHAnsi" w:hAnsi="Arial" w:cs="Arial"/>
          <w:sz w:val="20"/>
          <w:szCs w:val="20"/>
        </w:rPr>
        <w:lastRenderedPageBreak/>
        <w:t>z technologią, co powoduje wydłużenie terminu wykonania robót. Wystarczy, że będą występować warunki atmosferyczne uniemożliwiające prowadzenie robót zgodnie z technologią to Wykonawca nie będzie mógł wydłużyć terminu realizacji – taki zapis powoduje, że wykonawca ma odpowiadać za czynniki od niego obiektywnie niezależne.</w:t>
      </w:r>
    </w:p>
    <w:p w14:paraId="2EADE4FE"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Konieczne jest takie opisanie warunków obiektywnie niezależnych od wykonawcy aby nie powodowały dla niego niekorzystnej sytuacji. Powyższe jest niezbędne dla zapewnienia wykonawcy możliwości zmiany terminu wykonania robót w przypadku ww. okoliczności, sytuacji od niego obiektywnie niezależnych.</w:t>
      </w:r>
    </w:p>
    <w:p w14:paraId="6036C095" w14:textId="77777777" w:rsidR="00D0690E" w:rsidRP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 xml:space="preserve">W związku z powyższym wnosimy o zmianę ww. cytowanego zapisu </w:t>
      </w:r>
      <w:proofErr w:type="spellStart"/>
      <w:r w:rsidRPr="00D0690E">
        <w:rPr>
          <w:rFonts w:ascii="Arial" w:eastAsiaTheme="minorHAnsi" w:hAnsi="Arial" w:cs="Arial"/>
          <w:sz w:val="20"/>
          <w:szCs w:val="20"/>
        </w:rPr>
        <w:t>ppkt</w:t>
      </w:r>
      <w:proofErr w:type="spellEnd"/>
      <w:r w:rsidRPr="00D0690E">
        <w:rPr>
          <w:rFonts w:ascii="Arial" w:eastAsiaTheme="minorHAnsi" w:hAnsi="Arial" w:cs="Arial"/>
          <w:sz w:val="20"/>
          <w:szCs w:val="20"/>
        </w:rPr>
        <w:t xml:space="preserve"> 10) poprzez usunięcie treści:</w:t>
      </w:r>
    </w:p>
    <w:p w14:paraId="2F870BF1" w14:textId="77777777" w:rsidR="00D0690E" w:rsidRDefault="00D0690E" w:rsidP="008A24E8">
      <w:pPr>
        <w:pStyle w:val="Akapitzlist"/>
        <w:spacing w:after="0"/>
        <w:ind w:left="284"/>
        <w:jc w:val="both"/>
        <w:rPr>
          <w:rFonts w:ascii="Arial" w:eastAsiaTheme="minorHAnsi" w:hAnsi="Arial" w:cs="Arial"/>
          <w:sz w:val="20"/>
          <w:szCs w:val="20"/>
        </w:rPr>
      </w:pPr>
      <w:r w:rsidRPr="00D0690E">
        <w:rPr>
          <w:rFonts w:ascii="Arial" w:eastAsiaTheme="minorHAnsi" w:hAnsi="Arial" w:cs="Arial"/>
          <w:sz w:val="20"/>
          <w:szCs w:val="20"/>
        </w:rPr>
        <w:t>„szczególności długotrwałe opady atmosferyczne”.</w:t>
      </w:r>
    </w:p>
    <w:p w14:paraId="6AE1E108" w14:textId="55F03B52" w:rsidR="006B0A20" w:rsidRPr="001D1839" w:rsidRDefault="001D1839" w:rsidP="008A24E8">
      <w:pPr>
        <w:pStyle w:val="Akapitzlist"/>
        <w:spacing w:after="0"/>
        <w:ind w:left="284"/>
        <w:jc w:val="both"/>
        <w:rPr>
          <w:rFonts w:ascii="Arial"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6B0A20" w:rsidRPr="001D1839">
        <w:rPr>
          <w:rFonts w:ascii="Arial" w:hAnsi="Arial" w:cs="Arial"/>
          <w:sz w:val="20"/>
          <w:szCs w:val="20"/>
        </w:rPr>
        <w:t>Treść zapisu par. 17 ust. 1 pkt 10 umowy:</w:t>
      </w:r>
    </w:p>
    <w:p w14:paraId="7682F0DB" w14:textId="72625D15" w:rsidR="006B0A20" w:rsidRPr="001D1839" w:rsidRDefault="006B0A20" w:rsidP="008A24E8">
      <w:pPr>
        <w:pStyle w:val="Akapitzlist"/>
        <w:spacing w:after="0"/>
        <w:ind w:left="284"/>
        <w:jc w:val="both"/>
        <w:rPr>
          <w:rFonts w:ascii="Arial" w:eastAsiaTheme="minorHAnsi" w:hAnsi="Arial" w:cs="Arial"/>
          <w:i/>
          <w:sz w:val="20"/>
          <w:szCs w:val="20"/>
        </w:rPr>
      </w:pPr>
      <w:r w:rsidRPr="001D1839">
        <w:rPr>
          <w:rFonts w:ascii="Arial" w:hAnsi="Arial" w:cs="Arial"/>
          <w:i/>
          <w:sz w:val="20"/>
          <w:szCs w:val="20"/>
        </w:rPr>
        <w:t xml:space="preserve">"wystąpienia warunków atmosferycznych, terenowych lub wodnych utrudniających wykonanie umowy, które spowodowały niezawinione i niemożliwe do uniknięcia przez wykonawcę opóźnienie, </w:t>
      </w:r>
      <w:r w:rsidR="00D40FB7">
        <w:rPr>
          <w:rFonts w:ascii="Arial" w:hAnsi="Arial" w:cs="Arial"/>
          <w:i/>
          <w:sz w:val="20"/>
          <w:szCs w:val="20"/>
        </w:rPr>
        <w:br/>
      </w:r>
      <w:r w:rsidRPr="001D1839">
        <w:rPr>
          <w:rFonts w:ascii="Arial" w:hAnsi="Arial" w:cs="Arial"/>
          <w:i/>
          <w:sz w:val="20"/>
          <w:szCs w:val="20"/>
        </w:rPr>
        <w:t>w szczególności długotrwałe opady atmosferyczne, wysokie stany wód gruntowych, lokalne podtopienia, stany zagrożenia powodziowego,".</w:t>
      </w:r>
    </w:p>
    <w:p w14:paraId="185EF2A1" w14:textId="7762F6BB" w:rsidR="006B0A20" w:rsidRPr="001D1839" w:rsidRDefault="006B0A20" w:rsidP="008A24E8">
      <w:pPr>
        <w:pStyle w:val="Akapitzlist"/>
        <w:spacing w:after="0"/>
        <w:ind w:left="284"/>
        <w:jc w:val="both"/>
        <w:rPr>
          <w:rFonts w:ascii="Arial" w:hAnsi="Arial" w:cs="Arial"/>
          <w:sz w:val="20"/>
          <w:szCs w:val="20"/>
        </w:rPr>
      </w:pPr>
      <w:r w:rsidRPr="001D1839">
        <w:rPr>
          <w:rFonts w:ascii="Arial" w:hAnsi="Arial" w:cs="Arial"/>
          <w:sz w:val="20"/>
          <w:szCs w:val="20"/>
        </w:rPr>
        <w:t xml:space="preserve">Z treści powyższego zapisu umowy wynika, że </w:t>
      </w:r>
      <w:r w:rsidR="00C424AC" w:rsidRPr="001D1839">
        <w:rPr>
          <w:rFonts w:ascii="Arial" w:hAnsi="Arial" w:cs="Arial"/>
          <w:sz w:val="20"/>
          <w:szCs w:val="20"/>
        </w:rPr>
        <w:t>Zamawiają</w:t>
      </w:r>
      <w:r w:rsidRPr="001D1839">
        <w:rPr>
          <w:rFonts w:ascii="Arial" w:hAnsi="Arial" w:cs="Arial"/>
          <w:sz w:val="20"/>
          <w:szCs w:val="20"/>
        </w:rPr>
        <w:t xml:space="preserve">cy przewiduje możliwość zmiany terminu realizacji zamówienia z przyczyn nie leżących po stronie Wykonawcy, w przypadku wystąpienia negatywnych warunków atmosferycznych - różnych, które mogą uniemożliwiać lub utrudniać prawidłową realizację przedmiotu zamówienia, a w szczególności, czyli m.in. długotrwałe opady atmosferyczne. </w:t>
      </w:r>
    </w:p>
    <w:p w14:paraId="0D8EC1B7" w14:textId="77777777" w:rsidR="006B0A20" w:rsidRPr="001D1839" w:rsidRDefault="006B0A20" w:rsidP="008A24E8">
      <w:pPr>
        <w:pStyle w:val="Akapitzlist"/>
        <w:spacing w:after="0"/>
        <w:ind w:left="284"/>
        <w:jc w:val="both"/>
        <w:rPr>
          <w:rFonts w:ascii="Arial" w:eastAsiaTheme="minorHAnsi" w:hAnsi="Arial" w:cs="Arial"/>
          <w:sz w:val="20"/>
          <w:szCs w:val="20"/>
        </w:rPr>
      </w:pPr>
      <w:r w:rsidRPr="001D1839">
        <w:rPr>
          <w:rFonts w:ascii="Arial" w:hAnsi="Arial" w:cs="Arial"/>
          <w:sz w:val="20"/>
          <w:szCs w:val="20"/>
        </w:rPr>
        <w:t>Wobec powyższe</w:t>
      </w:r>
      <w:r w:rsidR="00C424AC" w:rsidRPr="001D1839">
        <w:rPr>
          <w:rFonts w:ascii="Arial" w:hAnsi="Arial" w:cs="Arial"/>
          <w:sz w:val="20"/>
          <w:szCs w:val="20"/>
        </w:rPr>
        <w:t>go</w:t>
      </w:r>
      <w:r w:rsidRPr="001D1839">
        <w:rPr>
          <w:rFonts w:ascii="Arial" w:hAnsi="Arial" w:cs="Arial"/>
          <w:sz w:val="20"/>
          <w:szCs w:val="20"/>
        </w:rPr>
        <w:t xml:space="preserve"> treść zapisu par. 17 ust. 1 pkt. 10 nie ulegnie zmianie. </w:t>
      </w:r>
    </w:p>
    <w:p w14:paraId="38AA37F0" w14:textId="77777777" w:rsid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 xml:space="preserve">W związku z nieuczciwymi praktykami stosowania do wierzchniej warstwy nawierzchni PU granulatów z recyklingu barwionych powierzchniowo, proszę o potwierdzenie, że Zamawiający wymaga wykonania wierzchniej warstwy nawierzchni sportowej </w:t>
      </w:r>
      <w:proofErr w:type="spellStart"/>
      <w:r w:rsidRPr="00D0690E">
        <w:rPr>
          <w:rFonts w:ascii="Arial" w:eastAsiaTheme="minorHAnsi" w:hAnsi="Arial" w:cs="Arial"/>
          <w:sz w:val="20"/>
          <w:szCs w:val="20"/>
        </w:rPr>
        <w:t>pu</w:t>
      </w:r>
      <w:proofErr w:type="spellEnd"/>
      <w:r w:rsidRPr="00D0690E">
        <w:rPr>
          <w:rFonts w:ascii="Arial" w:eastAsiaTheme="minorHAnsi" w:hAnsi="Arial" w:cs="Arial"/>
          <w:sz w:val="20"/>
          <w:szCs w:val="20"/>
        </w:rPr>
        <w:t xml:space="preserve"> zgodnie z technologią przy użyciu granulatu EPDM z pierwotnej produkcji i nie dopuszcza stosowania barwionych granulatów z recyklingu.</w:t>
      </w:r>
    </w:p>
    <w:p w14:paraId="7530BD56" w14:textId="2AA04917" w:rsidR="00AA4E8F" w:rsidRPr="001D1839" w:rsidRDefault="001D1839" w:rsidP="008A24E8">
      <w:pPr>
        <w:pStyle w:val="Akapitzlist"/>
        <w:spacing w:after="0"/>
        <w:ind w:left="284"/>
        <w:jc w:val="both"/>
        <w:rPr>
          <w:rFonts w:ascii="Arial" w:eastAsiaTheme="minorHAnsi"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AA4E8F" w:rsidRPr="001D1839">
        <w:rPr>
          <w:rFonts w:ascii="Arial" w:eastAsiaTheme="minorHAnsi" w:hAnsi="Arial" w:cs="Arial"/>
          <w:sz w:val="20"/>
          <w:szCs w:val="20"/>
        </w:rPr>
        <w:t xml:space="preserve">Nawierzchnia boiska ma być wykonana z trawy syntetycznej, a nie z </w:t>
      </w:r>
      <w:r w:rsidR="00832A82" w:rsidRPr="001D1839">
        <w:rPr>
          <w:rFonts w:ascii="Arial" w:eastAsiaTheme="minorHAnsi" w:hAnsi="Arial" w:cs="Arial"/>
          <w:sz w:val="20"/>
          <w:szCs w:val="20"/>
        </w:rPr>
        <w:t>PU</w:t>
      </w:r>
      <w:r w:rsidR="00AA4E8F" w:rsidRPr="001D1839">
        <w:rPr>
          <w:rFonts w:ascii="Arial" w:eastAsiaTheme="minorHAnsi" w:hAnsi="Arial" w:cs="Arial"/>
          <w:sz w:val="20"/>
          <w:szCs w:val="20"/>
        </w:rPr>
        <w:t>.</w:t>
      </w:r>
    </w:p>
    <w:p w14:paraId="69DC938F" w14:textId="77777777" w:rsid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 xml:space="preserve">Czy w ramach strefy zamawianych robót występują jakiekolwiek sieci lub inne </w:t>
      </w:r>
      <w:proofErr w:type="spellStart"/>
      <w:r w:rsidRPr="00D0690E">
        <w:rPr>
          <w:rFonts w:ascii="Arial" w:eastAsiaTheme="minorHAnsi" w:hAnsi="Arial" w:cs="Arial"/>
          <w:sz w:val="20"/>
          <w:szCs w:val="20"/>
        </w:rPr>
        <w:t>kolizje?Jeśli</w:t>
      </w:r>
      <w:proofErr w:type="spellEnd"/>
      <w:r w:rsidRPr="00D0690E">
        <w:rPr>
          <w:rFonts w:ascii="Arial" w:eastAsiaTheme="minorHAnsi" w:hAnsi="Arial" w:cs="Arial"/>
          <w:sz w:val="20"/>
          <w:szCs w:val="20"/>
        </w:rPr>
        <w:t xml:space="preserve"> występują to wnosimy o udostępnienie stosownej inwentaryzacji z opisem i mapą</w:t>
      </w:r>
      <w:r w:rsidRPr="003F407B">
        <w:rPr>
          <w:rFonts w:ascii="Arial" w:eastAsiaTheme="minorHAnsi" w:hAnsi="Arial" w:cs="Arial"/>
          <w:sz w:val="20"/>
          <w:szCs w:val="20"/>
        </w:rPr>
        <w:t>.</w:t>
      </w:r>
    </w:p>
    <w:p w14:paraId="4E15D6F3" w14:textId="6220B339" w:rsidR="003F407B" w:rsidRPr="003F407B"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3F407B" w:rsidRPr="001D1839">
        <w:rPr>
          <w:rFonts w:ascii="Arial" w:eastAsiaTheme="minorHAnsi" w:hAnsi="Arial" w:cs="Arial"/>
          <w:sz w:val="20"/>
          <w:szCs w:val="20"/>
        </w:rPr>
        <w:t xml:space="preserve">Zamawiający wskazał w OPZ, że pod terenem boiska znajduje się instalacja </w:t>
      </w:r>
      <w:r w:rsidR="003F407B" w:rsidRPr="001D1839">
        <w:rPr>
          <w:rFonts w:ascii="Arial" w:hAnsi="Arial" w:cs="Arial"/>
          <w:sz w:val="20"/>
          <w:szCs w:val="20"/>
          <w:lang w:eastAsia="pl-PL"/>
        </w:rPr>
        <w:t>gruntowej pompy ciepła. Istniejąca infrastruktura podziemna jest naniesiona w dokumentacji projektowej, załączonej do niniejszego postępowania o udzielenie zamówienia publicznego.</w:t>
      </w:r>
      <w:r w:rsidR="003F407B">
        <w:rPr>
          <w:rFonts w:ascii="Arial" w:hAnsi="Arial" w:cs="Arial"/>
          <w:color w:val="FF0000"/>
          <w:sz w:val="20"/>
          <w:szCs w:val="20"/>
          <w:lang w:eastAsia="pl-PL"/>
        </w:rPr>
        <w:t xml:space="preserve">   </w:t>
      </w:r>
    </w:p>
    <w:p w14:paraId="36E407BD" w14:textId="77777777" w:rsid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6509A0DE" w14:textId="1B887092" w:rsidR="003F407B" w:rsidRPr="003F407B"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3F407B" w:rsidRPr="001D1839">
        <w:rPr>
          <w:rFonts w:ascii="Arial" w:eastAsiaTheme="minorHAnsi" w:hAnsi="Arial" w:cs="Arial"/>
          <w:sz w:val="20"/>
          <w:szCs w:val="20"/>
        </w:rPr>
        <w:t>Zamawiający posiada wszelkie wymagane prawem decyzje administracyjne i uzgodnienia, które są niezbędne do realizacji zadania.</w:t>
      </w:r>
    </w:p>
    <w:p w14:paraId="3D6D623B" w14:textId="77777777" w:rsid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Proszę o potwierdzenie, że Zamawiający dysponuje wszelkimi wymaganymi prawem decyzjami administracyjnymi oraz uzgodnieniami niezbędnymi w celu wykonania zamówienia, które zachowują ważność na okres zgodny z wymaganym terminem realizacji, a skutki ewentualnych braków w tym zakresie nie obciążają Wykonawcy.</w:t>
      </w:r>
    </w:p>
    <w:p w14:paraId="285E3565" w14:textId="01F73DED" w:rsidR="003F407B" w:rsidRPr="003F407B"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3F407B" w:rsidRPr="001D1839">
        <w:rPr>
          <w:rFonts w:ascii="Arial" w:eastAsiaTheme="minorHAnsi" w:hAnsi="Arial" w:cs="Arial"/>
          <w:sz w:val="20"/>
          <w:szCs w:val="20"/>
        </w:rPr>
        <w:t>j</w:t>
      </w:r>
      <w:r>
        <w:rPr>
          <w:rFonts w:ascii="Arial" w:eastAsiaTheme="minorHAnsi" w:hAnsi="Arial" w:cs="Arial"/>
          <w:sz w:val="20"/>
          <w:szCs w:val="20"/>
        </w:rPr>
        <w:t>ak wyżej.</w:t>
      </w:r>
    </w:p>
    <w:p w14:paraId="413333DD" w14:textId="77777777" w:rsidR="00D0690E" w:rsidRDefault="00D0690E" w:rsidP="008A24E8">
      <w:pPr>
        <w:pStyle w:val="Akapitzlist"/>
        <w:numPr>
          <w:ilvl w:val="0"/>
          <w:numId w:val="11"/>
        </w:numPr>
        <w:spacing w:after="0"/>
        <w:ind w:left="284" w:hanging="284"/>
        <w:jc w:val="both"/>
        <w:rPr>
          <w:rFonts w:ascii="Arial" w:eastAsiaTheme="minorHAnsi" w:hAnsi="Arial" w:cs="Arial"/>
          <w:sz w:val="20"/>
          <w:szCs w:val="20"/>
        </w:rPr>
      </w:pPr>
      <w:r w:rsidRPr="00D0690E">
        <w:rPr>
          <w:rFonts w:ascii="Arial" w:eastAsiaTheme="minorHAnsi" w:hAnsi="Arial" w:cs="Arial"/>
          <w:sz w:val="20"/>
          <w:szCs w:val="20"/>
        </w:rPr>
        <w:t>Proszę o potwierdzenie, że zakres robot jest zgodny z przedmiarem robót.</w:t>
      </w:r>
    </w:p>
    <w:p w14:paraId="64598CC2" w14:textId="373B58A2" w:rsidR="003F407B" w:rsidRPr="003F407B"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3F407B" w:rsidRPr="001D1839">
        <w:rPr>
          <w:rFonts w:ascii="Arial" w:eastAsiaTheme="minorHAnsi" w:hAnsi="Arial" w:cs="Arial"/>
          <w:sz w:val="20"/>
          <w:szCs w:val="20"/>
        </w:rPr>
        <w:t xml:space="preserve">Przedmiar ma charakter pomocniczy. Zadanie należy wykonać zgodnie z </w:t>
      </w:r>
      <w:r w:rsidR="006B0A20" w:rsidRPr="001D1839">
        <w:rPr>
          <w:rFonts w:ascii="Arial" w:eastAsiaTheme="minorHAnsi" w:hAnsi="Arial" w:cs="Arial"/>
          <w:sz w:val="20"/>
          <w:szCs w:val="20"/>
        </w:rPr>
        <w:t xml:space="preserve">dokumentacją projektową, </w:t>
      </w:r>
      <w:proofErr w:type="spellStart"/>
      <w:r w:rsidR="006B0A20" w:rsidRPr="001D1839">
        <w:rPr>
          <w:rFonts w:ascii="Arial" w:eastAsiaTheme="minorHAnsi" w:hAnsi="Arial" w:cs="Arial"/>
          <w:sz w:val="20"/>
          <w:szCs w:val="20"/>
        </w:rPr>
        <w:t>STWiORB</w:t>
      </w:r>
      <w:proofErr w:type="spellEnd"/>
      <w:r w:rsidR="003F407B" w:rsidRPr="001D1839">
        <w:rPr>
          <w:rFonts w:ascii="Arial" w:eastAsiaTheme="minorHAnsi" w:hAnsi="Arial" w:cs="Arial"/>
          <w:sz w:val="20"/>
          <w:szCs w:val="20"/>
        </w:rPr>
        <w:t xml:space="preserve"> oraz opisem przedmiotu zamówienia i wyjaśnieniami w postępowaniu </w:t>
      </w:r>
      <w:r>
        <w:rPr>
          <w:rFonts w:ascii="Arial" w:eastAsiaTheme="minorHAnsi" w:hAnsi="Arial" w:cs="Arial"/>
          <w:sz w:val="20"/>
          <w:szCs w:val="20"/>
        </w:rPr>
        <w:br/>
      </w:r>
      <w:r w:rsidR="003F407B" w:rsidRPr="001D1839">
        <w:rPr>
          <w:rFonts w:ascii="Arial" w:eastAsiaTheme="minorHAnsi" w:hAnsi="Arial" w:cs="Arial"/>
          <w:sz w:val="20"/>
          <w:szCs w:val="20"/>
        </w:rPr>
        <w:t>o udzielenie zamówienia publicznego.</w:t>
      </w:r>
    </w:p>
    <w:p w14:paraId="5A79E8C2" w14:textId="77777777"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Projekt podbudowy boiska zakłada zastosowanie rzadko stosowanej frakcji 5-40 mm. Czy Zamawiający dopuści zastosowanie kruszywa łamanego o frakcji 8-31,5 mm powszechnie stosowanej w budowie boisk sportowych ?</w:t>
      </w:r>
    </w:p>
    <w:p w14:paraId="11E3451A" w14:textId="7AC410F6" w:rsidR="00C424AC" w:rsidRPr="001D1839"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C424AC" w:rsidRPr="001D1839">
        <w:rPr>
          <w:rFonts w:ascii="Arial" w:hAnsi="Arial" w:cs="Arial"/>
          <w:sz w:val="20"/>
          <w:szCs w:val="20"/>
        </w:rPr>
        <w:t>Należy zastosować kruszywo frakcji 0,075-31,5 mm.</w:t>
      </w:r>
    </w:p>
    <w:p w14:paraId="56DEBC21" w14:textId="4299EBC2"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W dokumentacji projektowej przyjęto górną warstwę wyrównującą o grubości 5 cm wykonaną z   grysu kamiennego frakcji 0-6 mm wymieszanego z miałem kamiennym. Projektant nie podał krzywej </w:t>
      </w:r>
      <w:r w:rsidRPr="001D1839">
        <w:rPr>
          <w:rFonts w:ascii="Arial" w:eastAsiaTheme="minorHAnsi" w:hAnsi="Arial" w:cs="Arial"/>
          <w:sz w:val="20"/>
          <w:szCs w:val="20"/>
        </w:rPr>
        <w:lastRenderedPageBreak/>
        <w:t xml:space="preserve">przesiewu dla proponowanego rozwiązania. Proponujemy  wykonanie warstwy wyrównawczej </w:t>
      </w:r>
      <w:r w:rsidR="00D40FB7">
        <w:rPr>
          <w:rFonts w:ascii="Arial" w:eastAsiaTheme="minorHAnsi" w:hAnsi="Arial" w:cs="Arial"/>
          <w:sz w:val="20"/>
          <w:szCs w:val="20"/>
        </w:rPr>
        <w:br/>
      </w:r>
      <w:r w:rsidRPr="001D1839">
        <w:rPr>
          <w:rFonts w:ascii="Arial" w:eastAsiaTheme="minorHAnsi" w:hAnsi="Arial" w:cs="Arial"/>
          <w:sz w:val="20"/>
          <w:szCs w:val="20"/>
        </w:rPr>
        <w:t xml:space="preserve">o grubości 1 cm po zagęszczeniu do </w:t>
      </w:r>
      <w:proofErr w:type="spellStart"/>
      <w:r w:rsidRPr="001D1839">
        <w:rPr>
          <w:rFonts w:ascii="Arial" w:eastAsiaTheme="minorHAnsi" w:hAnsi="Arial" w:cs="Arial"/>
          <w:sz w:val="20"/>
          <w:szCs w:val="20"/>
        </w:rPr>
        <w:t>Is</w:t>
      </w:r>
      <w:proofErr w:type="spellEnd"/>
      <w:r w:rsidRPr="001D1839">
        <w:rPr>
          <w:rFonts w:ascii="Arial" w:eastAsiaTheme="minorHAnsi" w:hAnsi="Arial" w:cs="Arial"/>
          <w:sz w:val="20"/>
          <w:szCs w:val="20"/>
        </w:rPr>
        <w:t>≥ 0,95 wykonanej z miału kamiennego frakcji 0-8 mm. Rozwiązanie takie skutkować będzie doskonałym zespoleniem dolnej warstwy (kliniec 8-31,5) oraz nie będzie zagrożenia powstania kolein przez maszyny stosowane przy układaniu trawy syntetycznej.</w:t>
      </w:r>
    </w:p>
    <w:p w14:paraId="39E414FB" w14:textId="4ECBA148" w:rsidR="00C424AC" w:rsidRPr="001D1839"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C424AC" w:rsidRPr="001D1839">
        <w:rPr>
          <w:rFonts w:ascii="Arial" w:hAnsi="Arial" w:cs="Arial"/>
          <w:sz w:val="20"/>
          <w:szCs w:val="20"/>
        </w:rPr>
        <w:t xml:space="preserve">Należy zastosować miał kamienny frakcji 0,075 – 5 mm. Warstwa wyrównująco-klinująca grubości 10 mm , równość podbudowy mierzoną łatą 4m – max. 10 mm. Stopień zagęszczenia podbudowy </w:t>
      </w:r>
      <w:proofErr w:type="spellStart"/>
      <w:r w:rsidR="00C424AC" w:rsidRPr="001D1839">
        <w:rPr>
          <w:rFonts w:ascii="Arial" w:hAnsi="Arial" w:cs="Arial"/>
          <w:sz w:val="20"/>
          <w:szCs w:val="20"/>
        </w:rPr>
        <w:t>Is</w:t>
      </w:r>
      <w:proofErr w:type="spellEnd"/>
      <w:r w:rsidR="00C424AC" w:rsidRPr="001D1839">
        <w:rPr>
          <w:rFonts w:ascii="Arial" w:hAnsi="Arial" w:cs="Arial"/>
          <w:sz w:val="20"/>
          <w:szCs w:val="20"/>
        </w:rPr>
        <w:t xml:space="preserve"> ≥ 0,95.</w:t>
      </w:r>
    </w:p>
    <w:p w14:paraId="7E05B699" w14:textId="6FEC53A3"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W części opisowej projektu podano szerokość linii 8 cm. Linie na boiskach sportowych (z wyjątkiem boisk piłkarskich – 10 cm) mają szerokość 5 cm – wyjątek stanowią końcowe linie na korcie do tenisa (8 cm). Czy Zamawiający dopuści zastosowanie na boiskach (siatkówka, piłka ręczna, koszykówka, siatkówka )  linii o szerokości 5 cm oraz końcowej linii kortu o szerokości 8 cm ?</w:t>
      </w:r>
    </w:p>
    <w:p w14:paraId="3C3B0E7B" w14:textId="74F720FE" w:rsidR="00C424AC" w:rsidRPr="001D1839"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C424AC" w:rsidRPr="001D1839">
        <w:rPr>
          <w:rFonts w:ascii="Arial" w:hAnsi="Arial" w:cs="Arial"/>
          <w:sz w:val="20"/>
          <w:szCs w:val="20"/>
        </w:rPr>
        <w:t>Należy wykonać wszystkie linie o szerokości 5 cm, oprócz końcowej linii kortu, która ma mieć 8 cm szerokości.</w:t>
      </w:r>
      <w:r w:rsidR="00C424AC" w:rsidRPr="001D1839">
        <w:rPr>
          <w:rFonts w:ascii="Arial" w:hAnsi="Arial" w:cs="Arial"/>
          <w:color w:val="FF0000"/>
          <w:sz w:val="20"/>
          <w:szCs w:val="20"/>
        </w:rPr>
        <w:t xml:space="preserve"> </w:t>
      </w:r>
    </w:p>
    <w:p w14:paraId="40A76B1C" w14:textId="041479AD"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Zamawiający oczekuje wykonania na projektowanym boisku linii do 4 dyscyplin – siatkówka, koszykówka, piłka ręczna, tenis – wykonanie takiej ilości linii w obrębie jednej płyty skutkować będzie brakiem „czytelności” boisk dla użytkowników ( mimo zróżnicowania kolorystyki linii i pól gry) a przede wszystkim bardzo osłabi wykonaną nawierzchnię ze względu na liczne cięcia oraz bliskie sąsiedztwo poszczególnych linii. Proponujemy rezygnację z: linii 2 pól 3 sekund, linii wyznaczającej rzuty za 3 pkt.  Prosimy również rozważyć rezygnację z sytuowania kortu do tenisa bowiem wielkość obiektu liczona w świetle ogrodzenia wynosi 1204 m² gdy powierzchnia kortu wraz z wybiegami to 648 m². Dwukrotnie większa powierzchnia skutecznie z pewnością zniechęci do gry potencjalnych tenisistów chociażby </w:t>
      </w:r>
      <w:r w:rsidR="0016779C">
        <w:rPr>
          <w:rFonts w:ascii="Arial" w:eastAsiaTheme="minorHAnsi" w:hAnsi="Arial" w:cs="Arial"/>
          <w:sz w:val="20"/>
          <w:szCs w:val="20"/>
        </w:rPr>
        <w:br/>
      </w:r>
      <w:r w:rsidRPr="001D1839">
        <w:rPr>
          <w:rFonts w:ascii="Arial" w:eastAsiaTheme="minorHAnsi" w:hAnsi="Arial" w:cs="Arial"/>
          <w:sz w:val="20"/>
          <w:szCs w:val="20"/>
        </w:rPr>
        <w:t>z powodu zbierania piłek na tak dużym obiekcie. Z doświadczenia wiemy , że korty takie nie cieszą się uznaniem środowiska tenisowego. Rezygnacja z kortu znacząco też zmniejszy ilość koniecznych do wklejenia linii.</w:t>
      </w:r>
    </w:p>
    <w:p w14:paraId="71C4F69F" w14:textId="47B9A84F" w:rsidR="00AC571E" w:rsidRPr="001D1839" w:rsidRDefault="001D1839" w:rsidP="008A24E8">
      <w:pPr>
        <w:pStyle w:val="Akapitzlist"/>
        <w:spacing w:after="0"/>
        <w:ind w:left="284"/>
        <w:jc w:val="both"/>
        <w:rPr>
          <w:rFonts w:ascii="Arial" w:eastAsiaTheme="minorHAnsi"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467BD8" w:rsidRPr="001D1839">
        <w:rPr>
          <w:rFonts w:ascii="Arial" w:hAnsi="Arial" w:cs="Arial"/>
          <w:sz w:val="20"/>
          <w:szCs w:val="20"/>
          <w:lang w:eastAsia="pl-PL"/>
        </w:rPr>
        <w:t xml:space="preserve">W załączniku nr 1 do OPZ </w:t>
      </w:r>
      <w:bookmarkStart w:id="6" w:name="_Hlk94180789"/>
      <w:r w:rsidR="00467BD8" w:rsidRPr="001D1839">
        <w:rPr>
          <w:rFonts w:ascii="Arial" w:hAnsi="Arial" w:cs="Arial"/>
          <w:sz w:val="20"/>
          <w:szCs w:val="20"/>
          <w:lang w:eastAsia="pl-PL"/>
        </w:rPr>
        <w:t>Zamawiający przedstawił zmieniony układ rozmieszczenia boisk i linii.</w:t>
      </w:r>
      <w:bookmarkEnd w:id="6"/>
    </w:p>
    <w:p w14:paraId="2C362FB8" w14:textId="77777777"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Projekt nie wskazuje w części opisowej pkt. 7.8 koniecznej do zastosowania na korcie taśmy środkowej z obciążeniem (lub mocowanej do podłoża – konieczność wykonania dodatkowej tulei ) . </w:t>
      </w:r>
    </w:p>
    <w:p w14:paraId="35D1665C" w14:textId="387AB83D" w:rsidR="00467BD8" w:rsidRPr="001D1839" w:rsidRDefault="001D1839" w:rsidP="008A24E8">
      <w:pPr>
        <w:pStyle w:val="Akapitzlist"/>
        <w:spacing w:after="0"/>
        <w:ind w:left="284"/>
        <w:jc w:val="both"/>
        <w:rPr>
          <w:rFonts w:ascii="Arial" w:eastAsiaTheme="minorHAnsi"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467BD8" w:rsidRPr="001D1839">
        <w:rPr>
          <w:rFonts w:ascii="Arial" w:eastAsiaTheme="minorHAnsi" w:hAnsi="Arial" w:cs="Arial"/>
          <w:sz w:val="20"/>
          <w:szCs w:val="20"/>
        </w:rPr>
        <w:t>Nie przewiduje się wykonania dodatkowej tulei.</w:t>
      </w:r>
    </w:p>
    <w:p w14:paraId="3D5099F5" w14:textId="208C9D91"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Projekt zakłada wykonanie fundamentów słupków do siatkówki o wymiarach 0,4 x 0,4 x 0,5m a dla tenisa 0,8 x 0,8 x 0,9m. Prosimy o potwierdzenie tego zapisu bowiem należy przypuszczać, że fundamenty słupków do siatkówki winny przenosić większe obciążenia niż fundamenty słupków do tenisa ziemnego.</w:t>
      </w:r>
    </w:p>
    <w:p w14:paraId="582F313B" w14:textId="56FAD852" w:rsidR="00467BD8" w:rsidRPr="001D1839" w:rsidRDefault="001D1839" w:rsidP="008A24E8">
      <w:pPr>
        <w:pStyle w:val="Akapitzlist"/>
        <w:spacing w:after="0"/>
        <w:ind w:left="284"/>
        <w:jc w:val="both"/>
        <w:rPr>
          <w:rFonts w:ascii="Arial" w:eastAsiaTheme="minorHAnsi" w:hAnsi="Arial" w:cs="Arial"/>
          <w:color w:val="FF0000"/>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467BD8" w:rsidRPr="001D1839">
        <w:rPr>
          <w:rFonts w:ascii="Arial" w:hAnsi="Arial" w:cs="Arial"/>
          <w:sz w:val="20"/>
          <w:szCs w:val="20"/>
        </w:rPr>
        <w:t>Fundamenty słupków do tenisa – 0,4x0,4x0,9 m, fundamenty słupków do siatkówki - 0,8x0,8x0,9 m.</w:t>
      </w:r>
    </w:p>
    <w:p w14:paraId="25808D7C" w14:textId="18A29204"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Zamawiający oczekuje wykonania boiska z nawierzchnią z trawy syntetycznej o niskiej jakości , która ulegnie szybkiej degradacji na intensywnie użytkowanym boisku szkolnym. Jakość trawy syntetycznej opisują trzy parametry : </w:t>
      </w:r>
      <w:proofErr w:type="spellStart"/>
      <w:r w:rsidRPr="001D1839">
        <w:rPr>
          <w:rFonts w:ascii="Arial" w:eastAsiaTheme="minorHAnsi" w:hAnsi="Arial" w:cs="Arial"/>
          <w:sz w:val="20"/>
          <w:szCs w:val="20"/>
        </w:rPr>
        <w:t>Detex</w:t>
      </w:r>
      <w:proofErr w:type="spellEnd"/>
      <w:r w:rsidRPr="001D1839">
        <w:rPr>
          <w:rFonts w:ascii="Arial" w:eastAsiaTheme="minorHAnsi" w:hAnsi="Arial" w:cs="Arial"/>
          <w:sz w:val="20"/>
          <w:szCs w:val="20"/>
        </w:rPr>
        <w:t xml:space="preserve"> , rodzaj włókna oraz gęstość . Dla podniesienia trwałości budowanego obiektu proponujemy podniesienie parametrów trawy: </w:t>
      </w:r>
      <w:proofErr w:type="spellStart"/>
      <w:r w:rsidRPr="001D1839">
        <w:rPr>
          <w:rFonts w:ascii="Arial" w:eastAsiaTheme="minorHAnsi" w:hAnsi="Arial" w:cs="Arial"/>
          <w:sz w:val="20"/>
          <w:szCs w:val="20"/>
        </w:rPr>
        <w:t>Detex</w:t>
      </w:r>
      <w:proofErr w:type="spellEnd"/>
      <w:r w:rsidRPr="001D1839">
        <w:rPr>
          <w:rFonts w:ascii="Arial" w:eastAsiaTheme="minorHAnsi" w:hAnsi="Arial" w:cs="Arial"/>
          <w:sz w:val="20"/>
          <w:szCs w:val="20"/>
        </w:rPr>
        <w:t xml:space="preserve"> z 6600-8800 (obecnie) do min.10000, włókno </w:t>
      </w:r>
      <w:proofErr w:type="spellStart"/>
      <w:r w:rsidRPr="001D1839">
        <w:rPr>
          <w:rFonts w:ascii="Arial" w:eastAsiaTheme="minorHAnsi" w:hAnsi="Arial" w:cs="Arial"/>
          <w:sz w:val="20"/>
          <w:szCs w:val="20"/>
        </w:rPr>
        <w:t>fibrylowane</w:t>
      </w:r>
      <w:proofErr w:type="spellEnd"/>
      <w:r w:rsidRPr="001D1839">
        <w:rPr>
          <w:rFonts w:ascii="Arial" w:eastAsiaTheme="minorHAnsi" w:hAnsi="Arial" w:cs="Arial"/>
          <w:sz w:val="20"/>
          <w:szCs w:val="20"/>
        </w:rPr>
        <w:t xml:space="preserve"> (obecnie) na </w:t>
      </w:r>
      <w:proofErr w:type="spellStart"/>
      <w:r w:rsidRPr="001D1839">
        <w:rPr>
          <w:rFonts w:ascii="Arial" w:eastAsiaTheme="minorHAnsi" w:hAnsi="Arial" w:cs="Arial"/>
          <w:sz w:val="20"/>
          <w:szCs w:val="20"/>
        </w:rPr>
        <w:t>monofilowe</w:t>
      </w:r>
      <w:proofErr w:type="spellEnd"/>
      <w:r w:rsidRPr="001D1839">
        <w:rPr>
          <w:rFonts w:ascii="Arial" w:eastAsiaTheme="minorHAnsi" w:hAnsi="Arial" w:cs="Arial"/>
          <w:sz w:val="20"/>
          <w:szCs w:val="20"/>
        </w:rPr>
        <w:t xml:space="preserve"> , gęstość 84.000 (obecnie ) na min.300.000. Rozwiązanie takie zagwarantuje trwałość obiektu.</w:t>
      </w:r>
    </w:p>
    <w:p w14:paraId="4FC09AD9" w14:textId="7049ABA9" w:rsidR="00467BD8" w:rsidRPr="001D1839" w:rsidRDefault="001D1839" w:rsidP="008A24E8">
      <w:pPr>
        <w:pStyle w:val="Akapitzlist"/>
        <w:spacing w:after="0"/>
        <w:ind w:left="284"/>
        <w:jc w:val="both"/>
        <w:rPr>
          <w:rFonts w:ascii="Arial" w:eastAsiaTheme="minorHAnsi"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467BD8" w:rsidRPr="001D1839">
        <w:rPr>
          <w:rFonts w:ascii="Arial" w:eastAsiaTheme="minorHAnsi" w:hAnsi="Arial" w:cs="Arial"/>
          <w:sz w:val="20"/>
          <w:szCs w:val="20"/>
        </w:rPr>
        <w:t>Nawierzchnię boiska z trawy syntetycznej należy wykonać zgodnie z dokumentacją projekt</w:t>
      </w:r>
      <w:r w:rsidR="00673C19" w:rsidRPr="001D1839">
        <w:rPr>
          <w:rFonts w:ascii="Arial" w:eastAsiaTheme="minorHAnsi" w:hAnsi="Arial" w:cs="Arial"/>
          <w:sz w:val="20"/>
          <w:szCs w:val="20"/>
        </w:rPr>
        <w:t>o</w:t>
      </w:r>
      <w:r w:rsidR="00467BD8" w:rsidRPr="001D1839">
        <w:rPr>
          <w:rFonts w:ascii="Arial" w:eastAsiaTheme="minorHAnsi" w:hAnsi="Arial" w:cs="Arial"/>
          <w:sz w:val="20"/>
          <w:szCs w:val="20"/>
        </w:rPr>
        <w:t xml:space="preserve">wą. </w:t>
      </w:r>
    </w:p>
    <w:p w14:paraId="2B0157A4" w14:textId="2FC87487"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Zamawiający dla potwierdzenia jakości oferowanej nawierzchni nie oczekuje gwarancji producenta oraz badania na zgodność z normą PN-EN 15330-1 (potwierdzenie wymaganych parametrów ). Prosimy </w:t>
      </w:r>
      <w:r w:rsidR="0016779C">
        <w:rPr>
          <w:rFonts w:ascii="Arial" w:eastAsiaTheme="minorHAnsi" w:hAnsi="Arial" w:cs="Arial"/>
          <w:sz w:val="20"/>
          <w:szCs w:val="20"/>
        </w:rPr>
        <w:br/>
      </w:r>
      <w:r w:rsidRPr="001D1839">
        <w:rPr>
          <w:rFonts w:ascii="Arial" w:eastAsiaTheme="minorHAnsi" w:hAnsi="Arial" w:cs="Arial"/>
          <w:sz w:val="20"/>
          <w:szCs w:val="20"/>
        </w:rPr>
        <w:t>o uwzględnienie tego wymogu.</w:t>
      </w:r>
    </w:p>
    <w:p w14:paraId="6D8BFC20" w14:textId="554B657C" w:rsidR="00673C19" w:rsidRPr="001D1839" w:rsidRDefault="001D1839" w:rsidP="008A24E8">
      <w:pPr>
        <w:pStyle w:val="Akapitzlist"/>
        <w:spacing w:after="0"/>
        <w:ind w:left="284"/>
        <w:jc w:val="both"/>
        <w:rPr>
          <w:rFonts w:ascii="Arial"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673C19" w:rsidRPr="001D1839">
        <w:rPr>
          <w:rFonts w:ascii="Arial" w:hAnsi="Arial" w:cs="Arial"/>
          <w:sz w:val="20"/>
          <w:szCs w:val="20"/>
        </w:rPr>
        <w:t>Wykonawca dla potwierdzenia jakości oferowanej nawierzchni zobowiązany jest przed podpisaniem umowy na wykonanie zadania dostarczyć Zamawiającemu następujące dokumenty:</w:t>
      </w:r>
    </w:p>
    <w:p w14:paraId="2E5457C1" w14:textId="77777777" w:rsidR="00673C19" w:rsidRPr="001D1839" w:rsidRDefault="00673C19" w:rsidP="008A24E8">
      <w:pPr>
        <w:pStyle w:val="Akapitzlist"/>
        <w:spacing w:after="0"/>
        <w:ind w:left="284"/>
        <w:jc w:val="both"/>
        <w:rPr>
          <w:rFonts w:ascii="Arial" w:hAnsi="Arial" w:cs="Arial"/>
          <w:sz w:val="20"/>
          <w:szCs w:val="20"/>
        </w:rPr>
      </w:pPr>
      <w:r w:rsidRPr="001D1839">
        <w:rPr>
          <w:rFonts w:ascii="Arial" w:hAnsi="Arial" w:cs="Arial"/>
          <w:sz w:val="20"/>
          <w:szCs w:val="20"/>
        </w:rPr>
        <w:t>- autoryzację producenta nawierzchni wystawioną na wykonawcę z określeniem nazwy inwestycji,</w:t>
      </w:r>
    </w:p>
    <w:p w14:paraId="74B751F7" w14:textId="77777777" w:rsidR="00673C19" w:rsidRPr="001D1839" w:rsidRDefault="00673C19" w:rsidP="008A24E8">
      <w:pPr>
        <w:pStyle w:val="Akapitzlist"/>
        <w:spacing w:after="0"/>
        <w:ind w:left="284"/>
        <w:jc w:val="both"/>
        <w:rPr>
          <w:rFonts w:ascii="Arial" w:hAnsi="Arial" w:cs="Arial"/>
          <w:sz w:val="20"/>
          <w:szCs w:val="20"/>
        </w:rPr>
      </w:pPr>
      <w:r w:rsidRPr="001D1839">
        <w:rPr>
          <w:rFonts w:ascii="Arial" w:hAnsi="Arial" w:cs="Arial"/>
          <w:sz w:val="20"/>
          <w:szCs w:val="20"/>
        </w:rPr>
        <w:t>- kartę techniczną nawierzchni z trawy syntetycznej poświadczoną przez producenta z określeniem nazwy inwestycji,</w:t>
      </w:r>
    </w:p>
    <w:p w14:paraId="37D05C2E" w14:textId="77777777" w:rsidR="00673C19" w:rsidRPr="001D1839" w:rsidRDefault="00673C19" w:rsidP="008A24E8">
      <w:pPr>
        <w:pStyle w:val="Akapitzlist"/>
        <w:spacing w:after="0"/>
        <w:ind w:left="284"/>
        <w:jc w:val="both"/>
        <w:rPr>
          <w:rFonts w:ascii="Arial" w:hAnsi="Arial" w:cs="Arial"/>
          <w:sz w:val="20"/>
          <w:szCs w:val="20"/>
        </w:rPr>
      </w:pPr>
      <w:r w:rsidRPr="001D1839">
        <w:rPr>
          <w:rFonts w:ascii="Arial" w:hAnsi="Arial" w:cs="Arial"/>
          <w:sz w:val="20"/>
          <w:szCs w:val="20"/>
        </w:rPr>
        <w:t>- aktualny Atest PZH lub równoważny dla sztucznej trawy,</w:t>
      </w:r>
    </w:p>
    <w:p w14:paraId="4F6D1678" w14:textId="77777777" w:rsidR="00673C19" w:rsidRPr="001D1839" w:rsidRDefault="00673C19" w:rsidP="008A24E8">
      <w:pPr>
        <w:pStyle w:val="Akapitzlist"/>
        <w:spacing w:after="0"/>
        <w:ind w:left="284"/>
        <w:jc w:val="both"/>
        <w:rPr>
          <w:rFonts w:ascii="Arial" w:hAnsi="Arial" w:cs="Arial"/>
          <w:sz w:val="20"/>
          <w:szCs w:val="20"/>
        </w:rPr>
      </w:pPr>
      <w:r w:rsidRPr="001D1839">
        <w:rPr>
          <w:rFonts w:ascii="Arial" w:hAnsi="Arial" w:cs="Arial"/>
          <w:sz w:val="20"/>
          <w:szCs w:val="20"/>
        </w:rPr>
        <w:lastRenderedPageBreak/>
        <w:t xml:space="preserve">- badanie na zgodność z normą PN-EN 15330-1 w celu potwierdzenia wymaganych parametrów </w:t>
      </w:r>
      <w:r w:rsidRPr="001D1839">
        <w:rPr>
          <w:rFonts w:ascii="Arial" w:hAnsi="Arial" w:cs="Arial"/>
          <w:bCs/>
          <w:sz w:val="20"/>
          <w:szCs w:val="20"/>
        </w:rPr>
        <w:t>trawy syntetycznej,</w:t>
      </w:r>
    </w:p>
    <w:p w14:paraId="2703D78E" w14:textId="77777777" w:rsidR="00673C19" w:rsidRPr="001D1839" w:rsidRDefault="00673C19" w:rsidP="008A24E8">
      <w:pPr>
        <w:pStyle w:val="Akapitzlist"/>
        <w:spacing w:after="0"/>
        <w:ind w:left="284"/>
        <w:jc w:val="both"/>
        <w:rPr>
          <w:rFonts w:ascii="Arial" w:hAnsi="Arial" w:cs="Arial"/>
          <w:sz w:val="20"/>
          <w:szCs w:val="20"/>
        </w:rPr>
      </w:pPr>
      <w:r w:rsidRPr="001D1839">
        <w:rPr>
          <w:rFonts w:ascii="Arial" w:hAnsi="Arial" w:cs="Arial"/>
          <w:sz w:val="20"/>
          <w:szCs w:val="20"/>
        </w:rPr>
        <w:t>- gwarancję producenta na oferowaną nawierzchnię,</w:t>
      </w:r>
    </w:p>
    <w:p w14:paraId="597133E2" w14:textId="77777777" w:rsidR="00467BD8" w:rsidRPr="001D1839" w:rsidRDefault="00673C19" w:rsidP="008A24E8">
      <w:pPr>
        <w:pStyle w:val="Akapitzlist"/>
        <w:spacing w:after="0"/>
        <w:ind w:left="284"/>
        <w:jc w:val="both"/>
        <w:rPr>
          <w:rFonts w:ascii="Arial" w:eastAsiaTheme="minorHAnsi" w:hAnsi="Arial" w:cs="Arial"/>
          <w:sz w:val="20"/>
          <w:szCs w:val="20"/>
        </w:rPr>
      </w:pPr>
      <w:r w:rsidRPr="001D1839">
        <w:rPr>
          <w:rFonts w:ascii="Arial" w:hAnsi="Arial" w:cs="Arial"/>
          <w:sz w:val="20"/>
          <w:szCs w:val="20"/>
        </w:rPr>
        <w:t>- próbkę oferowanej sztucznej trawy o wymiarach min. 20x15cm z metryką producenta.</w:t>
      </w:r>
    </w:p>
    <w:p w14:paraId="66E04203" w14:textId="77777777"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W </w:t>
      </w:r>
      <w:proofErr w:type="spellStart"/>
      <w:r w:rsidRPr="001D1839">
        <w:rPr>
          <w:rFonts w:ascii="Arial" w:eastAsiaTheme="minorHAnsi" w:hAnsi="Arial" w:cs="Arial"/>
          <w:sz w:val="20"/>
          <w:szCs w:val="20"/>
        </w:rPr>
        <w:t>STWiORB</w:t>
      </w:r>
      <w:proofErr w:type="spellEnd"/>
      <w:r w:rsidRPr="001D1839">
        <w:rPr>
          <w:rFonts w:ascii="Arial" w:eastAsiaTheme="minorHAnsi" w:hAnsi="Arial" w:cs="Arial"/>
          <w:sz w:val="20"/>
          <w:szCs w:val="20"/>
        </w:rPr>
        <w:t xml:space="preserve">  Zamawiający oczekuje wyposażenia boiska do koszykówki w tablice ze szkła akrylowego , które stosuje się wyłącznie na obiektach zamkniętych gdzie nie są narażone na akty wandalizmu. Na zewnętrznych boiska do koszykówki stosuje się tablice o podwyższonej odporności na zniszczenie – zazwyczaj wykonane z kratownicy cynkowanej ogniowo. Prosimy o potwierdzenie oczekiwania montażu tablicy ze szkła akrylowego lub podanie parametrów tablicy „wandaloodpornej” . </w:t>
      </w:r>
    </w:p>
    <w:p w14:paraId="44514FEC" w14:textId="2799F09C" w:rsidR="00B76A48" w:rsidRPr="001D1839" w:rsidRDefault="001D1839" w:rsidP="001D1839">
      <w:pPr>
        <w:spacing w:line="276" w:lineRule="auto"/>
        <w:ind w:left="284"/>
        <w:jc w:val="both"/>
        <w:rPr>
          <w:szCs w:val="20"/>
        </w:rPr>
      </w:pPr>
      <w:r w:rsidRPr="001D1839">
        <w:rPr>
          <w:rFonts w:eastAsiaTheme="minorHAnsi"/>
          <w:b/>
          <w:bCs/>
          <w:szCs w:val="20"/>
        </w:rPr>
        <w:t>Odpowiedź:</w:t>
      </w:r>
      <w:r w:rsidRPr="001D1839">
        <w:rPr>
          <w:rFonts w:eastAsiaTheme="minorHAnsi"/>
          <w:szCs w:val="20"/>
        </w:rPr>
        <w:t xml:space="preserve"> </w:t>
      </w:r>
      <w:r w:rsidR="00B76A48" w:rsidRPr="001D1839">
        <w:rPr>
          <w:szCs w:val="20"/>
        </w:rPr>
        <w:t xml:space="preserve">Zamawiający oczekuje dostawy i montażu konstrukcji do koszykówki wraz z tablicą </w:t>
      </w:r>
      <w:r w:rsidRPr="001D1839">
        <w:rPr>
          <w:szCs w:val="20"/>
        </w:rPr>
        <w:br/>
      </w:r>
      <w:r w:rsidR="00B76A48" w:rsidRPr="001D1839">
        <w:rPr>
          <w:szCs w:val="20"/>
        </w:rPr>
        <w:t>i systemem regulacji wysokości o następujących parametrach ;</w:t>
      </w:r>
    </w:p>
    <w:p w14:paraId="7E73DA9C" w14:textId="382B270D" w:rsidR="00B76A48" w:rsidRPr="001D1839" w:rsidRDefault="00B76A48" w:rsidP="001D1839">
      <w:pPr>
        <w:pStyle w:val="Akapitzlist"/>
        <w:numPr>
          <w:ilvl w:val="0"/>
          <w:numId w:val="13"/>
        </w:numPr>
        <w:spacing w:after="0"/>
        <w:ind w:left="284" w:firstLine="0"/>
        <w:jc w:val="both"/>
        <w:rPr>
          <w:rFonts w:ascii="Arial" w:hAnsi="Arial" w:cs="Arial"/>
          <w:sz w:val="20"/>
          <w:szCs w:val="20"/>
        </w:rPr>
      </w:pPr>
      <w:r w:rsidRPr="001D1839">
        <w:rPr>
          <w:rFonts w:ascii="Arial" w:hAnsi="Arial" w:cs="Arial"/>
          <w:sz w:val="20"/>
          <w:szCs w:val="20"/>
        </w:rPr>
        <w:t xml:space="preserve">Jednosłupowa konstrukcja do koszykówki o podwyższonej odporności na akty wandalizmu, </w:t>
      </w:r>
    </w:p>
    <w:p w14:paraId="3D96969F" w14:textId="73387362" w:rsidR="00B76A48" w:rsidRPr="001D1839" w:rsidRDefault="00B76A48" w:rsidP="001D1839">
      <w:pPr>
        <w:pStyle w:val="Akapitzlist"/>
        <w:spacing w:after="0"/>
        <w:ind w:left="284"/>
        <w:jc w:val="both"/>
        <w:rPr>
          <w:rFonts w:ascii="Arial" w:hAnsi="Arial" w:cs="Arial"/>
          <w:sz w:val="20"/>
          <w:szCs w:val="20"/>
        </w:rPr>
      </w:pPr>
      <w:r w:rsidRPr="001D1839">
        <w:rPr>
          <w:rFonts w:ascii="Arial" w:hAnsi="Arial" w:cs="Arial"/>
          <w:sz w:val="20"/>
          <w:szCs w:val="20"/>
        </w:rPr>
        <w:t xml:space="preserve">przeznaczona do gry na otwartej przestrzeni, profil 150x150x4cm, wysięg 120 cm, przeznaczona do montaży tablic 105x180 cm, mocowana na stałe w podłożu. Stopa fundamentowa zgodnie </w:t>
      </w:r>
      <w:r w:rsidR="001D1839" w:rsidRPr="001D1839">
        <w:rPr>
          <w:rFonts w:ascii="Arial" w:hAnsi="Arial" w:cs="Arial"/>
          <w:sz w:val="20"/>
          <w:szCs w:val="20"/>
        </w:rPr>
        <w:br/>
      </w:r>
      <w:r w:rsidRPr="001D1839">
        <w:rPr>
          <w:rFonts w:ascii="Arial" w:hAnsi="Arial" w:cs="Arial"/>
          <w:sz w:val="20"/>
          <w:szCs w:val="20"/>
        </w:rPr>
        <w:t>z wytycznymi producenta.</w:t>
      </w:r>
    </w:p>
    <w:p w14:paraId="551D26A8" w14:textId="77777777" w:rsidR="00B76A48" w:rsidRPr="001D1839" w:rsidRDefault="00B76A48" w:rsidP="001D1839">
      <w:pPr>
        <w:pStyle w:val="Akapitzlist"/>
        <w:numPr>
          <w:ilvl w:val="0"/>
          <w:numId w:val="13"/>
        </w:numPr>
        <w:spacing w:after="0"/>
        <w:ind w:left="284" w:firstLine="0"/>
        <w:jc w:val="both"/>
        <w:rPr>
          <w:rFonts w:ascii="Arial" w:hAnsi="Arial" w:cs="Arial"/>
          <w:sz w:val="20"/>
          <w:szCs w:val="20"/>
        </w:rPr>
      </w:pPr>
      <w:r w:rsidRPr="001D1839">
        <w:rPr>
          <w:rFonts w:ascii="Arial" w:hAnsi="Arial" w:cs="Arial"/>
          <w:sz w:val="20"/>
          <w:szCs w:val="20"/>
          <w:shd w:val="clear" w:color="auto" w:fill="FFFFFF"/>
        </w:rPr>
        <w:t xml:space="preserve">Mechanizm regulacji wysokości tablicy 105x180 cm, cynkowany ogniowo, z ramą adaptacyjną do konstrukcji jednosłupowej. Konstrukcja mechanizmu pozwalająca łatwo i szybko zmienić wysokość tablicy wraz z obręczą w stosunku o podłoża w przedziale 260 – 305 cm. </w:t>
      </w:r>
    </w:p>
    <w:p w14:paraId="5A60CD27" w14:textId="77777777" w:rsidR="00B76A48" w:rsidRPr="001D1839" w:rsidRDefault="00B76A48" w:rsidP="001D1839">
      <w:pPr>
        <w:pStyle w:val="Akapitzlist"/>
        <w:numPr>
          <w:ilvl w:val="0"/>
          <w:numId w:val="13"/>
        </w:numPr>
        <w:spacing w:after="0"/>
        <w:ind w:left="284" w:firstLine="0"/>
        <w:jc w:val="both"/>
        <w:rPr>
          <w:rFonts w:ascii="Arial" w:hAnsi="Arial" w:cs="Arial"/>
          <w:sz w:val="20"/>
          <w:szCs w:val="20"/>
        </w:rPr>
      </w:pPr>
      <w:r w:rsidRPr="001D1839">
        <w:rPr>
          <w:rFonts w:ascii="Arial" w:hAnsi="Arial" w:cs="Arial"/>
          <w:sz w:val="20"/>
          <w:szCs w:val="20"/>
          <w:shd w:val="clear" w:color="auto" w:fill="FFFFFF"/>
        </w:rPr>
        <w:t>Tablica do koszykówki profesjonalna o wymiarach 105x180 cm, zbudowana z nieprzeźroczystej płyty epoksydowej o grubości 18 mm, mocowana do metalowej ramy zabezpieczonej antykorozyjnie poprzez cynkowanie ogniowe. Zastosowane mocowanie obręczy do ramy tablicy powinno uniemożliwiać przenoszenie na płytę tablicy obciążeń, działających na obręcz.</w:t>
      </w:r>
    </w:p>
    <w:p w14:paraId="4EAB2E01" w14:textId="77777777" w:rsidR="00B76A48" w:rsidRPr="001D1839" w:rsidRDefault="00B76A48" w:rsidP="001D1839">
      <w:pPr>
        <w:pStyle w:val="Akapitzlist"/>
        <w:numPr>
          <w:ilvl w:val="0"/>
          <w:numId w:val="13"/>
        </w:numPr>
        <w:spacing w:after="0"/>
        <w:ind w:left="284" w:firstLine="0"/>
        <w:jc w:val="both"/>
        <w:rPr>
          <w:rFonts w:ascii="Arial" w:hAnsi="Arial" w:cs="Arial"/>
          <w:sz w:val="20"/>
          <w:szCs w:val="20"/>
        </w:rPr>
      </w:pPr>
      <w:r w:rsidRPr="001D1839">
        <w:rPr>
          <w:rFonts w:ascii="Arial" w:hAnsi="Arial" w:cs="Arial"/>
          <w:sz w:val="20"/>
          <w:szCs w:val="20"/>
        </w:rPr>
        <w:t>Obręcz wykonana z pręta stalowego o średnicy 20 mm. Element wsporczy oraz kołnierz usztywniający wykonane z blach stalowych o grubości 3 mm. Obręcz winna posiadać wbudowany mechanizm uchylny z zastosowaniem jednej lub kilku sprężyn naciskowych - uchyla się przy obciążeniu ok. 35, 70 lub 105 kg. Dla zwiększenia bezpieczeństwa użytkowania mechanizm powinien być  zamaskowany osłoną z giętej blachy. Obręcz montowana do tablic zainstalowanych na otwartej przestrzeni musi być zabezpieczona przeciw korozji poprzez cynkowanie ogniowe.</w:t>
      </w:r>
    </w:p>
    <w:p w14:paraId="1810B83A" w14:textId="77777777" w:rsidR="00467BD8" w:rsidRPr="001D1839" w:rsidRDefault="00B76A48" w:rsidP="001D1839">
      <w:pPr>
        <w:pStyle w:val="Akapitzlist"/>
        <w:numPr>
          <w:ilvl w:val="0"/>
          <w:numId w:val="13"/>
        </w:numPr>
        <w:spacing w:after="0"/>
        <w:ind w:left="284" w:firstLine="0"/>
        <w:jc w:val="both"/>
        <w:rPr>
          <w:rFonts w:ascii="Arial" w:hAnsi="Arial" w:cs="Arial"/>
          <w:sz w:val="20"/>
          <w:szCs w:val="20"/>
        </w:rPr>
      </w:pPr>
      <w:r w:rsidRPr="001D1839">
        <w:rPr>
          <w:rFonts w:ascii="Arial" w:hAnsi="Arial" w:cs="Arial"/>
          <w:sz w:val="20"/>
          <w:szCs w:val="20"/>
          <w:shd w:val="clear" w:color="auto" w:fill="FFFFFF"/>
        </w:rPr>
        <w:t>Siatka do obręczy do koszykówki łańcuchowa 12-zaciskowa - cynkowana galwanicznie, przeznaczona do obręczy cynkowanych stosowanych na boiskach zewnętrznych.</w:t>
      </w:r>
    </w:p>
    <w:p w14:paraId="54785712" w14:textId="376C96D3"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 W </w:t>
      </w:r>
      <w:proofErr w:type="spellStart"/>
      <w:r w:rsidRPr="001D1839">
        <w:rPr>
          <w:rFonts w:ascii="Arial" w:eastAsiaTheme="minorHAnsi" w:hAnsi="Arial" w:cs="Arial"/>
          <w:sz w:val="20"/>
          <w:szCs w:val="20"/>
        </w:rPr>
        <w:t>S</w:t>
      </w:r>
      <w:r w:rsidR="0016779C">
        <w:rPr>
          <w:rFonts w:ascii="Arial" w:eastAsiaTheme="minorHAnsi" w:hAnsi="Arial" w:cs="Arial"/>
          <w:sz w:val="20"/>
          <w:szCs w:val="20"/>
        </w:rPr>
        <w:t>T</w:t>
      </w:r>
      <w:r w:rsidRPr="001D1839">
        <w:rPr>
          <w:rFonts w:ascii="Arial" w:eastAsiaTheme="minorHAnsi" w:hAnsi="Arial" w:cs="Arial"/>
          <w:sz w:val="20"/>
          <w:szCs w:val="20"/>
        </w:rPr>
        <w:t>WiORB</w:t>
      </w:r>
      <w:proofErr w:type="spellEnd"/>
      <w:r w:rsidRPr="001D1839">
        <w:rPr>
          <w:rFonts w:ascii="Arial" w:eastAsiaTheme="minorHAnsi" w:hAnsi="Arial" w:cs="Arial"/>
          <w:sz w:val="20"/>
          <w:szCs w:val="20"/>
        </w:rPr>
        <w:t xml:space="preserve"> wskazano na konieczność montażu siatki turniejowej na obręczach uchylnych tablic do koszykówki. Na zewnętrznych boiskach do koszykówki stosuje się siatki łańcuchowe, zapewniające długotrwałe użytk</w:t>
      </w:r>
      <w:r w:rsidR="00B76A48" w:rsidRPr="001D1839">
        <w:rPr>
          <w:rFonts w:ascii="Arial" w:eastAsiaTheme="minorHAnsi" w:hAnsi="Arial" w:cs="Arial"/>
          <w:sz w:val="20"/>
          <w:szCs w:val="20"/>
        </w:rPr>
        <w:t>owanie. Prosimy o potwierdzenie</w:t>
      </w:r>
      <w:r w:rsidRPr="001D1839">
        <w:rPr>
          <w:rFonts w:ascii="Arial" w:eastAsiaTheme="minorHAnsi" w:hAnsi="Arial" w:cs="Arial"/>
          <w:sz w:val="20"/>
          <w:szCs w:val="20"/>
        </w:rPr>
        <w:t>, że Zamawiający oczekuje montażu siatek turniejowych.</w:t>
      </w:r>
    </w:p>
    <w:p w14:paraId="27B12AC0" w14:textId="57AF627F" w:rsidR="00467BD8" w:rsidRPr="001D1839" w:rsidRDefault="001D1839" w:rsidP="001D1839">
      <w:pPr>
        <w:pStyle w:val="NormalnyWeb"/>
        <w:shd w:val="clear" w:color="auto" w:fill="FFFFFF"/>
        <w:spacing w:before="0" w:beforeAutospacing="0" w:after="0" w:afterAutospacing="0" w:line="276" w:lineRule="auto"/>
        <w:ind w:left="284"/>
        <w:jc w:val="both"/>
        <w:rPr>
          <w:rFonts w:ascii="Arial" w:hAnsi="Arial" w:cs="Arial"/>
          <w:color w:val="FF0000"/>
          <w:sz w:val="20"/>
          <w:szCs w:val="20"/>
          <w:shd w:val="clear" w:color="auto" w:fill="FFFFFF"/>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B76A48" w:rsidRPr="001D1839">
        <w:rPr>
          <w:rFonts w:ascii="Arial" w:hAnsi="Arial" w:cs="Arial"/>
          <w:sz w:val="20"/>
          <w:szCs w:val="20"/>
        </w:rPr>
        <w:t>Należy zastosować łańcuchową si</w:t>
      </w:r>
      <w:r w:rsidR="00B76A48" w:rsidRPr="001D1839">
        <w:rPr>
          <w:rFonts w:ascii="Arial" w:hAnsi="Arial" w:cs="Arial"/>
          <w:sz w:val="20"/>
          <w:szCs w:val="20"/>
          <w:shd w:val="clear" w:color="auto" w:fill="FFFFFF"/>
        </w:rPr>
        <w:t>atkę do obręczy do koszykówki, 12-zaciskową cynkowaną ogniowo</w:t>
      </w:r>
      <w:r w:rsidR="00B76A48" w:rsidRPr="001D1839">
        <w:rPr>
          <w:rFonts w:ascii="Arial" w:hAnsi="Arial" w:cs="Arial"/>
          <w:color w:val="FF0000"/>
          <w:sz w:val="20"/>
          <w:szCs w:val="20"/>
          <w:shd w:val="clear" w:color="auto" w:fill="FFFFFF"/>
        </w:rPr>
        <w:t>.</w:t>
      </w:r>
    </w:p>
    <w:p w14:paraId="52C1E017" w14:textId="2676D240" w:rsidR="00AF3EF1" w:rsidRPr="001D1839" w:rsidRDefault="00AF3EF1" w:rsidP="008A24E8">
      <w:pPr>
        <w:pStyle w:val="Akapitzlist"/>
        <w:numPr>
          <w:ilvl w:val="0"/>
          <w:numId w:val="11"/>
        </w:numPr>
        <w:spacing w:after="0"/>
        <w:ind w:left="284" w:hanging="284"/>
        <w:jc w:val="both"/>
        <w:rPr>
          <w:rFonts w:ascii="Arial" w:eastAsiaTheme="minorHAnsi" w:hAnsi="Arial" w:cs="Arial"/>
          <w:sz w:val="20"/>
          <w:szCs w:val="20"/>
        </w:rPr>
      </w:pPr>
      <w:r w:rsidRPr="001D1839">
        <w:rPr>
          <w:rFonts w:ascii="Arial" w:eastAsiaTheme="minorHAnsi" w:hAnsi="Arial" w:cs="Arial"/>
          <w:sz w:val="20"/>
          <w:szCs w:val="20"/>
        </w:rPr>
        <w:t xml:space="preserve">W </w:t>
      </w:r>
      <w:proofErr w:type="spellStart"/>
      <w:r w:rsidRPr="001D1839">
        <w:rPr>
          <w:rFonts w:ascii="Arial" w:eastAsiaTheme="minorHAnsi" w:hAnsi="Arial" w:cs="Arial"/>
          <w:sz w:val="20"/>
          <w:szCs w:val="20"/>
        </w:rPr>
        <w:t>S</w:t>
      </w:r>
      <w:r w:rsidR="0016779C">
        <w:rPr>
          <w:rFonts w:ascii="Arial" w:eastAsiaTheme="minorHAnsi" w:hAnsi="Arial" w:cs="Arial"/>
          <w:sz w:val="20"/>
          <w:szCs w:val="20"/>
        </w:rPr>
        <w:t>T</w:t>
      </w:r>
      <w:r w:rsidRPr="001D1839">
        <w:rPr>
          <w:rFonts w:ascii="Arial" w:eastAsiaTheme="minorHAnsi" w:hAnsi="Arial" w:cs="Arial"/>
          <w:sz w:val="20"/>
          <w:szCs w:val="20"/>
        </w:rPr>
        <w:t>WiORB</w:t>
      </w:r>
      <w:proofErr w:type="spellEnd"/>
      <w:r w:rsidRPr="001D1839">
        <w:rPr>
          <w:rFonts w:ascii="Arial" w:eastAsiaTheme="minorHAnsi" w:hAnsi="Arial" w:cs="Arial"/>
          <w:sz w:val="20"/>
          <w:szCs w:val="20"/>
        </w:rPr>
        <w:t xml:space="preserve"> Zamawiający oczekuje montażu (pkt. VII) na korcie wielofunkcyjnych słupków do siatkówki. Prosimy o sprostowanie tego zapisu.</w:t>
      </w:r>
    </w:p>
    <w:p w14:paraId="72BEB21C" w14:textId="7F83AE07" w:rsidR="00AF3EF1" w:rsidRPr="001D1839" w:rsidRDefault="001D1839" w:rsidP="008A24E8">
      <w:pPr>
        <w:pStyle w:val="Akapitzlist"/>
        <w:spacing w:after="0"/>
        <w:ind w:left="284"/>
        <w:jc w:val="both"/>
        <w:rPr>
          <w:rFonts w:ascii="Arial" w:eastAsiaTheme="minorHAnsi" w:hAnsi="Arial" w:cs="Arial"/>
          <w:sz w:val="20"/>
          <w:szCs w:val="20"/>
        </w:rPr>
      </w:pPr>
      <w:r w:rsidRPr="001D1839">
        <w:rPr>
          <w:rFonts w:ascii="Arial" w:eastAsiaTheme="minorHAnsi" w:hAnsi="Arial" w:cs="Arial"/>
          <w:b/>
          <w:bCs/>
          <w:sz w:val="20"/>
          <w:szCs w:val="20"/>
        </w:rPr>
        <w:t>Odpowiedź:</w:t>
      </w:r>
      <w:r w:rsidRPr="001D1839">
        <w:rPr>
          <w:rFonts w:ascii="Arial" w:eastAsiaTheme="minorHAnsi" w:hAnsi="Arial" w:cs="Arial"/>
          <w:sz w:val="20"/>
          <w:szCs w:val="20"/>
        </w:rPr>
        <w:t xml:space="preserve"> </w:t>
      </w:r>
      <w:r w:rsidR="008A24E8" w:rsidRPr="001D1839">
        <w:rPr>
          <w:rFonts w:ascii="Arial" w:eastAsiaTheme="minorHAnsi" w:hAnsi="Arial" w:cs="Arial"/>
          <w:sz w:val="20"/>
          <w:szCs w:val="20"/>
        </w:rPr>
        <w:t>Należy wykonać zgodnie z dokumentacją projektową.</w:t>
      </w:r>
    </w:p>
    <w:p w14:paraId="54334877" w14:textId="77777777" w:rsidR="00A96705" w:rsidRDefault="00A96705" w:rsidP="00A96705">
      <w:pPr>
        <w:pStyle w:val="Zwykytekst"/>
        <w:spacing w:line="276" w:lineRule="auto"/>
        <w:jc w:val="both"/>
        <w:rPr>
          <w:rFonts w:ascii="Arial" w:hAnsi="Arial" w:cs="Arial"/>
          <w:sz w:val="20"/>
          <w:szCs w:val="20"/>
        </w:rPr>
      </w:pPr>
    </w:p>
    <w:p w14:paraId="4E6FE18F" w14:textId="77777777" w:rsidR="00AF3EF1" w:rsidRPr="00A96705" w:rsidRDefault="00AF3EF1" w:rsidP="00A96705">
      <w:pPr>
        <w:pStyle w:val="Zwykytekst"/>
        <w:spacing w:line="276" w:lineRule="auto"/>
        <w:jc w:val="both"/>
        <w:rPr>
          <w:rFonts w:ascii="Arial" w:hAnsi="Arial" w:cs="Arial"/>
          <w:sz w:val="20"/>
          <w:szCs w:val="20"/>
        </w:rPr>
      </w:pPr>
    </w:p>
    <w:p w14:paraId="352D0D1B" w14:textId="77777777" w:rsidR="008D69E7" w:rsidRPr="00D9777E" w:rsidRDefault="008D69E7" w:rsidP="008D69E7">
      <w:pPr>
        <w:spacing w:line="23" w:lineRule="atLeast"/>
        <w:jc w:val="center"/>
        <w:rPr>
          <w:rFonts w:eastAsia="Calibri"/>
          <w:b/>
          <w:szCs w:val="20"/>
          <w:lang w:eastAsia="en-US"/>
        </w:rPr>
      </w:pPr>
      <w:r>
        <w:rPr>
          <w:rFonts w:eastAsia="Calibri"/>
          <w:b/>
          <w:szCs w:val="20"/>
          <w:lang w:eastAsia="en-US"/>
        </w:rPr>
        <w:t xml:space="preserve">ZMIANA TREŚCI SPECYFIKACJI </w:t>
      </w:r>
      <w:r w:rsidRPr="00D9777E">
        <w:rPr>
          <w:rFonts w:eastAsia="Calibri"/>
          <w:b/>
          <w:szCs w:val="20"/>
          <w:lang w:eastAsia="en-US"/>
        </w:rPr>
        <w:t>WARUNKÓW ZAMÓWIENIA</w:t>
      </w:r>
    </w:p>
    <w:p w14:paraId="1C5C9CB4" w14:textId="77777777" w:rsidR="008D69E7" w:rsidRPr="00D9777E" w:rsidRDefault="008D69E7" w:rsidP="008D69E7">
      <w:pPr>
        <w:spacing w:line="23" w:lineRule="atLeast"/>
        <w:jc w:val="both"/>
        <w:rPr>
          <w:rFonts w:eastAsia="Calibri"/>
          <w:szCs w:val="20"/>
          <w:lang w:eastAsia="en-US"/>
        </w:rPr>
      </w:pPr>
    </w:p>
    <w:p w14:paraId="27F45B57" w14:textId="77777777" w:rsidR="008D69E7" w:rsidRPr="00D9777E" w:rsidRDefault="00993884" w:rsidP="008D69E7">
      <w:pPr>
        <w:spacing w:line="276" w:lineRule="auto"/>
        <w:ind w:firstLine="708"/>
        <w:jc w:val="both"/>
        <w:rPr>
          <w:rFonts w:eastAsia="Calibri"/>
          <w:szCs w:val="20"/>
          <w:lang w:eastAsia="en-US"/>
        </w:rPr>
      </w:pPr>
      <w:r>
        <w:rPr>
          <w:rFonts w:eastAsia="Calibri"/>
          <w:szCs w:val="20"/>
          <w:lang w:eastAsia="en-US"/>
        </w:rPr>
        <w:t>D</w:t>
      </w:r>
      <w:r w:rsidR="008D69E7" w:rsidRPr="00D9777E">
        <w:rPr>
          <w:rFonts w:eastAsia="Calibri"/>
          <w:szCs w:val="20"/>
          <w:lang w:eastAsia="en-US"/>
        </w:rPr>
        <w:t xml:space="preserve">ziałając na podstawie art. </w:t>
      </w:r>
      <w:r w:rsidR="008D69E7">
        <w:rPr>
          <w:rFonts w:eastAsia="Calibri"/>
          <w:szCs w:val="20"/>
          <w:lang w:eastAsia="en-US"/>
        </w:rPr>
        <w:t>286 i 287</w:t>
      </w:r>
      <w:r w:rsidR="008D69E7" w:rsidRPr="00D9777E">
        <w:rPr>
          <w:rFonts w:eastAsia="Calibri"/>
          <w:szCs w:val="20"/>
          <w:lang w:eastAsia="en-US"/>
        </w:rPr>
        <w:t xml:space="preserve"> ustawy </w:t>
      </w:r>
      <w:r w:rsidR="008D69E7">
        <w:rPr>
          <w:rFonts w:eastAsia="Calibri"/>
          <w:szCs w:val="20"/>
          <w:lang w:eastAsia="en-US"/>
        </w:rPr>
        <w:t xml:space="preserve">z dnia 11 września 2019 roku </w:t>
      </w:r>
      <w:r w:rsidR="008D69E7" w:rsidRPr="00D9777E">
        <w:rPr>
          <w:rFonts w:eastAsia="Calibri"/>
          <w:szCs w:val="20"/>
          <w:lang w:eastAsia="en-US"/>
        </w:rPr>
        <w:t>Prawo zamówi</w:t>
      </w:r>
      <w:r w:rsidR="008D69E7">
        <w:rPr>
          <w:rFonts w:eastAsia="Calibri"/>
          <w:szCs w:val="20"/>
          <w:lang w:eastAsia="en-US"/>
        </w:rPr>
        <w:t xml:space="preserve">eń publicznych </w:t>
      </w:r>
      <w:r w:rsidR="008D69E7">
        <w:rPr>
          <w:szCs w:val="20"/>
          <w:lang w:eastAsia="en-US"/>
        </w:rPr>
        <w:t xml:space="preserve">(t. j. - </w:t>
      </w:r>
      <w:r w:rsidR="008D69E7" w:rsidRPr="00976DDA">
        <w:rPr>
          <w:szCs w:val="20"/>
          <w:lang w:eastAsia="en-US"/>
        </w:rPr>
        <w:t>Dz. U. z 20</w:t>
      </w:r>
      <w:r w:rsidR="008D69E7">
        <w:rPr>
          <w:szCs w:val="20"/>
          <w:lang w:eastAsia="en-US"/>
        </w:rPr>
        <w:t>21</w:t>
      </w:r>
      <w:r w:rsidR="008D69E7" w:rsidRPr="00976DDA">
        <w:rPr>
          <w:szCs w:val="20"/>
          <w:lang w:eastAsia="en-US"/>
        </w:rPr>
        <w:t xml:space="preserve"> r., poz. </w:t>
      </w:r>
      <w:r w:rsidR="008D69E7">
        <w:rPr>
          <w:szCs w:val="20"/>
          <w:lang w:eastAsia="en-US"/>
        </w:rPr>
        <w:t>1129 ze zm.</w:t>
      </w:r>
      <w:r w:rsidR="008D69E7" w:rsidRPr="00976DDA">
        <w:rPr>
          <w:szCs w:val="20"/>
          <w:lang w:eastAsia="en-US"/>
        </w:rPr>
        <w:t xml:space="preserve">) </w:t>
      </w:r>
      <w:r w:rsidR="008D69E7" w:rsidRPr="00D9777E">
        <w:rPr>
          <w:rFonts w:eastAsia="Calibri"/>
          <w:szCs w:val="20"/>
          <w:lang w:eastAsia="en-US"/>
        </w:rPr>
        <w:t>Zamawiający wprowadza zmianę treści specyfikacji warunków zamówienia</w:t>
      </w:r>
      <w:r w:rsidR="008D69E7">
        <w:rPr>
          <w:rFonts w:eastAsia="Calibri"/>
          <w:szCs w:val="20"/>
          <w:lang w:eastAsia="en-US"/>
        </w:rPr>
        <w:t xml:space="preserve"> oraz ogłoszenia o zamówieniu</w:t>
      </w:r>
      <w:r w:rsidR="008D69E7" w:rsidRPr="00D9777E">
        <w:rPr>
          <w:rFonts w:eastAsia="Calibri"/>
          <w:szCs w:val="20"/>
          <w:lang w:eastAsia="en-US"/>
        </w:rPr>
        <w:t>, tj.:</w:t>
      </w:r>
    </w:p>
    <w:p w14:paraId="6460EA0D" w14:textId="77777777" w:rsidR="008D69E7" w:rsidRPr="00D9777E" w:rsidRDefault="008D69E7" w:rsidP="008D69E7">
      <w:pPr>
        <w:numPr>
          <w:ilvl w:val="0"/>
          <w:numId w:val="7"/>
        </w:numPr>
        <w:spacing w:after="200" w:line="276" w:lineRule="auto"/>
        <w:ind w:left="284" w:hanging="284"/>
        <w:contextualSpacing/>
        <w:jc w:val="both"/>
        <w:rPr>
          <w:rFonts w:eastAsia="Calibri"/>
          <w:b/>
          <w:szCs w:val="20"/>
          <w:lang w:eastAsia="en-US"/>
        </w:rPr>
      </w:pPr>
      <w:r w:rsidRPr="00D9777E">
        <w:rPr>
          <w:rFonts w:eastAsia="Calibri"/>
          <w:b/>
          <w:szCs w:val="20"/>
          <w:lang w:eastAsia="en-US"/>
        </w:rPr>
        <w:t xml:space="preserve">Zmienia pkt </w:t>
      </w:r>
      <w:r>
        <w:rPr>
          <w:rFonts w:eastAsia="Calibri"/>
          <w:b/>
          <w:szCs w:val="20"/>
          <w:lang w:eastAsia="en-US"/>
        </w:rPr>
        <w:t>14.1. S</w:t>
      </w:r>
      <w:r w:rsidRPr="00D9777E">
        <w:rPr>
          <w:rFonts w:eastAsia="Calibri"/>
          <w:b/>
          <w:szCs w:val="20"/>
          <w:lang w:eastAsia="en-US"/>
        </w:rPr>
        <w:t>WZ, który otrzymuje brzmienie:</w:t>
      </w:r>
    </w:p>
    <w:p w14:paraId="74FFDF91" w14:textId="642D9499" w:rsidR="008D69E7" w:rsidRPr="00D40FB7" w:rsidRDefault="008D69E7" w:rsidP="008D69E7">
      <w:pPr>
        <w:keepNext/>
        <w:spacing w:before="120" w:after="120" w:line="276" w:lineRule="auto"/>
        <w:jc w:val="both"/>
        <w:outlineLvl w:val="3"/>
        <w:rPr>
          <w:szCs w:val="20"/>
          <w:lang w:eastAsia="en-US"/>
        </w:rPr>
      </w:pPr>
      <w:r w:rsidRPr="000B665A">
        <w:rPr>
          <w:szCs w:val="20"/>
          <w:lang w:eastAsia="en-US"/>
        </w:rPr>
        <w:t>„</w:t>
      </w:r>
      <w:r>
        <w:rPr>
          <w:szCs w:val="20"/>
          <w:lang w:eastAsia="en-US"/>
        </w:rPr>
        <w:t xml:space="preserve">14.1 </w:t>
      </w:r>
      <w:r w:rsidRPr="000B665A">
        <w:rPr>
          <w:szCs w:val="20"/>
          <w:lang w:eastAsia="en-US"/>
        </w:rPr>
        <w:t xml:space="preserve">Wykonawca jest związany ofertą przez okres 30 dni od dnia upływu terminu składania ofert (art. 307 ust. 1 ustawy </w:t>
      </w:r>
      <w:proofErr w:type="spellStart"/>
      <w:r w:rsidRPr="000B665A">
        <w:rPr>
          <w:szCs w:val="20"/>
          <w:lang w:eastAsia="en-US"/>
        </w:rPr>
        <w:t>Pzp</w:t>
      </w:r>
      <w:proofErr w:type="spellEnd"/>
      <w:r w:rsidRPr="000B665A">
        <w:rPr>
          <w:szCs w:val="20"/>
          <w:lang w:eastAsia="en-US"/>
        </w:rPr>
        <w:t xml:space="preserve">). tj.: do dnia </w:t>
      </w:r>
      <w:r w:rsidRPr="00D40FB7">
        <w:rPr>
          <w:b/>
          <w:szCs w:val="20"/>
          <w:lang w:eastAsia="en-US"/>
        </w:rPr>
        <w:t>0</w:t>
      </w:r>
      <w:r w:rsidR="00CA124F">
        <w:rPr>
          <w:b/>
          <w:szCs w:val="20"/>
          <w:lang w:eastAsia="en-US"/>
        </w:rPr>
        <w:t>6</w:t>
      </w:r>
      <w:r w:rsidRPr="00D40FB7">
        <w:rPr>
          <w:b/>
          <w:szCs w:val="20"/>
          <w:lang w:eastAsia="en-US"/>
        </w:rPr>
        <w:t>.04.2022 r..</w:t>
      </w:r>
      <w:r w:rsidRPr="00D40FB7">
        <w:rPr>
          <w:szCs w:val="20"/>
          <w:lang w:eastAsia="en-US"/>
        </w:rPr>
        <w:t xml:space="preserve"> Bieg terminu związania ofertą rozpoczyna się wraz </w:t>
      </w:r>
      <w:r w:rsidR="00A96705" w:rsidRPr="00D40FB7">
        <w:rPr>
          <w:szCs w:val="20"/>
          <w:lang w:eastAsia="en-US"/>
        </w:rPr>
        <w:br/>
      </w:r>
      <w:r w:rsidRPr="00D40FB7">
        <w:rPr>
          <w:szCs w:val="20"/>
          <w:lang w:eastAsia="en-US"/>
        </w:rPr>
        <w:t>z upływem terminu składania ofert.”</w:t>
      </w:r>
    </w:p>
    <w:p w14:paraId="1730BEA1" w14:textId="77777777" w:rsidR="008D69E7" w:rsidRPr="00D40FB7" w:rsidRDefault="008D69E7" w:rsidP="008D69E7">
      <w:pPr>
        <w:numPr>
          <w:ilvl w:val="0"/>
          <w:numId w:val="7"/>
        </w:numPr>
        <w:spacing w:after="200" w:line="276" w:lineRule="auto"/>
        <w:ind w:left="284" w:hanging="284"/>
        <w:contextualSpacing/>
        <w:jc w:val="both"/>
        <w:rPr>
          <w:rFonts w:eastAsia="Calibri"/>
          <w:b/>
          <w:szCs w:val="20"/>
          <w:lang w:eastAsia="en-US"/>
        </w:rPr>
      </w:pPr>
      <w:r w:rsidRPr="00D40FB7">
        <w:rPr>
          <w:rFonts w:eastAsia="Calibri"/>
          <w:b/>
          <w:szCs w:val="20"/>
          <w:lang w:eastAsia="en-US"/>
        </w:rPr>
        <w:t>Zmienia pkt 15.1. SWZ, który otrzymuje brzmienie:</w:t>
      </w:r>
    </w:p>
    <w:p w14:paraId="440DF131" w14:textId="394DE039" w:rsidR="008D69E7" w:rsidRPr="00D40FB7" w:rsidRDefault="008D69E7" w:rsidP="008D69E7">
      <w:pPr>
        <w:keepNext/>
        <w:spacing w:before="120" w:after="120" w:line="276" w:lineRule="auto"/>
        <w:jc w:val="both"/>
        <w:outlineLvl w:val="3"/>
        <w:rPr>
          <w:szCs w:val="20"/>
          <w:lang w:eastAsia="en-US"/>
        </w:rPr>
      </w:pPr>
      <w:r w:rsidRPr="00D40FB7">
        <w:rPr>
          <w:szCs w:val="20"/>
          <w:lang w:eastAsia="en-US"/>
        </w:rPr>
        <w:lastRenderedPageBreak/>
        <w:t xml:space="preserve">„15.1 Ofertę wraz z wymaganymi dokumentami należy umieścić na </w:t>
      </w:r>
      <w:hyperlink r:id="rId12" w:history="1">
        <w:r w:rsidRPr="00D40FB7">
          <w:rPr>
            <w:szCs w:val="20"/>
            <w:lang w:eastAsia="en-US"/>
          </w:rPr>
          <w:t>platformazakupowa.pl</w:t>
        </w:r>
      </w:hyperlink>
      <w:r w:rsidRPr="00D40FB7">
        <w:rPr>
          <w:szCs w:val="20"/>
          <w:lang w:eastAsia="en-US"/>
        </w:rPr>
        <w:t xml:space="preserve"> pod adresem: </w:t>
      </w:r>
      <w:hyperlink r:id="rId13" w:history="1">
        <w:r w:rsidRPr="00D40FB7">
          <w:rPr>
            <w:b/>
            <w:szCs w:val="20"/>
            <w:lang w:eastAsia="en-US"/>
          </w:rPr>
          <w:t>https://platformazakupowa.pl/pn/czersk</w:t>
        </w:r>
      </w:hyperlink>
      <w:r w:rsidRPr="00D40FB7">
        <w:rPr>
          <w:szCs w:val="20"/>
          <w:lang w:eastAsia="en-US"/>
        </w:rPr>
        <w:t xml:space="preserve"> do dnia </w:t>
      </w:r>
      <w:r w:rsidR="00CA124F" w:rsidRPr="00CA124F">
        <w:rPr>
          <w:b/>
          <w:bCs/>
          <w:szCs w:val="20"/>
          <w:lang w:eastAsia="en-US"/>
        </w:rPr>
        <w:t>08</w:t>
      </w:r>
      <w:r w:rsidRPr="00D40FB7">
        <w:rPr>
          <w:b/>
          <w:szCs w:val="20"/>
          <w:lang w:eastAsia="en-US"/>
        </w:rPr>
        <w:t>.03.2022 r. do godz. 9:00.”</w:t>
      </w:r>
    </w:p>
    <w:p w14:paraId="65EAC24F" w14:textId="77777777" w:rsidR="008D69E7" w:rsidRPr="00D40FB7" w:rsidRDefault="008D69E7" w:rsidP="008D69E7">
      <w:pPr>
        <w:numPr>
          <w:ilvl w:val="0"/>
          <w:numId w:val="7"/>
        </w:numPr>
        <w:spacing w:after="200" w:line="276" w:lineRule="auto"/>
        <w:ind w:left="284" w:hanging="284"/>
        <w:contextualSpacing/>
        <w:jc w:val="both"/>
        <w:rPr>
          <w:rFonts w:eastAsia="Calibri"/>
          <w:b/>
          <w:szCs w:val="20"/>
          <w:lang w:eastAsia="en-US"/>
        </w:rPr>
      </w:pPr>
      <w:r w:rsidRPr="00D40FB7">
        <w:rPr>
          <w:rFonts w:eastAsia="Calibri"/>
          <w:b/>
          <w:szCs w:val="20"/>
          <w:lang w:eastAsia="en-US"/>
        </w:rPr>
        <w:t>Zmienia pkt 16.1. SWZ, który otrzymuje brzmienie:</w:t>
      </w:r>
    </w:p>
    <w:p w14:paraId="7A2D44E9" w14:textId="4C980A62" w:rsidR="008D69E7" w:rsidRPr="00D40FB7" w:rsidRDefault="008D69E7" w:rsidP="008D69E7">
      <w:pPr>
        <w:keepNext/>
        <w:spacing w:before="120" w:after="120" w:line="276" w:lineRule="auto"/>
        <w:jc w:val="both"/>
        <w:outlineLvl w:val="3"/>
        <w:rPr>
          <w:szCs w:val="20"/>
          <w:lang w:eastAsia="en-US"/>
        </w:rPr>
      </w:pPr>
      <w:r w:rsidRPr="00D40FB7">
        <w:rPr>
          <w:szCs w:val="20"/>
          <w:lang w:eastAsia="en-US"/>
        </w:rPr>
        <w:t xml:space="preserve">„16.1 Otwarcie ofert nastąpi za pośrednictwem platformazakupowa.pl w dniu </w:t>
      </w:r>
      <w:r w:rsidR="00CA124F" w:rsidRPr="00CA124F">
        <w:rPr>
          <w:b/>
          <w:bCs/>
          <w:szCs w:val="20"/>
          <w:lang w:eastAsia="en-US"/>
        </w:rPr>
        <w:t>08</w:t>
      </w:r>
      <w:r w:rsidRPr="00D40FB7">
        <w:rPr>
          <w:b/>
          <w:szCs w:val="20"/>
          <w:lang w:eastAsia="en-US"/>
        </w:rPr>
        <w:t>.03.2022 r. o godz. 09:05.,</w:t>
      </w:r>
      <w:r w:rsidRPr="00D40FB7">
        <w:rPr>
          <w:szCs w:val="20"/>
          <w:lang w:eastAsia="en-US"/>
        </w:rPr>
        <w:t xml:space="preserve">tj. zgodnie z art. 222 ust. 1 ustawy </w:t>
      </w:r>
      <w:proofErr w:type="spellStart"/>
      <w:r w:rsidRPr="00D40FB7">
        <w:rPr>
          <w:szCs w:val="20"/>
          <w:lang w:eastAsia="en-US"/>
        </w:rPr>
        <w:t>Pzp</w:t>
      </w:r>
      <w:proofErr w:type="spellEnd"/>
      <w:r w:rsidRPr="00D40FB7">
        <w:rPr>
          <w:szCs w:val="20"/>
          <w:lang w:eastAsia="en-US"/>
        </w:rPr>
        <w:t>.”</w:t>
      </w:r>
    </w:p>
    <w:p w14:paraId="35B99448" w14:textId="77777777" w:rsidR="008D69E7" w:rsidRPr="00D40FB7" w:rsidRDefault="008D69E7" w:rsidP="008D69E7">
      <w:pPr>
        <w:spacing w:line="360" w:lineRule="auto"/>
        <w:ind w:firstLine="708"/>
        <w:jc w:val="both"/>
        <w:rPr>
          <w:rFonts w:eastAsia="Calibri"/>
          <w:szCs w:val="20"/>
          <w:lang w:eastAsia="en-US"/>
        </w:rPr>
      </w:pPr>
      <w:r w:rsidRPr="00D40FB7">
        <w:rPr>
          <w:rFonts w:eastAsia="Calibri"/>
          <w:szCs w:val="20"/>
          <w:lang w:eastAsia="en-US"/>
        </w:rPr>
        <w:t>Powyższe zmiany prowadzą do zmiany treści Ogłoszenia o zamówieniu. W związku z tym Zamawiający zamieszcza ogłoszenie o zmianie ogłoszenia w Biuletynie Zamówień Publicznych.</w:t>
      </w:r>
    </w:p>
    <w:p w14:paraId="2B7A6EE4" w14:textId="74110920" w:rsidR="008D69E7" w:rsidRDefault="008D69E7" w:rsidP="00A96705">
      <w:pPr>
        <w:spacing w:line="360" w:lineRule="auto"/>
        <w:jc w:val="both"/>
        <w:rPr>
          <w:rFonts w:eastAsia="Calibri"/>
          <w:b/>
          <w:szCs w:val="20"/>
          <w:u w:val="single"/>
          <w:lang w:eastAsia="en-US"/>
        </w:rPr>
      </w:pPr>
      <w:r w:rsidRPr="00D40FB7">
        <w:rPr>
          <w:rFonts w:eastAsia="Calibri"/>
          <w:b/>
          <w:szCs w:val="20"/>
          <w:u w:val="single"/>
          <w:lang w:eastAsia="en-US"/>
        </w:rPr>
        <w:t xml:space="preserve">Termin składania ofert zostaje przedłużony do dnia </w:t>
      </w:r>
      <w:r w:rsidR="00CA124F">
        <w:rPr>
          <w:rFonts w:eastAsia="Calibri"/>
          <w:b/>
          <w:szCs w:val="20"/>
          <w:u w:val="single"/>
          <w:lang w:eastAsia="en-US"/>
        </w:rPr>
        <w:t>08</w:t>
      </w:r>
      <w:r w:rsidRPr="00D40FB7">
        <w:rPr>
          <w:rFonts w:eastAsia="Calibri"/>
          <w:b/>
          <w:szCs w:val="20"/>
          <w:u w:val="single"/>
          <w:lang w:eastAsia="en-US"/>
        </w:rPr>
        <w:t xml:space="preserve"> marca 2022 roku do godz. 09:00.</w:t>
      </w:r>
    </w:p>
    <w:p w14:paraId="2DA81EE2" w14:textId="77777777" w:rsidR="0016779C" w:rsidRPr="00D40FB7" w:rsidRDefault="0016779C" w:rsidP="00A96705">
      <w:pPr>
        <w:spacing w:line="360" w:lineRule="auto"/>
        <w:jc w:val="both"/>
        <w:rPr>
          <w:rFonts w:eastAsia="Calibri"/>
          <w:b/>
          <w:szCs w:val="20"/>
          <w:u w:val="single"/>
          <w:lang w:eastAsia="en-US"/>
        </w:rPr>
      </w:pPr>
    </w:p>
    <w:p w14:paraId="12FCE76A" w14:textId="77777777" w:rsidR="00527072" w:rsidRPr="00066652" w:rsidRDefault="00527072" w:rsidP="00066652">
      <w:pPr>
        <w:spacing w:after="200" w:line="276" w:lineRule="auto"/>
        <w:ind w:left="4956" w:firstLine="708"/>
        <w:jc w:val="right"/>
        <w:rPr>
          <w:rFonts w:eastAsia="Calibri"/>
          <w:b/>
          <w:szCs w:val="20"/>
          <w:lang w:eastAsia="en-US"/>
        </w:rPr>
      </w:pPr>
      <w:r w:rsidRPr="00D40FB7">
        <w:rPr>
          <w:rFonts w:eastAsia="Calibri"/>
          <w:b/>
          <w:szCs w:val="20"/>
          <w:lang w:eastAsia="en-US"/>
        </w:rPr>
        <w:t>Z poważaniem</w:t>
      </w:r>
      <w:r w:rsidRPr="0063047F">
        <w:rPr>
          <w:rFonts w:eastAsia="Calibri"/>
          <w:b/>
          <w:szCs w:val="20"/>
          <w:lang w:eastAsia="en-US"/>
        </w:rPr>
        <w:t>,</w:t>
      </w:r>
    </w:p>
    <w:p w14:paraId="0B468509" w14:textId="77777777" w:rsidR="00527072" w:rsidRDefault="00527072" w:rsidP="00527072">
      <w:pPr>
        <w:rPr>
          <w:b/>
          <w:szCs w:val="20"/>
        </w:rPr>
      </w:pPr>
    </w:p>
    <w:p w14:paraId="2B6A4E3D" w14:textId="77777777" w:rsidR="00066652" w:rsidRDefault="00066652" w:rsidP="00527072">
      <w:pPr>
        <w:rPr>
          <w:b/>
          <w:szCs w:val="20"/>
        </w:rPr>
      </w:pPr>
    </w:p>
    <w:p w14:paraId="284834D5" w14:textId="77777777" w:rsidR="00527072" w:rsidRPr="0063047F" w:rsidRDefault="00527072" w:rsidP="00527072">
      <w:pPr>
        <w:rPr>
          <w:b/>
          <w:szCs w:val="20"/>
        </w:rPr>
      </w:pPr>
    </w:p>
    <w:p w14:paraId="751F8B78" w14:textId="77777777" w:rsidR="00904ACA" w:rsidRDefault="00904ACA" w:rsidP="00527072">
      <w:pPr>
        <w:rPr>
          <w:b/>
          <w:szCs w:val="20"/>
        </w:rPr>
      </w:pPr>
    </w:p>
    <w:p w14:paraId="56366E5B" w14:textId="77777777" w:rsidR="008D69E7" w:rsidRPr="008D69E7" w:rsidRDefault="008D69E7" w:rsidP="008D69E7">
      <w:pPr>
        <w:rPr>
          <w:b/>
          <w:szCs w:val="20"/>
        </w:rPr>
      </w:pPr>
    </w:p>
    <w:p w14:paraId="01348B54" w14:textId="426A77EA" w:rsidR="00015275" w:rsidRDefault="00015275" w:rsidP="008D69E7">
      <w:pPr>
        <w:rPr>
          <w:b/>
          <w:szCs w:val="20"/>
        </w:rPr>
      </w:pPr>
    </w:p>
    <w:p w14:paraId="09872D1E" w14:textId="21DA9AF6" w:rsidR="00D40FB7" w:rsidRDefault="00D40FB7" w:rsidP="008D69E7">
      <w:pPr>
        <w:rPr>
          <w:b/>
          <w:szCs w:val="20"/>
        </w:rPr>
      </w:pPr>
    </w:p>
    <w:p w14:paraId="5A7798A5" w14:textId="3927E482" w:rsidR="00D40FB7" w:rsidRDefault="00D40FB7" w:rsidP="008D69E7">
      <w:pPr>
        <w:rPr>
          <w:b/>
          <w:szCs w:val="20"/>
        </w:rPr>
      </w:pPr>
    </w:p>
    <w:p w14:paraId="4A761EA6" w14:textId="3082B4D3" w:rsidR="00D40FB7" w:rsidRDefault="00D40FB7" w:rsidP="008D69E7">
      <w:pPr>
        <w:rPr>
          <w:b/>
          <w:szCs w:val="20"/>
        </w:rPr>
      </w:pPr>
    </w:p>
    <w:p w14:paraId="215FD96C" w14:textId="7524C4BF" w:rsidR="00D40FB7" w:rsidRDefault="00D40FB7" w:rsidP="008D69E7">
      <w:pPr>
        <w:rPr>
          <w:b/>
          <w:szCs w:val="20"/>
        </w:rPr>
      </w:pPr>
    </w:p>
    <w:p w14:paraId="1E9CBC4A" w14:textId="7DF021BF" w:rsidR="00D40FB7" w:rsidRDefault="00D40FB7" w:rsidP="008D69E7">
      <w:pPr>
        <w:rPr>
          <w:b/>
          <w:szCs w:val="20"/>
        </w:rPr>
      </w:pPr>
    </w:p>
    <w:p w14:paraId="004B8571" w14:textId="6C4AE6A3" w:rsidR="00D40FB7" w:rsidRDefault="00D40FB7" w:rsidP="008D69E7">
      <w:pPr>
        <w:rPr>
          <w:b/>
          <w:szCs w:val="20"/>
        </w:rPr>
      </w:pPr>
    </w:p>
    <w:p w14:paraId="107EE9F7" w14:textId="6FE2560F" w:rsidR="00D40FB7" w:rsidRDefault="00D40FB7" w:rsidP="008D69E7">
      <w:pPr>
        <w:rPr>
          <w:b/>
          <w:szCs w:val="20"/>
        </w:rPr>
      </w:pPr>
    </w:p>
    <w:p w14:paraId="590C7987" w14:textId="4E9F2874" w:rsidR="00D40FB7" w:rsidRDefault="00D40FB7" w:rsidP="008D69E7">
      <w:pPr>
        <w:rPr>
          <w:b/>
          <w:szCs w:val="20"/>
        </w:rPr>
      </w:pPr>
    </w:p>
    <w:p w14:paraId="4ADFC002" w14:textId="04D5ECB7" w:rsidR="00D40FB7" w:rsidRDefault="00D40FB7" w:rsidP="008D69E7">
      <w:pPr>
        <w:rPr>
          <w:b/>
          <w:szCs w:val="20"/>
        </w:rPr>
      </w:pPr>
    </w:p>
    <w:p w14:paraId="1DE6CFBF" w14:textId="3ABC8CC2" w:rsidR="00D40FB7" w:rsidRDefault="00D40FB7" w:rsidP="008D69E7">
      <w:pPr>
        <w:rPr>
          <w:b/>
          <w:szCs w:val="20"/>
        </w:rPr>
      </w:pPr>
    </w:p>
    <w:p w14:paraId="6E70B50E" w14:textId="74DEDE55" w:rsidR="00D40FB7" w:rsidRDefault="00D40FB7" w:rsidP="008D69E7">
      <w:pPr>
        <w:rPr>
          <w:b/>
          <w:szCs w:val="20"/>
        </w:rPr>
      </w:pPr>
    </w:p>
    <w:p w14:paraId="250453A6" w14:textId="3209C905" w:rsidR="00D40FB7" w:rsidRDefault="00D40FB7" w:rsidP="008D69E7">
      <w:pPr>
        <w:rPr>
          <w:b/>
          <w:szCs w:val="20"/>
        </w:rPr>
      </w:pPr>
    </w:p>
    <w:p w14:paraId="3C7183C2" w14:textId="69D87321" w:rsidR="00D40FB7" w:rsidRDefault="00D40FB7" w:rsidP="008D69E7">
      <w:pPr>
        <w:rPr>
          <w:b/>
          <w:szCs w:val="20"/>
        </w:rPr>
      </w:pPr>
    </w:p>
    <w:p w14:paraId="2FC5A809" w14:textId="4CCC1C16" w:rsidR="00D40FB7" w:rsidRDefault="00D40FB7" w:rsidP="008D69E7">
      <w:pPr>
        <w:rPr>
          <w:b/>
          <w:szCs w:val="20"/>
        </w:rPr>
      </w:pPr>
    </w:p>
    <w:p w14:paraId="4D5E6862" w14:textId="583C89CB" w:rsidR="00D40FB7" w:rsidRDefault="00D40FB7" w:rsidP="008D69E7">
      <w:pPr>
        <w:rPr>
          <w:b/>
          <w:szCs w:val="20"/>
        </w:rPr>
      </w:pPr>
    </w:p>
    <w:p w14:paraId="257F0AA9" w14:textId="15C8CE0A" w:rsidR="00D40FB7" w:rsidRDefault="00D40FB7" w:rsidP="008D69E7">
      <w:pPr>
        <w:rPr>
          <w:b/>
          <w:szCs w:val="20"/>
        </w:rPr>
      </w:pPr>
    </w:p>
    <w:p w14:paraId="53950489" w14:textId="16DBF0BC" w:rsidR="00D40FB7" w:rsidRDefault="00D40FB7" w:rsidP="008D69E7">
      <w:pPr>
        <w:rPr>
          <w:b/>
          <w:szCs w:val="20"/>
        </w:rPr>
      </w:pPr>
    </w:p>
    <w:p w14:paraId="0EAF2488" w14:textId="70192CC7" w:rsidR="00D40FB7" w:rsidRDefault="00D40FB7" w:rsidP="008D69E7">
      <w:pPr>
        <w:rPr>
          <w:b/>
          <w:szCs w:val="20"/>
        </w:rPr>
      </w:pPr>
    </w:p>
    <w:p w14:paraId="10D7B10D" w14:textId="3DB002C9" w:rsidR="00D40FB7" w:rsidRDefault="00D40FB7" w:rsidP="008D69E7">
      <w:pPr>
        <w:rPr>
          <w:b/>
          <w:szCs w:val="20"/>
        </w:rPr>
      </w:pPr>
    </w:p>
    <w:p w14:paraId="2467A24D" w14:textId="36CA302D" w:rsidR="00D40FB7" w:rsidRDefault="00D40FB7" w:rsidP="008D69E7">
      <w:pPr>
        <w:rPr>
          <w:b/>
          <w:szCs w:val="20"/>
        </w:rPr>
      </w:pPr>
    </w:p>
    <w:p w14:paraId="05A6FDC7" w14:textId="25B58E95" w:rsidR="00D40FB7" w:rsidRDefault="00D40FB7" w:rsidP="008D69E7">
      <w:pPr>
        <w:rPr>
          <w:b/>
          <w:szCs w:val="20"/>
        </w:rPr>
      </w:pPr>
    </w:p>
    <w:p w14:paraId="412BB2BC" w14:textId="4474B083" w:rsidR="0016779C" w:rsidRDefault="0016779C" w:rsidP="008D69E7">
      <w:pPr>
        <w:rPr>
          <w:b/>
          <w:szCs w:val="20"/>
        </w:rPr>
      </w:pPr>
    </w:p>
    <w:p w14:paraId="4BA45FBD" w14:textId="7BF9C0CE" w:rsidR="0016779C" w:rsidRDefault="0016779C" w:rsidP="008D69E7">
      <w:pPr>
        <w:rPr>
          <w:b/>
          <w:szCs w:val="20"/>
        </w:rPr>
      </w:pPr>
    </w:p>
    <w:p w14:paraId="3766954C" w14:textId="757A6530" w:rsidR="0016779C" w:rsidRDefault="0016779C" w:rsidP="008D69E7">
      <w:pPr>
        <w:rPr>
          <w:b/>
          <w:szCs w:val="20"/>
        </w:rPr>
      </w:pPr>
    </w:p>
    <w:p w14:paraId="7388E7CF" w14:textId="6631D653" w:rsidR="0016779C" w:rsidRDefault="0016779C" w:rsidP="008D69E7">
      <w:pPr>
        <w:rPr>
          <w:b/>
          <w:szCs w:val="20"/>
        </w:rPr>
      </w:pPr>
    </w:p>
    <w:p w14:paraId="20F81E2C" w14:textId="69AA46AA" w:rsidR="0016779C" w:rsidRDefault="0016779C" w:rsidP="008D69E7">
      <w:pPr>
        <w:rPr>
          <w:b/>
          <w:szCs w:val="20"/>
        </w:rPr>
      </w:pPr>
    </w:p>
    <w:p w14:paraId="4465C8F1" w14:textId="0FDA8F95" w:rsidR="0016779C" w:rsidRDefault="0016779C" w:rsidP="008D69E7">
      <w:pPr>
        <w:rPr>
          <w:b/>
          <w:szCs w:val="20"/>
        </w:rPr>
      </w:pPr>
    </w:p>
    <w:p w14:paraId="4EC30C4A" w14:textId="2BBB3F76" w:rsidR="0016779C" w:rsidRDefault="0016779C" w:rsidP="008D69E7">
      <w:pPr>
        <w:rPr>
          <w:b/>
          <w:szCs w:val="20"/>
        </w:rPr>
      </w:pPr>
    </w:p>
    <w:p w14:paraId="497E5DC5" w14:textId="77777777" w:rsidR="0016779C" w:rsidRDefault="0016779C" w:rsidP="008D69E7">
      <w:pPr>
        <w:rPr>
          <w:b/>
          <w:szCs w:val="20"/>
        </w:rPr>
      </w:pPr>
    </w:p>
    <w:p w14:paraId="57D1C911" w14:textId="77777777" w:rsidR="008D69E7" w:rsidRPr="008D69E7" w:rsidRDefault="008D69E7" w:rsidP="008D69E7">
      <w:pPr>
        <w:rPr>
          <w:szCs w:val="20"/>
        </w:rPr>
      </w:pPr>
      <w:r w:rsidRPr="008D69E7">
        <w:rPr>
          <w:b/>
          <w:szCs w:val="20"/>
        </w:rPr>
        <w:t>Załączniki:</w:t>
      </w:r>
    </w:p>
    <w:p w14:paraId="261B69D2" w14:textId="77777777" w:rsidR="00FA3120" w:rsidRPr="00135F81" w:rsidRDefault="008D69E7" w:rsidP="00527072">
      <w:pPr>
        <w:pStyle w:val="Akapitzlist"/>
        <w:numPr>
          <w:ilvl w:val="0"/>
          <w:numId w:val="10"/>
        </w:numPr>
        <w:ind w:left="284" w:hanging="284"/>
        <w:jc w:val="both"/>
        <w:rPr>
          <w:rFonts w:ascii="Arial" w:hAnsi="Arial" w:cs="Arial"/>
          <w:sz w:val="20"/>
          <w:szCs w:val="20"/>
        </w:rPr>
      </w:pPr>
      <w:r w:rsidRPr="00135F81">
        <w:rPr>
          <w:rFonts w:ascii="Arial" w:hAnsi="Arial" w:cs="Arial"/>
          <w:sz w:val="20"/>
          <w:szCs w:val="20"/>
        </w:rPr>
        <w:t>Ogłoszenie o zmianie ogłoszenia</w:t>
      </w:r>
    </w:p>
    <w:p w14:paraId="17028F34" w14:textId="77777777" w:rsidR="00D40FB7" w:rsidRDefault="00D40FB7" w:rsidP="00527072">
      <w:pPr>
        <w:rPr>
          <w:b/>
          <w:szCs w:val="20"/>
        </w:rPr>
      </w:pPr>
    </w:p>
    <w:p w14:paraId="04B757AA" w14:textId="39D76320" w:rsidR="00527072" w:rsidRPr="0063047F" w:rsidRDefault="00527072" w:rsidP="00527072">
      <w:pPr>
        <w:rPr>
          <w:b/>
          <w:szCs w:val="20"/>
        </w:rPr>
      </w:pPr>
      <w:r w:rsidRPr="0063047F">
        <w:rPr>
          <w:b/>
          <w:szCs w:val="20"/>
        </w:rPr>
        <w:t>Otrzymują:</w:t>
      </w:r>
    </w:p>
    <w:p w14:paraId="08AAB4FB" w14:textId="7B9FC238" w:rsidR="00527072" w:rsidRPr="0063047F" w:rsidRDefault="00527072" w:rsidP="00527072">
      <w:pPr>
        <w:spacing w:line="276" w:lineRule="auto"/>
        <w:jc w:val="both"/>
        <w:rPr>
          <w:rFonts w:eastAsia="Calibri"/>
          <w:szCs w:val="20"/>
          <w:lang w:eastAsia="en-US"/>
        </w:rPr>
      </w:pPr>
      <w:r w:rsidRPr="0063047F">
        <w:rPr>
          <w:rFonts w:eastAsia="Calibri"/>
          <w:szCs w:val="20"/>
          <w:lang w:eastAsia="en-US"/>
        </w:rPr>
        <w:t xml:space="preserve">1) strona </w:t>
      </w:r>
      <w:r w:rsidR="00F75556">
        <w:rPr>
          <w:rFonts w:eastAsia="Calibri"/>
          <w:szCs w:val="20"/>
          <w:lang w:eastAsia="en-US"/>
        </w:rPr>
        <w:t>prowadzonego postępowania</w:t>
      </w:r>
      <w:r w:rsidRPr="0063047F">
        <w:rPr>
          <w:rFonts w:eastAsia="Calibri"/>
          <w:szCs w:val="20"/>
          <w:lang w:eastAsia="en-US"/>
        </w:rPr>
        <w:t xml:space="preserve">: </w:t>
      </w:r>
      <w:hyperlink r:id="rId14" w:history="1">
        <w:r w:rsidR="00F75556" w:rsidRPr="005B36A7">
          <w:rPr>
            <w:b/>
            <w:szCs w:val="20"/>
            <w:lang w:eastAsia="en-US"/>
          </w:rPr>
          <w:t>https://platformazakupowa.pl/pn/czersk</w:t>
        </w:r>
      </w:hyperlink>
    </w:p>
    <w:p w14:paraId="17EDB8B5" w14:textId="77777777" w:rsidR="00D65772" w:rsidRPr="00527072" w:rsidRDefault="00527072" w:rsidP="00DD29F9">
      <w:pPr>
        <w:widowControl w:val="0"/>
        <w:tabs>
          <w:tab w:val="left" w:pos="284"/>
          <w:tab w:val="right" w:leader="dot" w:pos="9072"/>
        </w:tabs>
        <w:autoSpaceDE w:val="0"/>
        <w:autoSpaceDN w:val="0"/>
        <w:adjustRightInd w:val="0"/>
        <w:spacing w:line="276" w:lineRule="auto"/>
        <w:ind w:right="-1"/>
        <w:jc w:val="both"/>
        <w:rPr>
          <w:rFonts w:eastAsia="Times New Roman"/>
          <w:szCs w:val="16"/>
        </w:rPr>
      </w:pPr>
      <w:r w:rsidRPr="0063047F">
        <w:rPr>
          <w:rFonts w:eastAsia="Calibri"/>
          <w:szCs w:val="20"/>
          <w:lang w:eastAsia="en-US"/>
        </w:rPr>
        <w:t xml:space="preserve">2) a/a </w:t>
      </w:r>
    </w:p>
    <w:sectPr w:rsidR="00D65772" w:rsidRPr="00527072" w:rsidSect="001F4C4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4308" w14:textId="77777777" w:rsidR="008850FF" w:rsidRDefault="008850FF" w:rsidP="00A73AAE">
      <w:r>
        <w:separator/>
      </w:r>
    </w:p>
  </w:endnote>
  <w:endnote w:type="continuationSeparator" w:id="0">
    <w:p w14:paraId="0D5EA969" w14:textId="77777777" w:rsidR="008850FF" w:rsidRDefault="008850FF"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2B36"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4183" w14:textId="77777777" w:rsidR="00C37A1E" w:rsidRDefault="00C37A1E" w:rsidP="00A73AAE">
    <w:pPr>
      <w:pStyle w:val="Stopka"/>
      <w:jc w:val="center"/>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436FAEF1" w14:textId="77777777" w:rsidTr="00A73AAE">
      <w:tc>
        <w:tcPr>
          <w:tcW w:w="7000" w:type="dxa"/>
          <w:shd w:val="clear" w:color="auto" w:fill="auto"/>
        </w:tcPr>
        <w:p w14:paraId="4D831069" w14:textId="77777777" w:rsidR="00C37A1E" w:rsidRDefault="00C37A1E" w:rsidP="00A73AAE">
          <w:pPr>
            <w:pStyle w:val="Stopka"/>
          </w:pPr>
        </w:p>
      </w:tc>
      <w:tc>
        <w:tcPr>
          <w:tcW w:w="1446" w:type="dxa"/>
          <w:shd w:val="clear" w:color="auto" w:fill="auto"/>
        </w:tcPr>
        <w:p w14:paraId="38197379" w14:textId="77777777" w:rsidR="00C37A1E" w:rsidRDefault="00C37A1E" w:rsidP="00A73AAE">
          <w:pPr>
            <w:pStyle w:val="Stopka"/>
            <w:jc w:val="right"/>
          </w:pPr>
        </w:p>
      </w:tc>
    </w:tr>
    <w:tr w:rsidR="00C37A1E" w14:paraId="76B57E04" w14:textId="77777777" w:rsidTr="00C37A1E">
      <w:tc>
        <w:tcPr>
          <w:tcW w:w="8446" w:type="dxa"/>
          <w:gridSpan w:val="2"/>
          <w:shd w:val="clear" w:color="auto" w:fill="auto"/>
        </w:tcPr>
        <w:p w14:paraId="2E97200E" w14:textId="77777777" w:rsidR="00C37A1E" w:rsidRDefault="00814345" w:rsidP="00A73AAE">
          <w:pPr>
            <w:pStyle w:val="Stopka"/>
          </w:pPr>
          <w:r>
            <w:rPr>
              <w:noProof/>
            </w:rPr>
            <w:drawing>
              <wp:anchor distT="0" distB="0" distL="114300" distR="114300" simplePos="0" relativeHeight="251657216" behindDoc="0" locked="0" layoutInCell="0" allowOverlap="1" wp14:anchorId="4A8A2F0E" wp14:editId="323C0ACC">
                <wp:simplePos x="0" y="0"/>
                <wp:positionH relativeFrom="page">
                  <wp:posOffset>286385</wp:posOffset>
                </wp:positionH>
                <wp:positionV relativeFrom="page">
                  <wp:posOffset>10271125</wp:posOffset>
                </wp:positionV>
                <wp:extent cx="7023735" cy="194310"/>
                <wp:effectExtent l="0" t="0" r="5715" b="0"/>
                <wp:wrapNone/>
                <wp:docPr id="1"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tc>
    </w:tr>
  </w:tbl>
  <w:p w14:paraId="2BB063DA" w14:textId="77777777" w:rsidR="00C37A1E" w:rsidRDefault="00C37A1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6BB9" w14:textId="77777777" w:rsidR="00C37A1E" w:rsidRDefault="00C37A1E">
    <w:pPr>
      <w:pStyle w:val="Stopka"/>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7F6F7208" w14:textId="77777777" w:rsidTr="00A73AAE">
      <w:tc>
        <w:tcPr>
          <w:tcW w:w="7000" w:type="dxa"/>
          <w:shd w:val="clear" w:color="auto" w:fill="auto"/>
        </w:tcPr>
        <w:p w14:paraId="5F135DAA" w14:textId="77777777" w:rsidR="00C37A1E" w:rsidRDefault="00C37A1E" w:rsidP="00A73AAE">
          <w:pPr>
            <w:pStyle w:val="Stopka"/>
          </w:pPr>
        </w:p>
      </w:tc>
      <w:tc>
        <w:tcPr>
          <w:tcW w:w="1446" w:type="dxa"/>
          <w:shd w:val="clear" w:color="auto" w:fill="auto"/>
        </w:tcPr>
        <w:p w14:paraId="04FD2B36" w14:textId="77777777" w:rsidR="00C37A1E" w:rsidRDefault="00C37A1E" w:rsidP="00A73AAE">
          <w:pPr>
            <w:pStyle w:val="Stopka"/>
            <w:jc w:val="right"/>
          </w:pPr>
        </w:p>
      </w:tc>
    </w:tr>
    <w:tr w:rsidR="00C37A1E" w14:paraId="6EB26A20" w14:textId="77777777" w:rsidTr="00C37A1E">
      <w:tc>
        <w:tcPr>
          <w:tcW w:w="8446" w:type="dxa"/>
          <w:gridSpan w:val="2"/>
          <w:shd w:val="clear" w:color="auto" w:fill="auto"/>
        </w:tcPr>
        <w:p w14:paraId="71769EAE" w14:textId="77777777" w:rsidR="00C37A1E" w:rsidRDefault="00492D42" w:rsidP="00A73AAE">
          <w:pPr>
            <w:pStyle w:val="Stopka"/>
          </w:pPr>
          <w:r>
            <w:rPr>
              <w:noProof/>
            </w:rPr>
            <w:drawing>
              <wp:anchor distT="0" distB="0" distL="114300" distR="114300" simplePos="0" relativeHeight="251659264" behindDoc="0" locked="0" layoutInCell="0" allowOverlap="1" wp14:anchorId="0AB1DE6A" wp14:editId="64AE2F2B">
                <wp:simplePos x="0" y="0"/>
                <wp:positionH relativeFrom="page">
                  <wp:posOffset>381635</wp:posOffset>
                </wp:positionH>
                <wp:positionV relativeFrom="page">
                  <wp:posOffset>10194925</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tc>
    </w:tr>
  </w:tbl>
  <w:p w14:paraId="4D9E43A3"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6531" w14:textId="77777777" w:rsidR="008850FF" w:rsidRDefault="008850FF" w:rsidP="00A73AAE">
      <w:r>
        <w:separator/>
      </w:r>
    </w:p>
  </w:footnote>
  <w:footnote w:type="continuationSeparator" w:id="0">
    <w:p w14:paraId="2FB495F5" w14:textId="77777777" w:rsidR="008850FF" w:rsidRDefault="008850FF"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5919"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CB2E" w14:textId="77777777" w:rsidR="00C37A1E" w:rsidRDefault="00C37A1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B988" w14:textId="77777777" w:rsidR="00C37A1E" w:rsidRPr="00585BCD" w:rsidRDefault="00492D42" w:rsidP="00585BCD">
    <w:pPr>
      <w:pStyle w:val="Nagwek"/>
    </w:pPr>
    <w:r>
      <w:rPr>
        <w:noProof/>
      </w:rPr>
      <w:drawing>
        <wp:anchor distT="0" distB="0" distL="114300" distR="114300" simplePos="0" relativeHeight="251656192" behindDoc="0" locked="0" layoutInCell="0" allowOverlap="1" wp14:anchorId="4476FE5D" wp14:editId="24090FDA">
          <wp:simplePos x="0" y="0"/>
          <wp:positionH relativeFrom="page">
            <wp:posOffset>286385</wp:posOffset>
          </wp:positionH>
          <wp:positionV relativeFrom="page">
            <wp:posOffset>106680</wp:posOffset>
          </wp:positionV>
          <wp:extent cx="7019925" cy="752475"/>
          <wp:effectExtent l="0" t="0" r="9525" b="9525"/>
          <wp:wrapNone/>
          <wp:docPr id="54"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30F7"/>
    <w:multiLevelType w:val="hybridMultilevel"/>
    <w:tmpl w:val="9C98F5E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8A165F"/>
    <w:multiLevelType w:val="hybridMultilevel"/>
    <w:tmpl w:val="EB76CF80"/>
    <w:lvl w:ilvl="0" w:tplc="04150011">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DB135C"/>
    <w:multiLevelType w:val="hybridMultilevel"/>
    <w:tmpl w:val="9C98F5EC"/>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D6FF0"/>
    <w:multiLevelType w:val="hybridMultilevel"/>
    <w:tmpl w:val="2F36BB12"/>
    <w:lvl w:ilvl="0" w:tplc="2772C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228461A"/>
    <w:multiLevelType w:val="hybridMultilevel"/>
    <w:tmpl w:val="4626B610"/>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222931B7"/>
    <w:multiLevelType w:val="hybridMultilevel"/>
    <w:tmpl w:val="226AB5EC"/>
    <w:lvl w:ilvl="0" w:tplc="BCC2FC16">
      <w:start w:val="1"/>
      <w:numFmt w:val="decimal"/>
      <w:lvlText w:val="%1)"/>
      <w:lvlJc w:val="left"/>
      <w:pPr>
        <w:ind w:left="360" w:hanging="360"/>
      </w:pPr>
      <w:rPr>
        <w:rFonts w:ascii="Arial" w:hAnsi="Arial" w:cs="Aria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D848C9"/>
    <w:multiLevelType w:val="hybridMultilevel"/>
    <w:tmpl w:val="E500F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71567"/>
    <w:multiLevelType w:val="hybridMultilevel"/>
    <w:tmpl w:val="BD6C6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C52C61"/>
    <w:multiLevelType w:val="hybridMultilevel"/>
    <w:tmpl w:val="632AA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6E7C69"/>
    <w:multiLevelType w:val="hybridMultilevel"/>
    <w:tmpl w:val="27A0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F33388"/>
    <w:multiLevelType w:val="hybridMultilevel"/>
    <w:tmpl w:val="5A52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934943"/>
    <w:multiLevelType w:val="hybridMultilevel"/>
    <w:tmpl w:val="EB76CF80"/>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1E10AC"/>
    <w:multiLevelType w:val="hybridMultilevel"/>
    <w:tmpl w:val="B1A22AE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2"/>
  </w:num>
  <w:num w:numId="5">
    <w:abstractNumId w:val="1"/>
  </w:num>
  <w:num w:numId="6">
    <w:abstractNumId w:val="11"/>
  </w:num>
  <w:num w:numId="7">
    <w:abstractNumId w:val="4"/>
  </w:num>
  <w:num w:numId="8">
    <w:abstractNumId w:val="10"/>
  </w:num>
  <w:num w:numId="9">
    <w:abstractNumId w:val="9"/>
  </w:num>
  <w:num w:numId="10">
    <w:abstractNumId w:val="6"/>
  </w:num>
  <w:num w:numId="11">
    <w:abstractNumId w:val="8"/>
  </w:num>
  <w:num w:numId="12">
    <w:abstractNumId w:val="7"/>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10339"/>
    <w:rsid w:val="00015275"/>
    <w:rsid w:val="000169E5"/>
    <w:rsid w:val="00033240"/>
    <w:rsid w:val="000502D4"/>
    <w:rsid w:val="00066652"/>
    <w:rsid w:val="000668E6"/>
    <w:rsid w:val="0008206B"/>
    <w:rsid w:val="00095D8D"/>
    <w:rsid w:val="000B6592"/>
    <w:rsid w:val="000C1A10"/>
    <w:rsid w:val="000E7082"/>
    <w:rsid w:val="000F3346"/>
    <w:rsid w:val="00100B2C"/>
    <w:rsid w:val="00135F81"/>
    <w:rsid w:val="00145DE2"/>
    <w:rsid w:val="00151C95"/>
    <w:rsid w:val="0016779C"/>
    <w:rsid w:val="001B19FC"/>
    <w:rsid w:val="001C1EB3"/>
    <w:rsid w:val="001D129A"/>
    <w:rsid w:val="001D1839"/>
    <w:rsid w:val="001E261B"/>
    <w:rsid w:val="001E4D20"/>
    <w:rsid w:val="001F40BD"/>
    <w:rsid w:val="001F4C4C"/>
    <w:rsid w:val="002018B3"/>
    <w:rsid w:val="0020270B"/>
    <w:rsid w:val="002036F3"/>
    <w:rsid w:val="0022669C"/>
    <w:rsid w:val="0024055B"/>
    <w:rsid w:val="002436DF"/>
    <w:rsid w:val="00250ED0"/>
    <w:rsid w:val="00254D5D"/>
    <w:rsid w:val="00264283"/>
    <w:rsid w:val="0026713F"/>
    <w:rsid w:val="0027019C"/>
    <w:rsid w:val="002A7B61"/>
    <w:rsid w:val="002C1256"/>
    <w:rsid w:val="002C4879"/>
    <w:rsid w:val="002C598C"/>
    <w:rsid w:val="002F1785"/>
    <w:rsid w:val="003230A2"/>
    <w:rsid w:val="00323B7C"/>
    <w:rsid w:val="0032604D"/>
    <w:rsid w:val="00335990"/>
    <w:rsid w:val="00337E7D"/>
    <w:rsid w:val="003433A3"/>
    <w:rsid w:val="00343C77"/>
    <w:rsid w:val="003579E7"/>
    <w:rsid w:val="0036635C"/>
    <w:rsid w:val="00366B39"/>
    <w:rsid w:val="003A0CDE"/>
    <w:rsid w:val="003B2F21"/>
    <w:rsid w:val="003B4C3F"/>
    <w:rsid w:val="003C162E"/>
    <w:rsid w:val="003D2FA0"/>
    <w:rsid w:val="003F407B"/>
    <w:rsid w:val="00402AE0"/>
    <w:rsid w:val="004074A4"/>
    <w:rsid w:val="00415E64"/>
    <w:rsid w:val="0042519F"/>
    <w:rsid w:val="00454976"/>
    <w:rsid w:val="004653A0"/>
    <w:rsid w:val="00467BD8"/>
    <w:rsid w:val="00472035"/>
    <w:rsid w:val="004821E2"/>
    <w:rsid w:val="00492D42"/>
    <w:rsid w:val="004C14EB"/>
    <w:rsid w:val="004E3F34"/>
    <w:rsid w:val="004E460C"/>
    <w:rsid w:val="00527072"/>
    <w:rsid w:val="00553F86"/>
    <w:rsid w:val="0056178A"/>
    <w:rsid w:val="005624E6"/>
    <w:rsid w:val="00570D3E"/>
    <w:rsid w:val="0057393D"/>
    <w:rsid w:val="00585BCD"/>
    <w:rsid w:val="005B4FC9"/>
    <w:rsid w:val="005E5029"/>
    <w:rsid w:val="005F6FDF"/>
    <w:rsid w:val="00601262"/>
    <w:rsid w:val="006070C7"/>
    <w:rsid w:val="0061623D"/>
    <w:rsid w:val="00633136"/>
    <w:rsid w:val="00637768"/>
    <w:rsid w:val="006404E3"/>
    <w:rsid w:val="00673C19"/>
    <w:rsid w:val="00677564"/>
    <w:rsid w:val="00683BFB"/>
    <w:rsid w:val="00691D18"/>
    <w:rsid w:val="006A3318"/>
    <w:rsid w:val="006B0257"/>
    <w:rsid w:val="006B0A20"/>
    <w:rsid w:val="006B3CB1"/>
    <w:rsid w:val="006B4C50"/>
    <w:rsid w:val="006C25E8"/>
    <w:rsid w:val="006D3D34"/>
    <w:rsid w:val="007036B4"/>
    <w:rsid w:val="00723108"/>
    <w:rsid w:val="00724410"/>
    <w:rsid w:val="007264FC"/>
    <w:rsid w:val="00735D1E"/>
    <w:rsid w:val="00754F13"/>
    <w:rsid w:val="00755599"/>
    <w:rsid w:val="0076371E"/>
    <w:rsid w:val="00764216"/>
    <w:rsid w:val="00783DD9"/>
    <w:rsid w:val="007877F9"/>
    <w:rsid w:val="007951AA"/>
    <w:rsid w:val="00797280"/>
    <w:rsid w:val="007F3FF5"/>
    <w:rsid w:val="007F7CBE"/>
    <w:rsid w:val="00811775"/>
    <w:rsid w:val="00814345"/>
    <w:rsid w:val="00817583"/>
    <w:rsid w:val="00822834"/>
    <w:rsid w:val="00832A82"/>
    <w:rsid w:val="00836C62"/>
    <w:rsid w:val="00845FEF"/>
    <w:rsid w:val="0084622F"/>
    <w:rsid w:val="00862C11"/>
    <w:rsid w:val="008720B1"/>
    <w:rsid w:val="008850FF"/>
    <w:rsid w:val="00894D55"/>
    <w:rsid w:val="008963DD"/>
    <w:rsid w:val="00896FF1"/>
    <w:rsid w:val="008A24E8"/>
    <w:rsid w:val="008D69E7"/>
    <w:rsid w:val="008E2F82"/>
    <w:rsid w:val="008E51E8"/>
    <w:rsid w:val="008E7A2A"/>
    <w:rsid w:val="008F2CCE"/>
    <w:rsid w:val="008F3629"/>
    <w:rsid w:val="00904ACA"/>
    <w:rsid w:val="00912725"/>
    <w:rsid w:val="009136FE"/>
    <w:rsid w:val="0093796D"/>
    <w:rsid w:val="0097251B"/>
    <w:rsid w:val="00993884"/>
    <w:rsid w:val="009B0F56"/>
    <w:rsid w:val="009B7ACB"/>
    <w:rsid w:val="009D0293"/>
    <w:rsid w:val="009D5DDA"/>
    <w:rsid w:val="009D65C4"/>
    <w:rsid w:val="00A038D2"/>
    <w:rsid w:val="00A06AFD"/>
    <w:rsid w:val="00A2660C"/>
    <w:rsid w:val="00A439C1"/>
    <w:rsid w:val="00A53A5D"/>
    <w:rsid w:val="00A73AAE"/>
    <w:rsid w:val="00A96705"/>
    <w:rsid w:val="00A968DF"/>
    <w:rsid w:val="00AA07A2"/>
    <w:rsid w:val="00AA4E8F"/>
    <w:rsid w:val="00AC571E"/>
    <w:rsid w:val="00AC6221"/>
    <w:rsid w:val="00AD0005"/>
    <w:rsid w:val="00AD125B"/>
    <w:rsid w:val="00AE0073"/>
    <w:rsid w:val="00AF1C75"/>
    <w:rsid w:val="00AF3EF1"/>
    <w:rsid w:val="00B013A4"/>
    <w:rsid w:val="00B30FC5"/>
    <w:rsid w:val="00B37451"/>
    <w:rsid w:val="00B6137A"/>
    <w:rsid w:val="00B628C8"/>
    <w:rsid w:val="00B62C51"/>
    <w:rsid w:val="00B73C0F"/>
    <w:rsid w:val="00B76082"/>
    <w:rsid w:val="00B76A48"/>
    <w:rsid w:val="00B92787"/>
    <w:rsid w:val="00BA2CFB"/>
    <w:rsid w:val="00BF1E1B"/>
    <w:rsid w:val="00C020F6"/>
    <w:rsid w:val="00C110C0"/>
    <w:rsid w:val="00C13F15"/>
    <w:rsid w:val="00C15FF0"/>
    <w:rsid w:val="00C22A69"/>
    <w:rsid w:val="00C22B36"/>
    <w:rsid w:val="00C23340"/>
    <w:rsid w:val="00C252BA"/>
    <w:rsid w:val="00C322DF"/>
    <w:rsid w:val="00C342DB"/>
    <w:rsid w:val="00C37A1E"/>
    <w:rsid w:val="00C424AC"/>
    <w:rsid w:val="00C45E8F"/>
    <w:rsid w:val="00C50B44"/>
    <w:rsid w:val="00C53098"/>
    <w:rsid w:val="00C724F4"/>
    <w:rsid w:val="00CA124F"/>
    <w:rsid w:val="00CD1503"/>
    <w:rsid w:val="00CD6AB6"/>
    <w:rsid w:val="00CE2E6A"/>
    <w:rsid w:val="00CE6269"/>
    <w:rsid w:val="00D0690E"/>
    <w:rsid w:val="00D07177"/>
    <w:rsid w:val="00D36504"/>
    <w:rsid w:val="00D40FB7"/>
    <w:rsid w:val="00D501DC"/>
    <w:rsid w:val="00D50622"/>
    <w:rsid w:val="00D65772"/>
    <w:rsid w:val="00D84127"/>
    <w:rsid w:val="00D85C10"/>
    <w:rsid w:val="00D86D25"/>
    <w:rsid w:val="00DA3174"/>
    <w:rsid w:val="00DB01AA"/>
    <w:rsid w:val="00DC6526"/>
    <w:rsid w:val="00DD130B"/>
    <w:rsid w:val="00DD29F9"/>
    <w:rsid w:val="00DE6E57"/>
    <w:rsid w:val="00E1631F"/>
    <w:rsid w:val="00E2207A"/>
    <w:rsid w:val="00E262CC"/>
    <w:rsid w:val="00E37592"/>
    <w:rsid w:val="00E418C2"/>
    <w:rsid w:val="00E51C53"/>
    <w:rsid w:val="00E52E34"/>
    <w:rsid w:val="00E6101B"/>
    <w:rsid w:val="00E66A6B"/>
    <w:rsid w:val="00EA4B82"/>
    <w:rsid w:val="00EB09EF"/>
    <w:rsid w:val="00EB18E1"/>
    <w:rsid w:val="00EF5F43"/>
    <w:rsid w:val="00F0065B"/>
    <w:rsid w:val="00F054EF"/>
    <w:rsid w:val="00F224F9"/>
    <w:rsid w:val="00F25A5F"/>
    <w:rsid w:val="00F51D83"/>
    <w:rsid w:val="00F65835"/>
    <w:rsid w:val="00F7001F"/>
    <w:rsid w:val="00F70BEB"/>
    <w:rsid w:val="00F73E5D"/>
    <w:rsid w:val="00F75556"/>
    <w:rsid w:val="00F80617"/>
    <w:rsid w:val="00FA3120"/>
    <w:rsid w:val="00FA70B4"/>
    <w:rsid w:val="00FA7B0D"/>
    <w:rsid w:val="00FC0666"/>
    <w:rsid w:val="00FD2338"/>
    <w:rsid w:val="00FE5F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5F66F"/>
  <w15:docId w15:val="{5F4555B4-638E-47E6-88CA-807F2415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paragraph" w:styleId="NormalnyWeb">
    <w:name w:val="Normal (Web)"/>
    <w:basedOn w:val="Normalny"/>
    <w:uiPriority w:val="99"/>
    <w:unhideWhenUsed/>
    <w:rsid w:val="00B76A48"/>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12410623">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694162328">
      <w:bodyDiv w:val="1"/>
      <w:marLeft w:val="0"/>
      <w:marRight w:val="0"/>
      <w:marTop w:val="0"/>
      <w:marBottom w:val="0"/>
      <w:divBdr>
        <w:top w:val="none" w:sz="0" w:space="0" w:color="auto"/>
        <w:left w:val="none" w:sz="0" w:space="0" w:color="auto"/>
        <w:bottom w:val="none" w:sz="0" w:space="0" w:color="auto"/>
        <w:right w:val="none" w:sz="0" w:space="0" w:color="auto"/>
      </w:divBdr>
      <w:divsChild>
        <w:div w:id="1121145903">
          <w:marLeft w:val="0"/>
          <w:marRight w:val="0"/>
          <w:marTop w:val="125"/>
          <w:marBottom w:val="0"/>
          <w:divBdr>
            <w:top w:val="none" w:sz="0" w:space="0" w:color="auto"/>
            <w:left w:val="none" w:sz="0" w:space="0" w:color="auto"/>
            <w:bottom w:val="none" w:sz="0" w:space="0" w:color="auto"/>
            <w:right w:val="none" w:sz="0" w:space="0" w:color="auto"/>
          </w:divBdr>
          <w:divsChild>
            <w:div w:id="63963862">
              <w:marLeft w:val="0"/>
              <w:marRight w:val="0"/>
              <w:marTop w:val="0"/>
              <w:marBottom w:val="0"/>
              <w:divBdr>
                <w:top w:val="none" w:sz="0" w:space="0" w:color="auto"/>
                <w:left w:val="none" w:sz="0" w:space="0" w:color="auto"/>
                <w:bottom w:val="none" w:sz="0" w:space="0" w:color="auto"/>
                <w:right w:val="none" w:sz="0" w:space="0" w:color="auto"/>
              </w:divBdr>
            </w:div>
          </w:divsChild>
        </w:div>
        <w:div w:id="1312832531">
          <w:marLeft w:val="0"/>
          <w:marRight w:val="0"/>
          <w:marTop w:val="125"/>
          <w:marBottom w:val="0"/>
          <w:divBdr>
            <w:top w:val="none" w:sz="0" w:space="0" w:color="auto"/>
            <w:left w:val="none" w:sz="0" w:space="0" w:color="auto"/>
            <w:bottom w:val="none" w:sz="0" w:space="0" w:color="auto"/>
            <w:right w:val="none" w:sz="0" w:space="0" w:color="auto"/>
          </w:divBdr>
          <w:divsChild>
            <w:div w:id="620766531">
              <w:marLeft w:val="0"/>
              <w:marRight w:val="0"/>
              <w:marTop w:val="0"/>
              <w:marBottom w:val="0"/>
              <w:divBdr>
                <w:top w:val="none" w:sz="0" w:space="0" w:color="auto"/>
                <w:left w:val="none" w:sz="0" w:space="0" w:color="auto"/>
                <w:bottom w:val="none" w:sz="0" w:space="0" w:color="auto"/>
                <w:right w:val="none" w:sz="0" w:space="0" w:color="auto"/>
              </w:divBdr>
            </w:div>
            <w:div w:id="446050752">
              <w:marLeft w:val="0"/>
              <w:marRight w:val="0"/>
              <w:marTop w:val="0"/>
              <w:marBottom w:val="0"/>
              <w:divBdr>
                <w:top w:val="none" w:sz="0" w:space="0" w:color="auto"/>
                <w:left w:val="none" w:sz="0" w:space="0" w:color="auto"/>
                <w:bottom w:val="none" w:sz="0" w:space="0" w:color="auto"/>
                <w:right w:val="none" w:sz="0" w:space="0" w:color="auto"/>
              </w:divBdr>
            </w:div>
            <w:div w:id="684744749">
              <w:marLeft w:val="0"/>
              <w:marRight w:val="0"/>
              <w:marTop w:val="0"/>
              <w:marBottom w:val="0"/>
              <w:divBdr>
                <w:top w:val="none" w:sz="0" w:space="0" w:color="auto"/>
                <w:left w:val="none" w:sz="0" w:space="0" w:color="auto"/>
                <w:bottom w:val="none" w:sz="0" w:space="0" w:color="auto"/>
                <w:right w:val="none" w:sz="0" w:space="0" w:color="auto"/>
              </w:divBdr>
            </w:div>
          </w:divsChild>
        </w:div>
        <w:div w:id="2108694688">
          <w:marLeft w:val="0"/>
          <w:marRight w:val="0"/>
          <w:marTop w:val="125"/>
          <w:marBottom w:val="0"/>
          <w:divBdr>
            <w:top w:val="none" w:sz="0" w:space="0" w:color="auto"/>
            <w:left w:val="none" w:sz="0" w:space="0" w:color="auto"/>
            <w:bottom w:val="none" w:sz="0" w:space="0" w:color="auto"/>
            <w:right w:val="none" w:sz="0" w:space="0" w:color="auto"/>
          </w:divBdr>
          <w:divsChild>
            <w:div w:id="1263106801">
              <w:marLeft w:val="0"/>
              <w:marRight w:val="0"/>
              <w:marTop w:val="0"/>
              <w:marBottom w:val="0"/>
              <w:divBdr>
                <w:top w:val="none" w:sz="0" w:space="0" w:color="auto"/>
                <w:left w:val="none" w:sz="0" w:space="0" w:color="auto"/>
                <w:bottom w:val="none" w:sz="0" w:space="0" w:color="auto"/>
                <w:right w:val="none" w:sz="0" w:space="0" w:color="auto"/>
              </w:divBdr>
            </w:div>
            <w:div w:id="4669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746872902">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ersk"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platformazakupowa.pl/pn/czers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customXml/itemProps2.xml><?xml version="1.0" encoding="utf-8"?>
<ds:datastoreItem xmlns:ds="http://schemas.openxmlformats.org/officeDocument/2006/customXml" ds:itemID="{83A1BFCC-688C-474D-888F-0122DE09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2242</Words>
  <Characters>13454</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Bloch</dc:creator>
  <cp:lastModifiedBy>Wioletta Rostankowska</cp:lastModifiedBy>
  <cp:revision>18</cp:revision>
  <cp:lastPrinted>2022-03-03T06:34:00Z</cp:lastPrinted>
  <dcterms:created xsi:type="dcterms:W3CDTF">2022-03-02T20:17:00Z</dcterms:created>
  <dcterms:modified xsi:type="dcterms:W3CDTF">2022-03-03T07:36:00Z</dcterms:modified>
</cp:coreProperties>
</file>