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hanging="0"/>
        <w:jc w:val="center"/>
        <w:rPr>
          <w:rFonts w:ascii="Verdana" w:hAnsi="Verdana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801370</wp:posOffset>
            </wp:positionH>
            <wp:positionV relativeFrom="paragraph">
              <wp:posOffset>-469265</wp:posOffset>
            </wp:positionV>
            <wp:extent cx="4518025" cy="469900"/>
            <wp:effectExtent l="0" t="0" r="0" b="0"/>
            <wp:wrapSquare wrapText="largest"/>
            <wp:docPr id="1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Cambria" w:hAnsi="Cambria"/>
          <w:sz w:val="24"/>
          <w:szCs w:val="24"/>
          <w:lang w:eastAsia="pl-PL"/>
        </w:rPr>
        <w:tab/>
      </w:r>
      <w:r>
        <w:rPr>
          <w:rFonts w:eastAsia="Times New Roman" w:cs="Arial" w:ascii="Cambria" w:hAnsi="Cambria"/>
          <w:sz w:val="24"/>
          <w:szCs w:val="24"/>
          <w:lang w:eastAsia="pl-PL"/>
        </w:rPr>
        <w:tab/>
        <w:tab/>
        <w:tab/>
        <w:tab/>
        <w:t xml:space="preserve">               </w:t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center"/>
        <w:rPr>
          <w:rFonts w:ascii="Verdana" w:hAnsi="Verdana"/>
          <w:sz w:val="22"/>
          <w:szCs w:val="22"/>
        </w:rPr>
      </w:pPr>
      <w:r>
        <w:rPr>
          <w:rFonts w:eastAsia="Ubuntu" w:cs="Calibri" w:ascii="Cambria" w:hAnsi="Cambria"/>
          <w:i/>
          <w:sz w:val="20"/>
          <w:szCs w:val="20"/>
          <w:lang w:eastAsia="pl-PL"/>
        </w:rPr>
        <w:t>Sfinansowano w ramach reakcji Unii na pandemię COVID-19</w:t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ind w:hanging="0"/>
        <w:jc w:val="left"/>
        <w:rPr>
          <w:rFonts w:ascii="Verdana" w:hAnsi="Verdana"/>
          <w:sz w:val="22"/>
          <w:szCs w:val="22"/>
        </w:rPr>
      </w:pPr>
      <w:r>
        <w:rPr>
          <w:rFonts w:eastAsia="Calibri" w:cs="Times New Roman" w:ascii="Cambria" w:hAnsi="Cambria"/>
          <w:b w:val="false"/>
          <w:bCs w:val="false"/>
          <w:sz w:val="24"/>
          <w:szCs w:val="24"/>
          <w:shd w:fill="auto" w:val="clear"/>
          <w:lang w:eastAsia="pl-PL"/>
        </w:rPr>
        <w:t>WA.271.1.2023.AM</w:t>
      </w:r>
      <w:r>
        <w:rPr>
          <w:rFonts w:eastAsia="Times New Roman" w:cs="Arial" w:ascii="Cambria" w:hAnsi="Cambria"/>
          <w:b w:val="false"/>
          <w:bCs w:val="false"/>
          <w:sz w:val="24"/>
          <w:szCs w:val="24"/>
          <w:lang w:eastAsia="pl-PL"/>
        </w:rPr>
        <w:t xml:space="preserve">  </w:t>
      </w: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                                                                                     Włodawa, dnia 1</w:t>
      </w:r>
      <w:r>
        <w:rPr>
          <w:rFonts w:eastAsia="Times New Roman" w:cs="Arial" w:ascii="Cambria" w:hAnsi="Cambria"/>
          <w:sz w:val="24"/>
          <w:szCs w:val="24"/>
          <w:lang w:eastAsia="pl-PL"/>
        </w:rPr>
        <w:t>6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.02.2023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Cambria" w:hAnsi="Cambria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mbria" w:hAnsi="Cambria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Dostawa sprzętu informatycznego i oprogramowania związana z realizacją projekt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u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 w ramach grantu „Cyfrowa Gmina”.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>Zamawiający informuje, że zgodnie z art. 284 ust.1 i 6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 xml:space="preserve"> ) – dalej: ustawa Pzp, wykonawcy w dniu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14</w:t>
      </w:r>
      <w:r>
        <w:rPr>
          <w:rFonts w:eastAsia="Calibri" w:cs="Arial" w:ascii="Cambria" w:hAnsi="Cambria"/>
          <w:sz w:val="24"/>
          <w:szCs w:val="24"/>
        </w:rPr>
        <w:t>.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02.2023</w:t>
      </w:r>
      <w:r>
        <w:rPr>
          <w:rFonts w:eastAsia="Calibri" w:cs="Arial" w:ascii="Cambria" w:hAnsi="Cambria"/>
          <w:sz w:val="24"/>
          <w:szCs w:val="24"/>
        </w:rPr>
        <w:t xml:space="preserve"> r. zwrócili się do zamawiającego z wnioskiem o wyjaśnienie treści SWZ.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Cambria" w:hAnsi="Cambria" w:eastAsia="Calibri" w:cs="Arial"/>
          <w:b/>
          <w:b/>
          <w:bCs/>
          <w:sz w:val="24"/>
          <w:szCs w:val="24"/>
        </w:rPr>
      </w:pPr>
      <w:r>
        <w:rPr>
          <w:rFonts w:eastAsia="Calibri" w:cs="Arial" w:ascii="Cambria" w:hAnsi="Cambria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Pytanie dotyczy: załącznik nr 1 - opis przedmiotu zamówienia pkt 2 przedmiot zamówienia dla części 2 ppkt 2.3 zakup serwera (2szt) Czy Zamawiający dopuści serwery z szyfrowanym połączeniem (TLS 1.2) oraz autentykacje i autoryzację? Szyfrowanie TLS 1.2 jest to nowszy standard połączeń szyfrowanych. Głównym celem protokołu TLS jest uczynienie protokołu SSL bezpieczniejszym, a jego specyfikacji pełniejszą i bardziej precyzyjną. TLS, w porównaniu do wersji 3.0 SSL, zapewnia następujące udoskonalenia: bezpieczniejszy algorytm MAC, dokładniejsze alerty, prostsze definicje specyfikacji "szarej strefy".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Zamawiający dopuści serwery z szyfrowanym połączeniem TLS 1.2.</w:t>
      </w:r>
    </w:p>
    <w:p>
      <w:pPr>
        <w:pStyle w:val="Tretekstu"/>
        <w:spacing w:lineRule="auto" w:line="360"/>
        <w:jc w:val="both"/>
        <w:rPr>
          <w:rFonts w:ascii="Cambria" w:hAnsi="Cambria" w:eastAsia="Calibri" w:cs="Arial"/>
          <w:b/>
          <w:b/>
          <w:bCs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</w:r>
    </w:p>
    <w:p>
      <w:pPr>
        <w:pStyle w:val="Tretekstu"/>
        <w:spacing w:lineRule="auto" w:line="360"/>
        <w:jc w:val="both"/>
        <w:rPr/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2)</w:t>
      </w:r>
    </w:p>
    <w:p>
      <w:pPr>
        <w:pStyle w:val="Tretekstu"/>
        <w:spacing w:lineRule="auto" w:line="360"/>
        <w:jc w:val="both"/>
        <w:rPr/>
      </w:pPr>
      <w:r>
        <w:rPr>
          <w:rStyle w:val="Markedcontent"/>
          <w:rFonts w:cs="Calibri" w:ascii="Cambria" w:hAnsi="Cambria"/>
          <w:sz w:val="24"/>
          <w:szCs w:val="24"/>
        </w:rPr>
        <w:t xml:space="preserve">W załączniku nr 7.3 - Wzór umowy dla części nr 3.  </w:t>
      </w:r>
      <w:r>
        <w:rPr>
          <w:rFonts w:cs="Calibri" w:ascii="Cambria" w:hAnsi="Cambria"/>
          <w:sz w:val="24"/>
          <w:szCs w:val="24"/>
        </w:rPr>
        <w:t xml:space="preserve">§ 8 GWARANCJA, punkt 5, 10 </w:t>
      </w:r>
      <w:r>
        <w:rPr>
          <w:rStyle w:val="Markedcontent"/>
          <w:rFonts w:cs="Calibri" w:ascii="Cambria" w:hAnsi="Cambria"/>
          <w:b w:val="false"/>
          <w:bCs w:val="false"/>
          <w:sz w:val="24"/>
          <w:szCs w:val="24"/>
        </w:rPr>
        <w:t>Zamawiający określił:</w:t>
      </w:r>
    </w:p>
    <w:p>
      <w:pPr>
        <w:pStyle w:val="Normal"/>
        <w:suppressAutoHyphens w:val="false"/>
        <w:spacing w:lineRule="auto" w:line="360" w:before="0" w:after="0"/>
        <w:ind w:left="284" w:right="16" w:hanging="0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„</w:t>
      </w:r>
      <w:r>
        <w:rPr>
          <w:rFonts w:cs="Calibri" w:ascii="Cambria" w:hAnsi="Cambria"/>
          <w:sz w:val="24"/>
          <w:szCs w:val="24"/>
        </w:rPr>
        <w:t>Niezależnie od udzielonej gwarancji, Wykonawca ponosi wobec Zamawiającego odpowiedzialność za wady fizyczne i prawne przedmiotu umowy z tytułu rękojmi w terminie i na zasadach określonych w ustawie Kodeks cywilny.”</w:t>
      </w:r>
    </w:p>
    <w:p>
      <w:pPr>
        <w:pStyle w:val="Normal"/>
        <w:suppressAutoHyphens w:val="false"/>
        <w:spacing w:lineRule="auto" w:line="360" w:before="0" w:after="0"/>
        <w:ind w:left="284" w:right="16" w:hanging="0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Oraz  </w:t>
      </w:r>
    </w:p>
    <w:p>
      <w:pPr>
        <w:pStyle w:val="Normal"/>
        <w:suppressAutoHyphens w:val="false"/>
        <w:spacing w:lineRule="auto" w:line="360" w:before="0" w:after="0"/>
        <w:ind w:left="284" w:right="16" w:hanging="0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„</w:t>
      </w:r>
      <w:r>
        <w:rPr>
          <w:rFonts w:cs="Calibri" w:ascii="Cambria" w:hAnsi="Cambria"/>
          <w:sz w:val="24"/>
          <w:szCs w:val="24"/>
        </w:rPr>
        <w:t>Strony ustalają, że Zamawiającemu przysługuje rękojmia za wady na przedmiot umowy w okresie 2 lat od dnia odbioru końcowego przedmiotu umowy potwierdzonego protokołem odbioru końcowego, z zastrzeżeniem, że w przypadku, gdy okres udzielonej gwarancji jest dłuższy niż 2 lata, to okres rękojmi jest równy okresowi udzielonej gwarancji.”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" w:ascii="Cambria" w:hAnsi="Cambria" w:cstheme="minorHAnsi"/>
          <w:b w:val="false"/>
          <w:bCs w:val="false"/>
          <w:i/>
          <w:iCs/>
          <w:sz w:val="24"/>
          <w:szCs w:val="24"/>
        </w:rPr>
        <w:t xml:space="preserve">Z uwagi na charakter przedmiotu umowy jakim jest oprogramowanie, a powyższe zapisy dotyczące rękojmi dotyczą sprzętu komputerowego, </w:t>
      </w:r>
      <w:r>
        <w:rPr>
          <w:rFonts w:cs="" w:ascii="Cambria" w:hAnsi="Cambria" w:cstheme="minorHAnsi"/>
          <w:b w:val="false"/>
          <w:bCs w:val="false"/>
          <w:sz w:val="24"/>
          <w:szCs w:val="24"/>
        </w:rPr>
        <w:t>czy Zamawiający wyraża zgodę na usunięcie punktów dotyczących rękojmi lub zmianę zakresu zgodnie z gwarancją jaką świadczy Producent dostarczonego oprogramowania o poniższym brzmieniem?</w:t>
      </w:r>
      <w:r>
        <w:rPr>
          <w:rFonts w:cs="" w:ascii="Cambria" w:hAnsi="Cambria" w:cstheme="minorHAnsi"/>
          <w:b w:val="false"/>
          <w:bCs w:val="false"/>
          <w:i/>
          <w:iCs/>
          <w:sz w:val="24"/>
          <w:szCs w:val="24"/>
        </w:rPr>
        <w:t xml:space="preserve">  </w:t>
      </w:r>
    </w:p>
    <w:p>
      <w:pPr>
        <w:pStyle w:val="Normal"/>
        <w:suppressAutoHyphens w:val="false"/>
        <w:spacing w:lineRule="auto" w:line="360" w:before="0" w:after="0"/>
        <w:ind w:left="284" w:right="16" w:hanging="0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Wykonawca ponosi wobec Zamawiającego odpowiedzialność za wady fizyczne i prawne przedmiotu umowy z tytułu gwarancji w terminie i na zasadach określonych w ustawie Kodeks cywilny.”</w:t>
      </w:r>
    </w:p>
    <w:p>
      <w:pPr>
        <w:pStyle w:val="Normal"/>
        <w:suppressAutoHyphens w:val="false"/>
        <w:spacing w:lineRule="auto" w:line="360" w:before="0" w:after="0"/>
        <w:ind w:left="284" w:right="16" w:hanging="0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Oraz  </w:t>
      </w:r>
    </w:p>
    <w:p>
      <w:pPr>
        <w:pStyle w:val="Normal"/>
        <w:suppressAutoHyphens w:val="false"/>
        <w:spacing w:lineRule="auto" w:line="360" w:before="0" w:after="0"/>
        <w:ind w:left="284" w:right="16" w:hanging="0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Strony ustalają, że Zamawiającemu przysługuje gwarancja za wady na przedmiot umowy w okresie 2 lat od dnia odbioru końcowego przedmiotu umowy potwierdzonego protokołem odbioru końcowego, z zastrzeżeniem, że w przypadku, gdy okres udzielonej gwarancji jest dłuższy niż 2 lata, to okres gwarancji jest równy okresowi udzielonej gwarancji.”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Calibri"/>
          <w:b/>
          <w:b/>
          <w:bCs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Calibri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Zamawiający modyfikuje treść Załącznika nr 7.3 do SWZ – Wzór umowy dla części nr 3, § 8, ust. 5 i ust. 10 poprzez ich usunięcie.</w:t>
      </w:r>
    </w:p>
    <w:p>
      <w:pPr>
        <w:pStyle w:val="Normal"/>
        <w:bidi w:val="0"/>
        <w:spacing w:lineRule="auto" w:line="360" w:before="0" w:after="0"/>
        <w:jc w:val="both"/>
        <w:rPr>
          <w:rFonts w:eastAsia="Calibri" w:cs="Arial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lang w:val="pl-PL" w:eastAsia="zh-CN" w:bidi="hi-IN"/>
        </w:rPr>
      </w:pPr>
      <w:r>
        <w:rPr>
          <w:rFonts w:eastAsia="Calibri" w:cs="Arial"/>
          <w:i w:val="false"/>
          <w:iCs w:val="false"/>
          <w:caps w:val="false"/>
          <w:smallCaps w:val="false"/>
          <w:color w:val="000000"/>
          <w:spacing w:val="0"/>
          <w:kern w:val="2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rStyle w:val="Markedcontent"/>
          <w:rFonts w:eastAsia="Calibri" w:cs="Arial" w:ascii="Cambria" w:hAnsi="Cambria"/>
          <w:b/>
          <w:bCs/>
          <w:color w:val="000000"/>
          <w:sz w:val="24"/>
          <w:szCs w:val="24"/>
        </w:rPr>
        <w:t>Pytanie 3)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Calibri" w:ascii="Cambria" w:hAnsi="Cambria"/>
          <w:sz w:val="24"/>
          <w:szCs w:val="24"/>
        </w:rPr>
        <w:t xml:space="preserve">W załączniku nr 7.3 - Wzór umowy dla części nr 3.  </w:t>
      </w:r>
      <w:r>
        <w:rPr>
          <w:rFonts w:cs="Calibri" w:ascii="Cambria" w:hAnsi="Cambria"/>
          <w:sz w:val="24"/>
          <w:szCs w:val="24"/>
        </w:rPr>
        <w:t xml:space="preserve">§ 8 GWARANCJA, punkt 9, </w:t>
      </w:r>
      <w:r>
        <w:rPr>
          <w:rStyle w:val="Markedcontent"/>
          <w:rFonts w:cs="Calibri" w:ascii="Cambria" w:hAnsi="Cambria"/>
          <w:b w:val="false"/>
          <w:bCs w:val="false"/>
          <w:sz w:val="24"/>
          <w:szCs w:val="24"/>
        </w:rPr>
        <w:t xml:space="preserve">Zamawiający określił: 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eastAsia="Calibri" w:cs="Calibri" w:ascii="Cambria" w:hAnsi="Cambria"/>
          <w:b w:val="false"/>
          <w:bCs w:val="false"/>
          <w:color w:val="000000"/>
          <w:sz w:val="24"/>
          <w:szCs w:val="24"/>
        </w:rPr>
        <w:t>„</w:t>
      </w:r>
      <w:r>
        <w:rPr>
          <w:rFonts w:eastAsia="Calibri" w:cs="Calibri" w:ascii="Cambria" w:hAnsi="Cambria"/>
          <w:b w:val="false"/>
          <w:bCs w:val="false"/>
          <w:color w:val="000000"/>
          <w:sz w:val="24"/>
          <w:szCs w:val="24"/>
        </w:rPr>
        <w:t xml:space="preserve">Jeśli dla danego elementu zamówienia nie postanowiono inaczej w SOPZ, Wykonawca potwierdzi zgłoszenie w ciągu 2 dni roboczych, a usunie awarię lub wadę w ciągu 14 dni kalendarzowych licząc od dnia zgłoszenia.” 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" w:ascii="Cambria" w:hAnsi="Cambria" w:cstheme="minorHAnsi"/>
          <w:b w:val="false"/>
          <w:bCs w:val="false"/>
          <w:i/>
          <w:iCs/>
          <w:sz w:val="24"/>
          <w:szCs w:val="24"/>
        </w:rPr>
        <w:t xml:space="preserve">Z uwagi na </w:t>
      </w:r>
      <w:r>
        <w:rPr>
          <w:rFonts w:cs="Calibri" w:ascii="Cambria" w:hAnsi="Cambria"/>
          <w:b w:val="false"/>
          <w:bCs w:val="false"/>
          <w:i/>
          <w:iCs/>
          <w:sz w:val="24"/>
          <w:szCs w:val="24"/>
        </w:rPr>
        <w:t>charakter przedmiotu umowy jakim jest oprogramowanie, rozwiązywanie zgłoszonych wad lub usterek wymaga często podjęcia działań również po stronie Zamawiającego np. przesłanie logów z oprogramowania, zainstalowanie aktualizacji lub</w:t>
      </w:r>
      <w:r>
        <w:rPr>
          <w:rFonts w:cs="Calibri"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cs="Calibri" w:ascii="Cambria" w:hAnsi="Cambria"/>
          <w:b w:val="false"/>
          <w:bCs w:val="false"/>
          <w:i/>
          <w:iCs/>
          <w:sz w:val="24"/>
          <w:szCs w:val="24"/>
        </w:rPr>
        <w:t xml:space="preserve">nowych poprawek do oprogramowania. Powyższe sprawia, że czas na podjęcie działań i naprawę obejmuje również czynności, na które Wykonawca nie zawsze ma wpływ. Serwis gwarancyjny producenta zapewnia rozpoczęcie analizy zgłoszenia w ciągu 24 godzin licząc od daty powiadomienia wykonawcy pocztą elektroniczną, przy czym dniem roboczym nie jest dzień uznany ustawowo za wolny od pracy oraz sobota oraz zapewni usunięcie wady w terminie do 30 dni roboczych od momentu jego zgłoszenia.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mbria" w:hAnsi="Cambria"/>
          <w:b w:val="false"/>
          <w:bCs w:val="false"/>
          <w:sz w:val="24"/>
          <w:szCs w:val="24"/>
        </w:rPr>
        <w:t>Czy w związku z tym Zamawiający wyraża zgodę na zmianę na:?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Calibri" w:ascii="Cambria" w:hAnsi="Cambria"/>
          <w:b w:val="false"/>
          <w:bCs w:val="false"/>
          <w:sz w:val="24"/>
          <w:szCs w:val="24"/>
        </w:rPr>
        <w:t>„</w:t>
      </w:r>
      <w:r>
        <w:rPr>
          <w:rFonts w:cs="Calibri" w:ascii="Cambria" w:hAnsi="Cambria"/>
          <w:b w:val="false"/>
          <w:bCs w:val="false"/>
          <w:sz w:val="24"/>
          <w:szCs w:val="24"/>
        </w:rPr>
        <w:t xml:space="preserve">Jeśli dla danego elementu zamówienia nie postanowiono inaczej w SOPZ, Wykonawca potwierdzi zgłoszenie w ciągu 24 godzin roboczych, licząc od daty powiadomienia wykonawcy pocztą elektroniczną, przy czym dniem roboczym nie jest dzień uznany ustawowo za wolny od pracy oraz sobota, i usunie awarię lub wadę w ciągu 30 dni kalendarzowych licząc od dnia zgłoszenia.” 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Calibri"/>
          <w:b/>
          <w:b/>
          <w:bCs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spacing w:lineRule="auto" w:line="360"/>
        <w:jc w:val="both"/>
        <w:rPr>
          <w:rFonts w:ascii="Cambria" w:hAnsi="Cambria"/>
          <w:b w:val="false"/>
          <w:b w:val="false"/>
          <w:bCs w:val="false"/>
          <w:shd w:fill="auto" w:val="clear"/>
        </w:rPr>
      </w:pPr>
      <w:r>
        <w:rPr>
          <w:rFonts w:ascii="Cambria" w:hAnsi="Cambria"/>
          <w:b w:val="false"/>
          <w:bCs w:val="false"/>
          <w:shd w:fill="auto" w:val="clear"/>
        </w:rPr>
        <w:t>Zamawiający modyfikuje treść Załącznika nr 7.3 do SWZ – Wzór umowy dla części nr 3, § 8, ust. 9 w następujący sposób: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Calibri"/>
          <w:b/>
          <w:b/>
          <w:bCs/>
          <w:sz w:val="24"/>
          <w:szCs w:val="24"/>
          <w:shd w:fill="auto" w:val="clear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„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9. Jeśli dla danego elementu zamówienia nie postanowiono inaczej w SOPZ, Wykonawca potwierdzi zgłoszenie w ciągu 24 godzin roboczych od godziny powiadomienia pocztą elektroniczną, a usunie awarię lub wadę w ciągu 30 dni roboczych licząc od dnia zgłoszenia.”</w:t>
      </w:r>
    </w:p>
    <w:p>
      <w:pPr>
        <w:pStyle w:val="Normal"/>
        <w:bidi w:val="0"/>
        <w:spacing w:lineRule="auto" w:line="360" w:before="0" w:after="0"/>
        <w:jc w:val="both"/>
        <w:rPr>
          <w:rFonts w:eastAsia="Calibri" w:cs="Arial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lang w:val="pl-PL" w:eastAsia="zh-CN" w:bidi="hi-IN"/>
        </w:rPr>
      </w:pPr>
      <w:r>
        <w:rPr>
          <w:rFonts w:eastAsia="Calibri" w:cs="Arial"/>
          <w:i w:val="false"/>
          <w:iCs w:val="false"/>
          <w:caps w:val="false"/>
          <w:smallCaps w:val="false"/>
          <w:color w:val="000000"/>
          <w:spacing w:val="0"/>
          <w:kern w:val="2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rStyle w:val="Markedcontent"/>
          <w:rFonts w:eastAsia="Calibri" w:cs="Arial" w:ascii="Cambria" w:hAnsi="Cambria"/>
          <w:b/>
          <w:bCs/>
          <w:color w:val="000000"/>
          <w:sz w:val="24"/>
          <w:szCs w:val="24"/>
        </w:rPr>
        <w:t>Pytanie 4)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Calibri" w:ascii="Cambria" w:hAnsi="Cambria"/>
          <w:sz w:val="24"/>
          <w:szCs w:val="24"/>
        </w:rPr>
        <w:t xml:space="preserve">W załączniku nr 7.3 - Wzór umowy dla części nr 3.  </w:t>
      </w:r>
      <w:r>
        <w:rPr>
          <w:rFonts w:cs="Calibri" w:ascii="Cambria" w:hAnsi="Cambria"/>
          <w:sz w:val="24"/>
          <w:szCs w:val="24"/>
        </w:rPr>
        <w:t xml:space="preserve">§ 9 KARY UMOWNE, punkt 8, </w:t>
      </w:r>
      <w:r>
        <w:rPr>
          <w:rStyle w:val="Markedcontent"/>
          <w:rFonts w:cs="Calibri" w:ascii="Cambria" w:hAnsi="Cambria"/>
          <w:b w:val="false"/>
          <w:bCs w:val="false"/>
          <w:sz w:val="24"/>
          <w:szCs w:val="24"/>
        </w:rPr>
        <w:t xml:space="preserve">Zamawiający określił: 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Calibri" w:ascii="Cambria" w:hAnsi="Cambria"/>
          <w:b/>
          <w:bCs/>
          <w:sz w:val="24"/>
          <w:szCs w:val="24"/>
        </w:rPr>
        <w:t>„</w:t>
      </w:r>
      <w:r>
        <w:rPr>
          <w:rFonts w:cs="Calibri" w:ascii="Cambria" w:hAnsi="Cambria"/>
          <w:color w:val="000000"/>
          <w:sz w:val="24"/>
          <w:szCs w:val="24"/>
        </w:rPr>
        <w:t>Naliczone kary umowne nie przekroczą 70% wartości całkowitego wynagrodzenia brutto.”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mbria" w:hAnsi="Cambria" w:cstheme="minorHAnsi"/>
          <w:b w:val="false"/>
          <w:bCs w:val="false"/>
          <w:i/>
          <w:iCs/>
          <w:sz w:val="24"/>
          <w:szCs w:val="24"/>
        </w:rPr>
        <w:t>W dostarczanym oprogramowaniu jako standard rynkowy maksymalna wartość kar umownych jest określana na poziomie do 20%, czy Zamawiający wyraża zgodę na dokonanie zmiany</w:t>
      </w:r>
      <w:r>
        <w:rPr>
          <w:rFonts w:cs="Calibri" w:ascii="Cambria" w:hAnsi="Cambria"/>
          <w:b w:val="false"/>
          <w:bCs w:val="false"/>
          <w:sz w:val="24"/>
          <w:szCs w:val="24"/>
        </w:rPr>
        <w:t xml:space="preserve"> o brzmieniu: 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Calibri" w:ascii="Cambria" w:hAnsi="Cambria"/>
          <w:b/>
          <w:bCs/>
          <w:sz w:val="24"/>
          <w:szCs w:val="24"/>
        </w:rPr>
        <w:t>„</w:t>
      </w:r>
      <w:r>
        <w:rPr>
          <w:rFonts w:cs="Calibri" w:ascii="Cambria" w:hAnsi="Cambria"/>
          <w:color w:val="000000"/>
          <w:sz w:val="24"/>
          <w:szCs w:val="24"/>
        </w:rPr>
        <w:t>Naliczone kary umowne nie przekroczą 20% wartości całkowitego wynagrodzenia brutto.”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Calibri"/>
          <w:b/>
          <w:b/>
          <w:bCs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spacing w:lineRule="auto" w:line="360"/>
        <w:jc w:val="both"/>
        <w:rPr>
          <w:rFonts w:ascii="Cambria" w:hAnsi="Cambria"/>
          <w:shd w:fill="auto" w:val="clear"/>
        </w:rPr>
      </w:pPr>
      <w:r>
        <w:rPr>
          <w:rFonts w:ascii="Cambria" w:hAnsi="Cambria"/>
          <w:shd w:fill="auto" w:val="clear"/>
        </w:rPr>
        <w:t>Zamawiający modyfikuje treść Załącznika nr 7.3 do SWZ – Wzór umowy dla części nr 3, § 9, ust. 8 w następujący sposób: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Calibri"/>
          <w:b/>
          <w:b/>
          <w:bCs/>
          <w:sz w:val="24"/>
          <w:szCs w:val="24"/>
          <w:shd w:fill="auto" w:val="clear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„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Naliczone kary umowne nie przekroczą 50% wartości całkowitego wynagrodzenia brutto.”</w:t>
      </w:r>
    </w:p>
    <w:p>
      <w:pPr>
        <w:pStyle w:val="Normal"/>
        <w:spacing w:lineRule="auto" w:line="360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cs="Calibri" w:ascii="Cambria" w:hAnsi="Cambria"/>
          <w:color w:val="000000"/>
          <w:sz w:val="24"/>
          <w:szCs w:val="24"/>
        </w:rPr>
      </w:r>
    </w:p>
    <w:p>
      <w:pPr>
        <w:pStyle w:val="Tretekstu"/>
        <w:spacing w:lineRule="auto" w:line="360"/>
        <w:jc w:val="both"/>
        <w:rPr/>
      </w:pPr>
      <w:r>
        <w:rPr>
          <w:rStyle w:val="Markedcontent"/>
          <w:rFonts w:eastAsia="Calibri" w:cs="Arial" w:ascii="Cambria" w:hAnsi="Cambria"/>
          <w:b/>
          <w:bCs/>
          <w:color w:val="000000"/>
          <w:sz w:val="24"/>
          <w:szCs w:val="24"/>
        </w:rPr>
        <w:t>Pytanie 5)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cs="Calibri" w:ascii="Cambria" w:hAnsi="Cambria"/>
          <w:sz w:val="24"/>
          <w:szCs w:val="24"/>
        </w:rPr>
        <w:t xml:space="preserve">W załączniku nr 7.3 - Wzór umowy dla części nr 3.  </w:t>
      </w:r>
      <w:r>
        <w:rPr>
          <w:rFonts w:cs="Calibri" w:ascii="Cambria" w:hAnsi="Cambria"/>
          <w:sz w:val="24"/>
          <w:szCs w:val="24"/>
        </w:rPr>
        <w:t>§ 10 ODSTĄPIENIE OD UMOWY, Zamawiający określił prawo odstąpienia od umowy.</w:t>
      </w:r>
    </w:p>
    <w:p>
      <w:pPr>
        <w:pStyle w:val="Normal"/>
        <w:spacing w:lineRule="auto" w:line="360"/>
        <w:ind w:right="50" w:hanging="0"/>
        <w:jc w:val="both"/>
        <w:rPr>
          <w:b w:val="false"/>
          <w:b w:val="false"/>
          <w:bCs w:val="false"/>
        </w:rPr>
      </w:pPr>
      <w:r>
        <w:rPr>
          <w:rFonts w:cs="" w:ascii="Cambria" w:hAnsi="Cambria" w:cstheme="minorHAnsi"/>
          <w:b w:val="false"/>
          <w:bCs w:val="false"/>
          <w:sz w:val="24"/>
          <w:szCs w:val="24"/>
        </w:rPr>
        <w:t xml:space="preserve">Czy Zamawiający wyraża zgodę na dodanie w projekcie umowy do </w:t>
      </w:r>
      <w:r>
        <w:rPr>
          <w:rFonts w:cs="Calibri" w:ascii="Cambria" w:hAnsi="Cambria"/>
          <w:b w:val="false"/>
          <w:bCs w:val="false"/>
          <w:sz w:val="24"/>
          <w:szCs w:val="24"/>
        </w:rPr>
        <w:t xml:space="preserve">§ 10, </w:t>
      </w:r>
      <w:r>
        <w:rPr>
          <w:rFonts w:cs="" w:ascii="Cambria" w:hAnsi="Cambria" w:cstheme="minorHAnsi"/>
          <w:b w:val="false"/>
          <w:bCs w:val="false"/>
          <w:sz w:val="24"/>
          <w:szCs w:val="24"/>
        </w:rPr>
        <w:t>zapisu o poniższym brzmieniu?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cs="" w:ascii="Cambria" w:hAnsi="Cambria" w:cstheme="minorHAnsi"/>
          <w:sz w:val="24"/>
          <w:szCs w:val="24"/>
        </w:rPr>
        <w:t>„</w:t>
      </w:r>
      <w:r>
        <w:rPr>
          <w:rFonts w:cs="" w:ascii="Cambria" w:hAnsi="Cambria" w:cstheme="minorHAnsi"/>
          <w:sz w:val="24"/>
          <w:szCs w:val="24"/>
        </w:rPr>
        <w:t xml:space="preserve">Rozwiązanie umowy z jakiejkolwiek z przyczyn wiąże się z wystawieniem faktury korygującej przez Wykonawcę. Zamawiający zobowiązuje się w takim przypadku do zaakceptowania faktury korygującej, podpisania jej  przez osobę upoważnioną do reprezentacji Zamawiającego i odesłania na adres Wykonawcy w terminie nie dłuższym niż 7 dni roboczych od jej otrzymania.” </w:t>
      </w:r>
    </w:p>
    <w:p>
      <w:pPr>
        <w:pStyle w:val="Normal"/>
        <w:spacing w:lineRule="auto" w:line="360"/>
        <w:jc w:val="both"/>
        <w:rPr/>
      </w:pPr>
      <w:r>
        <w:rPr>
          <w:rStyle w:val="Markedcontent"/>
          <w:rFonts w:eastAsia="Calibri" w:cs="" w:ascii="Cambria" w:hAnsi="Cambria" w:cstheme="minorHAnsi"/>
          <w:b w:val="false"/>
          <w:bCs w:val="false"/>
          <w:color w:val="000000"/>
          <w:sz w:val="24"/>
          <w:szCs w:val="24"/>
        </w:rPr>
        <w:t xml:space="preserve">Powyższe wynika </w:t>
      </w:r>
      <w:r>
        <w:rPr>
          <w:rFonts w:eastAsia="Calibri" w:cs="" w:ascii="Cambria" w:hAnsi="Cambria" w:cstheme="minorHAnsi"/>
          <w:b w:val="false"/>
          <w:bCs w:val="false"/>
          <w:color w:val="000000"/>
          <w:sz w:val="24"/>
          <w:szCs w:val="24"/>
        </w:rPr>
        <w:t>z przypadku odstąpienie od umowy po dostarczeniu faktury dla Zamawiającego i braku płatności z jakiejkolwiek przyczyny.</w:t>
      </w:r>
    </w:p>
    <w:p>
      <w:pPr>
        <w:pStyle w:val="Tretekstu"/>
        <w:spacing w:lineRule="auto" w:line="360"/>
        <w:jc w:val="both"/>
        <w:rPr/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Tretekstu"/>
        <w:spacing w:lineRule="auto" w:line="360"/>
        <w:jc w:val="both"/>
        <w:rPr/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Nie, Zamawiający nie modyfikuje zapisów dokumentów zamówienia w przedmiotowym zakresie.</w:t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Style w:val="Markedcontent"/>
          <w:rFonts w:eastAsia="Calibri" w:cs="Arial" w:ascii="Cambria" w:hAnsi="Cambria"/>
          <w:b/>
          <w:bCs/>
          <w:color w:val="000000"/>
          <w:sz w:val="24"/>
          <w:szCs w:val="24"/>
        </w:rPr>
        <w:t>Pytanie 6)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bCs w:val="false"/>
          <w:color w:val="000000"/>
          <w:sz w:val="24"/>
          <w:szCs w:val="24"/>
        </w:rPr>
        <w:t>Po analizie opisu przedmiotu zam</w:t>
      </w:r>
      <w:r>
        <w:rPr>
          <w:rFonts w:ascii="Cambria" w:hAnsi="Cambria"/>
          <w:b w:val="false"/>
          <w:bCs w:val="false"/>
          <w:color w:val="000000"/>
          <w:sz w:val="24"/>
          <w:szCs w:val="24"/>
        </w:rPr>
        <w:t>ówienia w punkcie dotyczącym serwera proszę                         o dopuszczenie serwera z dodatkową kartą sieciową 10GbE BASE-T. Wskazany zapis będzie rozszerzać i nie ograniczać do jednego producenta możliwość oferowania sprzętu. Możliwe będzie zaproponowanie serwerów innych producentów z tej półki cenowej, dzięki czemu zostanie zachowana zasada uczciwej konkurencji oraz równego traktowania wykonawców.</w:t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shd w:fill="auto" w:val="clear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 xml:space="preserve">Zamawiający nie zdefiniował maksymalnej liczby kart sieciowych, które mogą realizować poszczególne wymogi, zatem Wykonawca ma dowolność w ofertowaniu ilości kart sieciowych, które spełnią parametry Zamawiającego w zakresie interfejsów sieciowych serwerów. </w:t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r>
    </w:p>
    <w:p>
      <w:pPr>
        <w:pStyle w:val="Tretekstu"/>
        <w:bidi w:val="0"/>
        <w:spacing w:lineRule="auto" w:line="360" w:before="0" w:after="0"/>
        <w:jc w:val="both"/>
        <w:rPr>
          <w:rFonts w:ascii="Cambria" w:hAnsi="Cambria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W zwi</w:t>
      </w:r>
      <w:r>
        <w:rPr>
          <w:rFonts w:ascii="Cambria" w:hAnsi="Cambria"/>
          <w:b w:val="false"/>
          <w:bCs w:val="false"/>
          <w:sz w:val="24"/>
        </w:rPr>
        <w:t>ązku z powyższym na podstawie art. 286 ust. 1 ustawy Pzp Zamawiający zmienia termin złożenia i otwarcia ofert zmieniając odpowiednio następujące zapisy SWZ:</w:t>
      </w:r>
    </w:p>
    <w:p>
      <w:pPr>
        <w:pStyle w:val="Normal"/>
        <w:bidi w:val="0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Miejsce zmiany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Treść przed zmianą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Treść po zmianie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Rozdział XII SWZ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Ofertę wraz z wymaganymi dokumentami należy złożyć za pośrednictwem formularza do złożenia, zmiany, wycofania oferty dostępnego na </w:t>
            </w:r>
            <w:r>
              <w:rPr>
                <w:rFonts w:eastAsia="" w:cs="Times New Roman" w:ascii="Times New Roman" w:hAnsi="Times New Roman" w:eastAsiaTheme="minorHAnsi"/>
                <w:bCs/>
                <w:sz w:val="24"/>
                <w:szCs w:val="24"/>
                <w:shd w:fill="auto" w:val="clear"/>
              </w:rPr>
              <w:t>platformie zakupowej- patrz rozdział IX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 do dnia</w:t>
            </w:r>
            <w:r>
              <w:rPr>
                <w:rFonts w:eastAsia="" w:cs="Times New Roman" w:ascii="Times New Roman" w:hAnsi="Times New Roman" w:eastAsiaTheme="minorHAnsi"/>
                <w:b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" w:cs="Times New Roman" w:ascii="Times New Roman" w:hAnsi="Times New Roman" w:eastAsiaTheme="minorHAnsi"/>
                <w:b/>
                <w:bCs/>
                <w:sz w:val="24"/>
                <w:szCs w:val="24"/>
                <w:shd w:fill="auto" w:val="clear"/>
              </w:rPr>
              <w:t>17.02.2023r. godz. 12:00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Ofertę wraz z wymaganymi dokumentami należy złożyć za pośrednictwem formularza do złożenia, zmiany, wycofania oferty dostępnego na </w:t>
            </w:r>
            <w:r>
              <w:rPr>
                <w:rFonts w:eastAsia="" w:cs="Times New Roman" w:ascii="Times New Roman" w:hAnsi="Times New Roman" w:eastAsiaTheme="minorHAnsi"/>
                <w:bCs/>
                <w:sz w:val="24"/>
                <w:szCs w:val="24"/>
                <w:shd w:fill="auto" w:val="clear"/>
              </w:rPr>
              <w:t>platformie zakupowej- patrz rozdział IX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 do dnia</w:t>
            </w:r>
            <w:r>
              <w:rPr>
                <w:rFonts w:eastAsia="" w:cs="Times New Roman" w:ascii="Times New Roman" w:hAnsi="Times New Roman" w:eastAsiaTheme="minorHAnsi"/>
                <w:b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" w:cs="Times New Roman" w:ascii="Times New Roman" w:hAnsi="Times New Roman" w:eastAsiaTheme="minorHAnsi"/>
                <w:b/>
                <w:bCs/>
                <w:sz w:val="24"/>
                <w:szCs w:val="24"/>
                <w:shd w:fill="auto" w:val="clear"/>
              </w:rPr>
              <w:t>22.02.2023r. godz. 12:00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Rozdział XII SWZ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eastAsia="" w:cs="" w:asciiTheme="minorHAnsi" w:cstheme="minorBidi" w:eastAsiaTheme="minorHAnsi" w:hAnsiTheme="minorHAnsi"/>
                <w:shd w:fill="auto" w:val="clear"/>
              </w:rPr>
            </w:pPr>
            <w:r>
              <w:rPr>
                <w:rFonts w:eastAsia="" w:cs="Times New Roman" w:ascii="Times New Roman" w:hAnsi="Times New Roman" w:eastAsiaTheme="minorHAnsi"/>
                <w:bCs/>
                <w:sz w:val="24"/>
                <w:szCs w:val="24"/>
                <w:shd w:fill="auto" w:val="clear"/>
              </w:rPr>
              <w:t xml:space="preserve">Otwarcie ofert nastąpi dnia </w:t>
            </w:r>
            <w:r>
              <w:rPr>
                <w:rFonts w:eastAsia="" w:cs="Times New Roman" w:ascii="Times New Roman" w:hAnsi="Times New Roman" w:eastAsiaTheme="minorHAnsi"/>
                <w:b/>
                <w:bCs/>
                <w:sz w:val="24"/>
                <w:szCs w:val="24"/>
                <w:shd w:fill="auto" w:val="clear"/>
              </w:rPr>
              <w:t>17.02.2023r. o godz. 12:10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eastAsia="" w:cs="" w:asciiTheme="minorHAnsi" w:cstheme="minorBidi" w:eastAsiaTheme="minorHAnsi" w:hAnsiTheme="minorHAnsi"/>
                <w:shd w:fill="auto" w:val="clear"/>
              </w:rPr>
            </w:pPr>
            <w:r>
              <w:rPr>
                <w:rFonts w:eastAsia="" w:cs="Times New Roman" w:ascii="Times New Roman" w:hAnsi="Times New Roman" w:eastAsiaTheme="minorHAnsi"/>
                <w:bCs/>
                <w:sz w:val="24"/>
                <w:szCs w:val="24"/>
                <w:shd w:fill="auto" w:val="clear"/>
              </w:rPr>
              <w:t xml:space="preserve">Otwarcie ofert nastąpi dnia </w:t>
            </w:r>
            <w:r>
              <w:rPr>
                <w:rFonts w:eastAsia="" w:cs="Times New Roman" w:ascii="Times New Roman" w:hAnsi="Times New Roman" w:eastAsiaTheme="minorHAnsi"/>
                <w:b/>
                <w:bCs/>
                <w:sz w:val="24"/>
                <w:szCs w:val="24"/>
                <w:shd w:fill="auto" w:val="clear"/>
              </w:rPr>
              <w:t>22.02.2023r. o godz. 12:10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Rozdział X SWZ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hanging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Wykonawca związany jest ofertą przez 30 dni od dnia upływu terminu składania ofert</w:t>
            </w:r>
          </w:p>
          <w:p>
            <w:pPr>
              <w:pStyle w:val="Normal"/>
              <w:widowControl w:val="false"/>
              <w:spacing w:lineRule="auto" w:line="240" w:before="0" w:after="120"/>
              <w:ind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tj.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do dnia 18.03.2023r.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hanging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Wykonawca związany jest ofertą przez 30 dni od dnia upływu terminu składania ofert</w:t>
            </w:r>
          </w:p>
          <w:p>
            <w:pPr>
              <w:pStyle w:val="Normal"/>
              <w:widowControl w:val="false"/>
              <w:spacing w:lineRule="auto" w:line="240" w:before="0" w:after="120"/>
              <w:ind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tj.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do dnia 23.03.2023r.</w:t>
            </w:r>
          </w:p>
        </w:tc>
      </w:tr>
    </w:tbl>
    <w:p>
      <w:pPr>
        <w:pStyle w:val="Tretekstu"/>
        <w:bidi w:val="0"/>
        <w:spacing w:lineRule="auto" w:line="360" w:before="0" w:after="0"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Niniejszy dokument stanowi integralną część SWZ i jest wiążący dla wszystkich Wykonawców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ubiegających się o udzielenie przedmiotowego Zamówienia.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mbria" w:cs="Cambria" w:ascii="Cambria" w:hAnsi="Cambria"/>
          <w:b/>
          <w:bCs/>
          <w:color w:val="000000"/>
        </w:rPr>
        <w:t xml:space="preserve">  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color w:val="000000"/>
        </w:rPr>
        <w:t>Z up. Burmistrza</w:t>
      </w:r>
    </w:p>
    <w:p>
      <w:pPr>
        <w:pStyle w:val="Normal"/>
        <w:jc w:val="center"/>
        <w:rPr>
          <w:color w:val="000000"/>
        </w:rPr>
      </w:pPr>
      <w:r>
        <w:rPr>
          <w:rFonts w:eastAsia="Cambria" w:cs="Cambria" w:ascii="Cambria" w:hAnsi="Cambria"/>
          <w:b/>
          <w:bCs/>
          <w:i/>
          <w:iCs/>
          <w:color w:val="000000"/>
        </w:rPr>
        <w:t xml:space="preserve">  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i/>
          <w:iCs/>
          <w:color w:val="000000"/>
        </w:rPr>
        <w:t>Wiesław Holaczuk</w:t>
      </w:r>
    </w:p>
    <w:p>
      <w:pPr>
        <w:pStyle w:val="Normal"/>
        <w:bidi w:val="0"/>
        <w:spacing w:lineRule="auto" w:line="360" w:before="0" w:after="0"/>
        <w:jc w:val="center"/>
        <w:rPr>
          <w:color w:val="000000"/>
        </w:rPr>
      </w:pP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>Zastępca Burmistrza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535</TotalTime>
  <Application>LibreOffice/7.0.0.3$Windows_X86_64 LibreOffice_project/8061b3e9204bef6b321a21033174034a5e2ea88e</Application>
  <Pages>5</Pages>
  <Words>1172</Words>
  <Characters>7080</Characters>
  <CharactersWithSpaces>8664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2023-02-08T12:42:00Z</dcterms:created>
  <dc:creator>Paweł Kuc</dc:creator>
  <dc:description/>
  <dc:language>pl-PL</dc:language>
  <cp:lastModifiedBy/>
  <cp:lastPrinted>2023-02-16T14:27:05Z</cp:lastPrinted>
  <dcterms:modified xsi:type="dcterms:W3CDTF">2023-02-16T14:44:07Z</dcterms:modified>
  <cp:revision>48</cp:revision>
  <dc:subject/>
  <dc:title/>
</cp:coreProperties>
</file>