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A345" w14:textId="26D873CE" w:rsidR="002A735D" w:rsidRPr="00AD6581" w:rsidRDefault="00AC0C24" w:rsidP="00AC0C2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ind w:left="3600" w:firstLine="720"/>
        <w:jc w:val="right"/>
        <w:rPr>
          <w:color w:val="000000"/>
        </w:rPr>
      </w:pPr>
      <w:r>
        <w:rPr>
          <w:color w:val="000000"/>
        </w:rPr>
        <w:t>załącznik nr</w:t>
      </w:r>
      <w:r w:rsidR="00384CBA">
        <w:rPr>
          <w:color w:val="000000"/>
        </w:rPr>
        <w:t xml:space="preserve"> 2 do zapytania ofertowego</w:t>
      </w:r>
    </w:p>
    <w:p w14:paraId="23316210" w14:textId="77777777" w:rsidR="00AD6581" w:rsidRDefault="00AD6581" w:rsidP="004141F3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</w:p>
    <w:p w14:paraId="388BCB0B" w14:textId="77777777" w:rsidR="00EA3438" w:rsidRPr="00A103E4" w:rsidRDefault="00365A65" w:rsidP="004141F3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A103E4">
        <w:rPr>
          <w:b/>
          <w:color w:val="000000"/>
          <w:sz w:val="24"/>
          <w:szCs w:val="24"/>
        </w:rPr>
        <w:t>Przedmiotem zamówienia</w:t>
      </w:r>
      <w:r w:rsidR="007513C2" w:rsidRPr="00A103E4">
        <w:rPr>
          <w:b/>
          <w:color w:val="000000"/>
          <w:sz w:val="24"/>
          <w:szCs w:val="24"/>
        </w:rPr>
        <w:t xml:space="preserve"> jest</w:t>
      </w:r>
      <w:r w:rsidRPr="00A103E4">
        <w:rPr>
          <w:b/>
          <w:color w:val="000000"/>
          <w:sz w:val="24"/>
          <w:szCs w:val="24"/>
        </w:rPr>
        <w:t xml:space="preserve"> </w:t>
      </w:r>
      <w:r w:rsidR="007513C2" w:rsidRPr="00A103E4">
        <w:rPr>
          <w:b/>
          <w:sz w:val="24"/>
          <w:szCs w:val="24"/>
        </w:rPr>
        <w:t>odbiór, transport oraz unieszkodliwienie odpadów pokonsumpcyjnych, odpadów kuchennych powstających z przygotowania posiłków, produktów żywnościowych przeterminowanych lub nienadających się do spożycia przez ludzi pochodzących ze Szpitala Specjalistycznego w Pile im. Stanisława Staszica</w:t>
      </w:r>
    </w:p>
    <w:p w14:paraId="65F9268E" w14:textId="77777777" w:rsidR="00EA3438" w:rsidRPr="00A103E4" w:rsidRDefault="007513C2" w:rsidP="004141F3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103E4">
        <w:rPr>
          <w:color w:val="000000"/>
          <w:sz w:val="24"/>
          <w:szCs w:val="24"/>
        </w:rPr>
        <w:t>Odpady odbierane w pojemnikach o pojemności 240</w:t>
      </w:r>
      <w:r w:rsidR="00365A65" w:rsidRPr="00A103E4">
        <w:rPr>
          <w:color w:val="000000"/>
          <w:sz w:val="24"/>
          <w:szCs w:val="24"/>
        </w:rPr>
        <w:t xml:space="preserve"> litrów, pojemniki dostępne cały czas na terenie Szpitala.</w:t>
      </w:r>
    </w:p>
    <w:tbl>
      <w:tblPr>
        <w:tblStyle w:val="a"/>
        <w:tblW w:w="89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34"/>
        <w:gridCol w:w="992"/>
        <w:gridCol w:w="1134"/>
        <w:gridCol w:w="1134"/>
        <w:gridCol w:w="993"/>
        <w:gridCol w:w="992"/>
        <w:gridCol w:w="595"/>
        <w:gridCol w:w="1134"/>
      </w:tblGrid>
      <w:tr w:rsidR="0098388D" w:rsidRPr="00994033" w14:paraId="79309C13" w14:textId="77777777" w:rsidTr="00C14356">
        <w:trPr>
          <w:trHeight w:val="1196"/>
        </w:trPr>
        <w:tc>
          <w:tcPr>
            <w:tcW w:w="851" w:type="dxa"/>
            <w:vAlign w:val="center"/>
          </w:tcPr>
          <w:p w14:paraId="22491351" w14:textId="77777777" w:rsidR="0098388D" w:rsidRPr="00994033" w:rsidRDefault="0098388D" w:rsidP="009940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4033">
              <w:rPr>
                <w:color w:val="000000"/>
                <w:sz w:val="16"/>
                <w:szCs w:val="16"/>
              </w:rPr>
              <w:t>Kod odpadu</w:t>
            </w:r>
          </w:p>
        </w:tc>
        <w:tc>
          <w:tcPr>
            <w:tcW w:w="1134" w:type="dxa"/>
            <w:vAlign w:val="center"/>
          </w:tcPr>
          <w:p w14:paraId="6876DC52" w14:textId="77777777" w:rsidR="0098388D" w:rsidRPr="00994033" w:rsidRDefault="0098388D" w:rsidP="009940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4033">
              <w:rPr>
                <w:color w:val="000000"/>
                <w:sz w:val="16"/>
                <w:szCs w:val="16"/>
              </w:rPr>
              <w:t>Rodzaj odpadu</w:t>
            </w:r>
          </w:p>
        </w:tc>
        <w:tc>
          <w:tcPr>
            <w:tcW w:w="992" w:type="dxa"/>
            <w:vAlign w:val="center"/>
          </w:tcPr>
          <w:p w14:paraId="32EF2416" w14:textId="77777777" w:rsidR="0098388D" w:rsidRPr="00994033" w:rsidRDefault="0098388D" w:rsidP="009940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4033">
              <w:rPr>
                <w:color w:val="000000"/>
                <w:sz w:val="16"/>
                <w:szCs w:val="16"/>
              </w:rPr>
              <w:t>Rodzaj pojemnika</w:t>
            </w:r>
          </w:p>
          <w:p w14:paraId="1B4821DB" w14:textId="77777777" w:rsidR="0098388D" w:rsidRPr="00994033" w:rsidRDefault="0098388D" w:rsidP="009940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479B70" w14:textId="77777777" w:rsidR="0098388D" w:rsidRPr="00994033" w:rsidRDefault="0098388D" w:rsidP="009940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4033">
              <w:rPr>
                <w:sz w:val="16"/>
                <w:szCs w:val="16"/>
              </w:rPr>
              <w:t xml:space="preserve">Liczba </w:t>
            </w:r>
            <w:r>
              <w:rPr>
                <w:color w:val="000000"/>
                <w:sz w:val="16"/>
                <w:szCs w:val="16"/>
              </w:rPr>
              <w:t xml:space="preserve">pojemników </w:t>
            </w:r>
            <w:r w:rsidRPr="00994033">
              <w:rPr>
                <w:color w:val="000000"/>
                <w:sz w:val="16"/>
                <w:szCs w:val="16"/>
              </w:rPr>
              <w:t>dostępnych na terenie szpitala</w:t>
            </w:r>
          </w:p>
        </w:tc>
        <w:tc>
          <w:tcPr>
            <w:tcW w:w="1134" w:type="dxa"/>
            <w:vAlign w:val="center"/>
          </w:tcPr>
          <w:p w14:paraId="0B22D91A" w14:textId="77777777" w:rsidR="0098388D" w:rsidRPr="00994033" w:rsidRDefault="0098388D" w:rsidP="009940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4033">
              <w:rPr>
                <w:sz w:val="16"/>
                <w:szCs w:val="16"/>
              </w:rPr>
              <w:t xml:space="preserve">Orientacyjna liczba odbieranych pojemników / </w:t>
            </w:r>
            <w:r>
              <w:rPr>
                <w:sz w:val="16"/>
                <w:szCs w:val="16"/>
              </w:rPr>
              <w:t>18 miesięcy</w:t>
            </w:r>
          </w:p>
        </w:tc>
        <w:tc>
          <w:tcPr>
            <w:tcW w:w="993" w:type="dxa"/>
            <w:vAlign w:val="center"/>
          </w:tcPr>
          <w:p w14:paraId="52EF83E0" w14:textId="77777777" w:rsidR="0098388D" w:rsidRPr="00994033" w:rsidRDefault="0098388D" w:rsidP="009940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994033">
              <w:rPr>
                <w:sz w:val="16"/>
                <w:szCs w:val="16"/>
              </w:rPr>
              <w:t>Koszt  odbioru    jednego pojemnika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9A30283" w14:textId="77777777" w:rsidR="0098388D" w:rsidRPr="00994033" w:rsidRDefault="0098388D" w:rsidP="009940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94033">
              <w:rPr>
                <w:sz w:val="16"/>
                <w:szCs w:val="16"/>
              </w:rPr>
              <w:t>Wartość netto</w:t>
            </w:r>
            <w:r>
              <w:rPr>
                <w:sz w:val="16"/>
                <w:szCs w:val="16"/>
              </w:rPr>
              <w:t xml:space="preserve"> /</w:t>
            </w:r>
            <w:r w:rsidRPr="00994033">
              <w:rPr>
                <w:sz w:val="16"/>
                <w:szCs w:val="16"/>
              </w:rPr>
              <w:t xml:space="preserve">za </w:t>
            </w:r>
            <w:r>
              <w:rPr>
                <w:sz w:val="16"/>
                <w:szCs w:val="16"/>
              </w:rPr>
              <w:t>18 miesięcy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4923" w14:textId="77777777" w:rsidR="0098388D" w:rsidRPr="00994033" w:rsidRDefault="0098388D" w:rsidP="004141F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994033">
              <w:rPr>
                <w:sz w:val="16"/>
                <w:szCs w:val="16"/>
              </w:rPr>
              <w:t>Stawka VAT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968C9E" w14:textId="77777777" w:rsidR="0098388D" w:rsidRDefault="0098388D" w:rsidP="004141F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994033">
              <w:rPr>
                <w:sz w:val="16"/>
                <w:szCs w:val="16"/>
              </w:rPr>
              <w:t>Wartość bru</w:t>
            </w:r>
            <w:r>
              <w:rPr>
                <w:sz w:val="16"/>
                <w:szCs w:val="16"/>
              </w:rPr>
              <w:t>t</w:t>
            </w:r>
            <w:r w:rsidRPr="00994033">
              <w:rPr>
                <w:sz w:val="16"/>
                <w:szCs w:val="16"/>
              </w:rPr>
              <w:t xml:space="preserve">to/ za </w:t>
            </w:r>
          </w:p>
          <w:p w14:paraId="149D7F7D" w14:textId="77777777" w:rsidR="0098388D" w:rsidRPr="00994033" w:rsidRDefault="0098388D" w:rsidP="004141F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miesięcy</w:t>
            </w:r>
          </w:p>
        </w:tc>
      </w:tr>
      <w:tr w:rsidR="0098388D" w:rsidRPr="00994033" w14:paraId="5243AACE" w14:textId="77777777" w:rsidTr="00C14356">
        <w:trPr>
          <w:trHeight w:val="837"/>
        </w:trPr>
        <w:tc>
          <w:tcPr>
            <w:tcW w:w="851" w:type="dxa"/>
            <w:vAlign w:val="center"/>
          </w:tcPr>
          <w:p w14:paraId="58E0718C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16 03 80</w:t>
            </w:r>
          </w:p>
        </w:tc>
        <w:tc>
          <w:tcPr>
            <w:tcW w:w="1134" w:type="dxa"/>
            <w:vAlign w:val="center"/>
          </w:tcPr>
          <w:p w14:paraId="3570F063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Produkty spożywcze przeterminowane lub nieprzydatne do spożycia</w:t>
            </w:r>
          </w:p>
        </w:tc>
        <w:tc>
          <w:tcPr>
            <w:tcW w:w="992" w:type="dxa"/>
            <w:vAlign w:val="center"/>
          </w:tcPr>
          <w:p w14:paraId="48C2C85A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Pojemnik  240</w:t>
            </w:r>
            <w:r w:rsidRPr="00994033">
              <w:rPr>
                <w:color w:val="000000"/>
                <w:sz w:val="16"/>
                <w:szCs w:val="16"/>
              </w:rPr>
              <w:t xml:space="preserve"> litrów np. MGB </w:t>
            </w: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vAlign w:val="center"/>
          </w:tcPr>
          <w:p w14:paraId="738CFBFC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Pr="00994033">
              <w:rPr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14:paraId="02ABE3D8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1092 </w:t>
            </w:r>
            <w:r w:rsidRPr="00994033">
              <w:rPr>
                <w:sz w:val="16"/>
                <w:szCs w:val="16"/>
              </w:rPr>
              <w:t>sztuk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  <w:vAlign w:val="center"/>
          </w:tcPr>
          <w:p w14:paraId="17507B29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919563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B801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CBCB51" w14:textId="77777777" w:rsidR="0098388D" w:rsidRPr="00994033" w:rsidRDefault="0098388D" w:rsidP="00C1435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14:paraId="08FC8C83" w14:textId="77777777" w:rsidR="00EA3438" w:rsidRDefault="00EA3438" w:rsidP="004141F3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A731BD" w14:textId="77777777" w:rsidR="003D2A67" w:rsidRPr="004141F3" w:rsidRDefault="003D2A67" w:rsidP="004141F3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82C09AF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bookmarkStart w:id="0" w:name="_Hlk36727775"/>
      <w:r w:rsidRPr="00A103E4">
        <w:rPr>
          <w:color w:val="000000"/>
          <w:sz w:val="24"/>
          <w:szCs w:val="24"/>
        </w:rPr>
        <w:t>Wykonawca zobowiązany jest do wykonania usługi zgodnie z obowiązującymi na terenie Rzeczypospolitej Polskiej przepisami prawa uwzględniając akty prawa miejscowego.</w:t>
      </w:r>
    </w:p>
    <w:p w14:paraId="0C7C593E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Zamawiający wymaga, aby oferowana usługa była wykonywana w sposób rzetelny, zgodny z przepisami prawa i powodowała jak najmniejsze zagrożenie dla zdrowia i życia ludzi oraz środowiska naturalnego.</w:t>
      </w:r>
    </w:p>
    <w:p w14:paraId="19784AC2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Wykonawca posiada wymagane obowiązującym prawem aktualne zezwolenia na prowadzenie działalności w zakresie odbioru, transportu i dalszego zagospodarowania odpadów oraz zobowiązuje się posiadać takowe zezwolenia przez cały okres obowiązywania umowy.</w:t>
      </w:r>
      <w:r w:rsidR="003A0023" w:rsidRPr="00A103E4">
        <w:rPr>
          <w:color w:val="000000"/>
          <w:sz w:val="24"/>
          <w:szCs w:val="24"/>
        </w:rPr>
        <w:t xml:space="preserve"> Wykonawca posiada decyzje właściwego organu Inspekcji Weterynaryjnej na przewóz odpadów kat. III</w:t>
      </w:r>
      <w:r w:rsidR="002F11EF" w:rsidRPr="00A103E4">
        <w:rPr>
          <w:color w:val="000000"/>
          <w:sz w:val="24"/>
          <w:szCs w:val="24"/>
        </w:rPr>
        <w:t xml:space="preserve"> tj. ubocznych produktów pochodzenia zwierzęcego</w:t>
      </w:r>
      <w:r w:rsidR="003A0023" w:rsidRPr="00A103E4">
        <w:rPr>
          <w:color w:val="000000"/>
          <w:sz w:val="24"/>
          <w:szCs w:val="24"/>
        </w:rPr>
        <w:t xml:space="preserve"> określonymi środkami transportu drogowego</w:t>
      </w:r>
      <w:r w:rsidR="002F11EF" w:rsidRPr="00A103E4">
        <w:rPr>
          <w:color w:val="000000"/>
          <w:sz w:val="24"/>
          <w:szCs w:val="24"/>
        </w:rPr>
        <w:t xml:space="preserve">, posiada numer identyfikacyjny na prowadzenie działalności gospodarczej polegającej na transporcie odpadów </w:t>
      </w:r>
      <w:proofErr w:type="spellStart"/>
      <w:r w:rsidR="00B00F5D" w:rsidRPr="00A103E4">
        <w:rPr>
          <w:color w:val="000000"/>
          <w:sz w:val="24"/>
          <w:szCs w:val="24"/>
        </w:rPr>
        <w:t>kat.III</w:t>
      </w:r>
      <w:proofErr w:type="spellEnd"/>
      <w:r w:rsidR="00B00F5D" w:rsidRPr="00A103E4">
        <w:rPr>
          <w:color w:val="000000"/>
          <w:sz w:val="24"/>
          <w:szCs w:val="24"/>
        </w:rPr>
        <w:t>.</w:t>
      </w:r>
      <w:r w:rsidR="003A0023" w:rsidRPr="00A103E4">
        <w:rPr>
          <w:color w:val="000000"/>
          <w:sz w:val="24"/>
          <w:szCs w:val="24"/>
        </w:rPr>
        <w:t xml:space="preserve"> </w:t>
      </w:r>
      <w:r w:rsidRPr="00A103E4">
        <w:rPr>
          <w:color w:val="000000"/>
          <w:sz w:val="24"/>
          <w:szCs w:val="24"/>
        </w:rPr>
        <w:t xml:space="preserve"> W przypadku gdy ważność dokumentów związanych z prowadzeniem działalności gospodarczej w zakresie przedmiotu umowy upływa w trakcie trwania umowy, Zamawiający zobowiązuje Wykonawcę do niezwłocznego przedłożenia nowych, ważnych dokumentów, celem upewnienia się, że Wykonawca posiada uprawnienia do prowadzenia określonej działalności.</w:t>
      </w:r>
    </w:p>
    <w:p w14:paraId="36D8C6E6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 xml:space="preserve">Wykonawca oświadcza, że dysponuje odpowiednim potencjałem technicznym oraz osobowym gwarantującym prawidłową realizację umowy. </w:t>
      </w:r>
    </w:p>
    <w:p w14:paraId="355337E7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Wykonawca przedstawi posiadane</w:t>
      </w:r>
      <w:r w:rsidR="00B00F5D" w:rsidRPr="00A103E4">
        <w:rPr>
          <w:color w:val="000000"/>
          <w:sz w:val="24"/>
          <w:szCs w:val="24"/>
        </w:rPr>
        <w:t xml:space="preserve"> wymagane prawem</w:t>
      </w:r>
      <w:r w:rsidRPr="00A103E4">
        <w:rPr>
          <w:color w:val="000000"/>
          <w:sz w:val="24"/>
          <w:szCs w:val="24"/>
        </w:rPr>
        <w:t xml:space="preserve"> decyzje</w:t>
      </w:r>
      <w:r w:rsidR="00B00F5D" w:rsidRPr="00A103E4">
        <w:rPr>
          <w:color w:val="000000"/>
          <w:sz w:val="24"/>
          <w:szCs w:val="24"/>
        </w:rPr>
        <w:t>, pozwolenia</w:t>
      </w:r>
      <w:r w:rsidR="003D2A67">
        <w:rPr>
          <w:color w:val="000000"/>
          <w:sz w:val="24"/>
          <w:szCs w:val="24"/>
        </w:rPr>
        <w:t>,</w:t>
      </w:r>
      <w:r w:rsidRPr="00A103E4">
        <w:rPr>
          <w:color w:val="000000"/>
          <w:sz w:val="24"/>
          <w:szCs w:val="24"/>
        </w:rPr>
        <w:t xml:space="preserve"> przedłoży zawiadomienie o nadaniu numeru rejestrowego i aktywacji konta w bazie danych o produktach i opakowaniach oraz o gospodarce odpadami wydanym przez Marszałka zgodnie z obowiązującą ustawą o odpadach.</w:t>
      </w:r>
    </w:p>
    <w:p w14:paraId="5494644B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Wykonawca zobowiązuje się w usta</w:t>
      </w:r>
      <w:r w:rsidR="003D2A67">
        <w:rPr>
          <w:color w:val="000000"/>
          <w:sz w:val="24"/>
          <w:szCs w:val="24"/>
        </w:rPr>
        <w:t>lonym z Zamawiającym</w:t>
      </w:r>
      <w:r w:rsidR="007513C2" w:rsidRPr="00A103E4">
        <w:rPr>
          <w:color w:val="000000"/>
          <w:sz w:val="24"/>
          <w:szCs w:val="24"/>
        </w:rPr>
        <w:t xml:space="preserve"> dniu</w:t>
      </w:r>
      <w:r w:rsidRPr="00A103E4">
        <w:rPr>
          <w:color w:val="000000"/>
          <w:sz w:val="24"/>
          <w:szCs w:val="24"/>
        </w:rPr>
        <w:t xml:space="preserve"> tygodnia </w:t>
      </w:r>
      <w:r w:rsidR="007513C2" w:rsidRPr="00A103E4">
        <w:rPr>
          <w:color w:val="000000"/>
          <w:sz w:val="24"/>
          <w:szCs w:val="24"/>
        </w:rPr>
        <w:t>w godzinach od 8:00 – 14</w:t>
      </w:r>
      <w:r w:rsidRPr="00A103E4">
        <w:rPr>
          <w:color w:val="000000"/>
          <w:sz w:val="24"/>
          <w:szCs w:val="24"/>
        </w:rPr>
        <w:t>:00 odbierać</w:t>
      </w:r>
      <w:r w:rsidR="007513C2" w:rsidRPr="00A103E4">
        <w:rPr>
          <w:color w:val="000000"/>
          <w:sz w:val="24"/>
          <w:szCs w:val="24"/>
        </w:rPr>
        <w:t xml:space="preserve"> odpady będące przedmiotem umowy</w:t>
      </w:r>
      <w:r w:rsidRPr="00A103E4">
        <w:rPr>
          <w:color w:val="000000"/>
          <w:sz w:val="24"/>
          <w:szCs w:val="24"/>
        </w:rPr>
        <w:t xml:space="preserve"> </w:t>
      </w:r>
      <w:r w:rsidR="007513C2" w:rsidRPr="00A103E4">
        <w:rPr>
          <w:color w:val="000000"/>
          <w:sz w:val="24"/>
          <w:szCs w:val="24"/>
        </w:rPr>
        <w:t>(kod odpadu 16 03 80-</w:t>
      </w:r>
      <w:r w:rsidR="00AA432B" w:rsidRPr="00A103E4">
        <w:rPr>
          <w:color w:val="000000"/>
          <w:sz w:val="24"/>
          <w:szCs w:val="24"/>
        </w:rPr>
        <w:t xml:space="preserve"> Produkty spożywcze </w:t>
      </w:r>
      <w:r w:rsidR="00AA432B" w:rsidRPr="00A103E4">
        <w:rPr>
          <w:color w:val="000000"/>
          <w:sz w:val="24"/>
          <w:szCs w:val="24"/>
        </w:rPr>
        <w:lastRenderedPageBreak/>
        <w:t>przeterminowane lub nieprzydatne do spożycia</w:t>
      </w:r>
      <w:r w:rsidR="00C14356" w:rsidRPr="00A103E4">
        <w:rPr>
          <w:color w:val="000000"/>
          <w:sz w:val="24"/>
          <w:szCs w:val="24"/>
        </w:rPr>
        <w:t>)</w:t>
      </w:r>
      <w:r w:rsidR="007513C2" w:rsidRPr="00A103E4">
        <w:rPr>
          <w:color w:val="000000"/>
          <w:sz w:val="24"/>
          <w:szCs w:val="24"/>
        </w:rPr>
        <w:t>,</w:t>
      </w:r>
      <w:r w:rsidRPr="00A103E4">
        <w:rPr>
          <w:color w:val="000000"/>
          <w:sz w:val="24"/>
          <w:szCs w:val="24"/>
        </w:rPr>
        <w:t xml:space="preserve">jeżeli odbiór przypadnie w dzień wolny od pracy odbiór </w:t>
      </w:r>
      <w:r w:rsidR="007513C2" w:rsidRPr="00A103E4">
        <w:rPr>
          <w:color w:val="000000"/>
          <w:sz w:val="24"/>
          <w:szCs w:val="24"/>
        </w:rPr>
        <w:t>nastąpi w kolejny dzień roboczy</w:t>
      </w:r>
      <w:r w:rsidRPr="00A103E4">
        <w:rPr>
          <w:color w:val="000000"/>
          <w:sz w:val="24"/>
          <w:szCs w:val="24"/>
        </w:rPr>
        <w:t xml:space="preserve">. </w:t>
      </w:r>
    </w:p>
    <w:p w14:paraId="5BD8871B" w14:textId="77777777" w:rsidR="00C14356" w:rsidRPr="00A103E4" w:rsidRDefault="00AA432B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Wykonawca zobowiązuje się</w:t>
      </w:r>
      <w:r w:rsidR="003F5D21" w:rsidRPr="00A103E4">
        <w:rPr>
          <w:color w:val="000000"/>
          <w:sz w:val="24"/>
          <w:szCs w:val="24"/>
        </w:rPr>
        <w:t xml:space="preserve"> do cotygodniowego odbioru odpadów w pojemnikach 240 litrowych dostarczanych na wymianę, które będą posiadać kółka umożliwiające ich przemieszczanie na terenie Szpitala. Każdorazowo dostarczane przez Wykonawcę pojemniki będą szczelne, zamykane, czyste, zdezynfekowane,</w:t>
      </w:r>
      <w:r w:rsidR="00C14356" w:rsidRPr="00A103E4">
        <w:rPr>
          <w:color w:val="000000"/>
          <w:sz w:val="24"/>
          <w:szCs w:val="24"/>
        </w:rPr>
        <w:t xml:space="preserve"> sprawne technicznie,</w:t>
      </w:r>
      <w:r w:rsidR="003F5D21" w:rsidRPr="00A103E4">
        <w:rPr>
          <w:color w:val="000000"/>
          <w:sz w:val="24"/>
          <w:szCs w:val="24"/>
        </w:rPr>
        <w:t xml:space="preserve"> przystosowane do gromadzenia odpadów będących przedmiotem umowy. </w:t>
      </w:r>
    </w:p>
    <w:p w14:paraId="1CC40C4C" w14:textId="77777777" w:rsidR="00F930D7" w:rsidRPr="00A103E4" w:rsidRDefault="00F930D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Rozładunek dostarczonych pojemników 240 litrowych oraz załadunek pojemników z odpadami na środki transportu Wykonawcy po stronie Wykonawcy umowy.</w:t>
      </w:r>
    </w:p>
    <w:p w14:paraId="28189242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Po podpisaniu</w:t>
      </w:r>
      <w:r w:rsidR="007513C2" w:rsidRPr="00A103E4">
        <w:rPr>
          <w:color w:val="000000"/>
          <w:sz w:val="24"/>
          <w:szCs w:val="24"/>
        </w:rPr>
        <w:t xml:space="preserve"> umowy Wykonawca dostarczy, na 7</w:t>
      </w:r>
      <w:r w:rsidRPr="00A103E4">
        <w:rPr>
          <w:color w:val="000000"/>
          <w:sz w:val="24"/>
          <w:szCs w:val="24"/>
        </w:rPr>
        <w:t xml:space="preserve"> dni przed pierwszym terminem odbioru odpadów czyste,</w:t>
      </w:r>
      <w:r w:rsidR="00AA432B" w:rsidRPr="00A103E4">
        <w:rPr>
          <w:color w:val="000000"/>
          <w:sz w:val="24"/>
          <w:szCs w:val="24"/>
        </w:rPr>
        <w:t xml:space="preserve"> zdezynfekowane,</w:t>
      </w:r>
      <w:r w:rsidRPr="00A103E4">
        <w:rPr>
          <w:color w:val="000000"/>
          <w:sz w:val="24"/>
          <w:szCs w:val="24"/>
        </w:rPr>
        <w:t xml:space="preserve"> puste, sprawne technicznie,</w:t>
      </w:r>
      <w:r w:rsidR="00AA432B" w:rsidRPr="00A103E4">
        <w:rPr>
          <w:color w:val="000000"/>
          <w:sz w:val="24"/>
          <w:szCs w:val="24"/>
        </w:rPr>
        <w:t xml:space="preserve"> przystosowane do gromadzenia odpadów będących przedmiotem umowy,</w:t>
      </w:r>
      <w:r w:rsidRPr="00A103E4">
        <w:rPr>
          <w:color w:val="000000"/>
          <w:sz w:val="24"/>
          <w:szCs w:val="24"/>
        </w:rPr>
        <w:t xml:space="preserve"> wyposażone w system jezdny zamykane pojemniki o pojemności </w:t>
      </w:r>
      <w:r w:rsidR="007513C2" w:rsidRPr="00A103E4">
        <w:rPr>
          <w:color w:val="000000"/>
          <w:sz w:val="24"/>
          <w:szCs w:val="24"/>
        </w:rPr>
        <w:t>240 l (14 sztuk) np. pojemnik MGB 240</w:t>
      </w:r>
      <w:r w:rsidRPr="00A103E4">
        <w:rPr>
          <w:color w:val="000000"/>
          <w:sz w:val="24"/>
          <w:szCs w:val="24"/>
        </w:rPr>
        <w:t xml:space="preserve">. </w:t>
      </w:r>
    </w:p>
    <w:p w14:paraId="51AFAEDD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sz w:val="24"/>
          <w:szCs w:val="24"/>
        </w:rPr>
        <w:t>Wykonawca nieodpłatnie przekaże Zamawiającemu na czas trwania umowy do użytkow</w:t>
      </w:r>
      <w:r w:rsidR="007513C2" w:rsidRPr="00A103E4">
        <w:rPr>
          <w:sz w:val="24"/>
          <w:szCs w:val="24"/>
        </w:rPr>
        <w:t>ania pojemniki o pojemności 240</w:t>
      </w:r>
      <w:r w:rsidRPr="00A103E4">
        <w:rPr>
          <w:sz w:val="24"/>
          <w:szCs w:val="24"/>
        </w:rPr>
        <w:t xml:space="preserve"> l. Pojemniki stanowią własność Wykonawcy.</w:t>
      </w:r>
    </w:p>
    <w:p w14:paraId="5BD439A9" w14:textId="77777777" w:rsidR="007513C2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 xml:space="preserve">W przypadku niewystarczającej </w:t>
      </w:r>
      <w:r w:rsidRPr="00A103E4">
        <w:rPr>
          <w:sz w:val="24"/>
          <w:szCs w:val="24"/>
        </w:rPr>
        <w:t xml:space="preserve">liczby </w:t>
      </w:r>
      <w:r w:rsidRPr="00A103E4">
        <w:rPr>
          <w:color w:val="000000"/>
          <w:sz w:val="24"/>
          <w:szCs w:val="24"/>
        </w:rPr>
        <w:t>posiadanych pojemników Zamawiający zgłosi Wykonawcy konieczność ich dostarczenia</w:t>
      </w:r>
      <w:r w:rsidR="007513C2" w:rsidRPr="00A103E4">
        <w:rPr>
          <w:color w:val="000000"/>
          <w:sz w:val="24"/>
          <w:szCs w:val="24"/>
        </w:rPr>
        <w:t xml:space="preserve"> przy kolejnym odbiorze</w:t>
      </w:r>
      <w:r w:rsidRPr="00A103E4">
        <w:rPr>
          <w:color w:val="000000"/>
          <w:sz w:val="24"/>
          <w:szCs w:val="24"/>
        </w:rPr>
        <w:t xml:space="preserve"> na adres e-mail ……………………………………..</w:t>
      </w:r>
    </w:p>
    <w:p w14:paraId="77B4FF61" w14:textId="77777777" w:rsidR="00C36027" w:rsidRPr="00A103E4" w:rsidRDefault="007513C2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 xml:space="preserve"> </w:t>
      </w:r>
      <w:r w:rsidR="00C36027" w:rsidRPr="00A103E4">
        <w:rPr>
          <w:color w:val="000000"/>
          <w:sz w:val="24"/>
          <w:szCs w:val="24"/>
        </w:rPr>
        <w:t xml:space="preserve">Wykonawca w czasie odbioru odpadów od Zamawiającego zobowiązuje się do utrzymywania porządku wokół pojemników np. posprzątania rozsypanych </w:t>
      </w:r>
      <w:r w:rsidR="00C36027" w:rsidRPr="00A103E4">
        <w:rPr>
          <w:sz w:val="24"/>
          <w:szCs w:val="24"/>
        </w:rPr>
        <w:t>podczas odbioru</w:t>
      </w:r>
      <w:r w:rsidR="00C36027" w:rsidRPr="00A103E4">
        <w:rPr>
          <w:color w:val="000000"/>
          <w:sz w:val="24"/>
          <w:szCs w:val="24"/>
        </w:rPr>
        <w:t xml:space="preserve"> odpadów.</w:t>
      </w:r>
    </w:p>
    <w:p w14:paraId="75B61728" w14:textId="77777777" w:rsidR="00A2123C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Rozliczenie Zamawiającego z Wykonawcą będzie się odbywać na podstawie</w:t>
      </w:r>
      <w:r w:rsidR="003F5D21" w:rsidRPr="00A103E4">
        <w:rPr>
          <w:color w:val="000000"/>
          <w:sz w:val="24"/>
          <w:szCs w:val="24"/>
        </w:rPr>
        <w:t xml:space="preserve"> faktur wystawianych przez Wykonawcę, każdorazowo po dokonanym odbiorze uwzględniając</w:t>
      </w:r>
      <w:r w:rsidRPr="00A103E4">
        <w:rPr>
          <w:color w:val="000000"/>
          <w:sz w:val="24"/>
          <w:szCs w:val="24"/>
        </w:rPr>
        <w:t xml:space="preserve"> </w:t>
      </w:r>
      <w:r w:rsidRPr="00A103E4">
        <w:rPr>
          <w:sz w:val="24"/>
          <w:szCs w:val="24"/>
        </w:rPr>
        <w:t>rzeczywist</w:t>
      </w:r>
      <w:r w:rsidR="003F5D21" w:rsidRPr="00A103E4">
        <w:rPr>
          <w:sz w:val="24"/>
          <w:szCs w:val="24"/>
        </w:rPr>
        <w:t>ą</w:t>
      </w:r>
      <w:r w:rsidRPr="00A103E4">
        <w:rPr>
          <w:color w:val="000000"/>
          <w:sz w:val="24"/>
          <w:szCs w:val="24"/>
        </w:rPr>
        <w:t xml:space="preserve"> </w:t>
      </w:r>
      <w:r w:rsidRPr="00A103E4">
        <w:rPr>
          <w:sz w:val="24"/>
          <w:szCs w:val="24"/>
        </w:rPr>
        <w:t>liczb</w:t>
      </w:r>
      <w:r w:rsidR="003F5D21" w:rsidRPr="00A103E4">
        <w:rPr>
          <w:sz w:val="24"/>
          <w:szCs w:val="24"/>
        </w:rPr>
        <w:t>ę</w:t>
      </w:r>
      <w:r w:rsidRPr="00A103E4">
        <w:rPr>
          <w:color w:val="000000"/>
          <w:sz w:val="24"/>
          <w:szCs w:val="24"/>
        </w:rPr>
        <w:t xml:space="preserve"> odebranych pojemników</w:t>
      </w:r>
      <w:r w:rsidRPr="00A103E4">
        <w:rPr>
          <w:sz w:val="24"/>
          <w:szCs w:val="24"/>
        </w:rPr>
        <w:t xml:space="preserve"> przez Wykonawcę</w:t>
      </w:r>
      <w:r w:rsidR="003D2A67">
        <w:rPr>
          <w:sz w:val="24"/>
          <w:szCs w:val="24"/>
        </w:rPr>
        <w:t>.</w:t>
      </w:r>
      <w:r w:rsidRPr="00A103E4">
        <w:rPr>
          <w:color w:val="000000"/>
          <w:sz w:val="24"/>
          <w:szCs w:val="24"/>
        </w:rPr>
        <w:t xml:space="preserve"> </w:t>
      </w:r>
    </w:p>
    <w:p w14:paraId="65A36186" w14:textId="77777777" w:rsidR="003A0023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 xml:space="preserve">Dla odpadów będących przedmiotem umowy zostanie przygotowana przez Zamawiającego stosowana Karta Przekazania Odpadów w „systemie BDO”, zgodnie z aktualnymi wymaganiami prawnymi w tym zakresie. </w:t>
      </w:r>
      <w:r w:rsidR="00C14356" w:rsidRPr="00A103E4">
        <w:rPr>
          <w:color w:val="000000"/>
          <w:sz w:val="24"/>
          <w:szCs w:val="24"/>
        </w:rPr>
        <w:t xml:space="preserve">W Karcie Przekazania Odpadów zostanie zawarta </w:t>
      </w:r>
      <w:r w:rsidR="003D2A67">
        <w:rPr>
          <w:color w:val="000000"/>
          <w:sz w:val="24"/>
          <w:szCs w:val="24"/>
        </w:rPr>
        <w:t>informacja o ilości przekazanych Wykonawcy</w:t>
      </w:r>
      <w:r w:rsidR="00C14356" w:rsidRPr="00A103E4">
        <w:rPr>
          <w:color w:val="000000"/>
          <w:sz w:val="24"/>
          <w:szCs w:val="24"/>
        </w:rPr>
        <w:t xml:space="preserve"> pojemników. </w:t>
      </w:r>
      <w:r w:rsidRPr="00A103E4">
        <w:rPr>
          <w:color w:val="000000"/>
          <w:sz w:val="24"/>
          <w:szCs w:val="24"/>
        </w:rPr>
        <w:t>Wykonawca jest zobowiązany przed przygotowaniem Karty Przekazania Odpadu przez Zamawiającego, przedstawić mu niezbędne dane do prawidłowego jej przygotowania.</w:t>
      </w:r>
    </w:p>
    <w:p w14:paraId="47E14598" w14:textId="77777777" w:rsidR="00C36027" w:rsidRPr="003D2A67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 xml:space="preserve"> </w:t>
      </w:r>
      <w:r w:rsidR="00C14356" w:rsidRPr="00A103E4">
        <w:rPr>
          <w:color w:val="000000"/>
          <w:sz w:val="24"/>
          <w:szCs w:val="24"/>
        </w:rPr>
        <w:t>Ze</w:t>
      </w:r>
      <w:r w:rsidR="00F930D7" w:rsidRPr="00A103E4">
        <w:rPr>
          <w:color w:val="000000"/>
          <w:sz w:val="24"/>
          <w:szCs w:val="24"/>
        </w:rPr>
        <w:t xml:space="preserve"> względu na charakter odpadów (</w:t>
      </w:r>
      <w:r w:rsidR="00C14356" w:rsidRPr="00A103E4">
        <w:rPr>
          <w:color w:val="000000"/>
          <w:sz w:val="24"/>
          <w:szCs w:val="24"/>
        </w:rPr>
        <w:t>zawartość ubocznych produktów pochodzenia zwierzęcego – materiał kat III</w:t>
      </w:r>
      <w:r w:rsidR="00F930D7" w:rsidRPr="00A103E4">
        <w:rPr>
          <w:color w:val="000000"/>
          <w:sz w:val="24"/>
          <w:szCs w:val="24"/>
        </w:rPr>
        <w:t>) dodatkowo odbiór odpadów będzie potwierdzany dokumentem handlowym stosowanym przy przewozie produktów ubocznych pochodzenia zwierzęcego nieprzeznaczonych do spożycia przez ludzi lub produktów pochodnych KATEGORIA 3 w rozumieniu rozporządzenia nr 1069/2009.Dokument handlowy będzie stosowany w miarę potrzeb Wykonawcy, mając na uwadze dalszy sposób postępowania z odebranym odpadem przez Wykonawcę (dalsze zagospodarowanie odpadu).</w:t>
      </w:r>
    </w:p>
    <w:p w14:paraId="2837B1FC" w14:textId="77777777" w:rsidR="003D2A67" w:rsidRPr="003D2A67" w:rsidRDefault="003D2A6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24"/>
          <w:szCs w:val="24"/>
        </w:rPr>
      </w:pPr>
      <w:r w:rsidRPr="003D2A67">
        <w:rPr>
          <w:rFonts w:asciiTheme="majorHAnsi" w:hAnsiTheme="majorHAnsi" w:cstheme="minorHAnsi"/>
          <w:sz w:val="24"/>
          <w:szCs w:val="24"/>
        </w:rPr>
        <w:t>Przedstawicielami ze strony Zamawiającego odpowie</w:t>
      </w:r>
      <w:r w:rsidR="00BB49D5">
        <w:rPr>
          <w:rFonts w:asciiTheme="majorHAnsi" w:hAnsiTheme="majorHAnsi" w:cstheme="minorHAnsi"/>
          <w:sz w:val="24"/>
          <w:szCs w:val="24"/>
        </w:rPr>
        <w:t>dzialnymi za realizację umowy jest</w:t>
      </w:r>
      <w:r w:rsidRPr="003D2A67">
        <w:rPr>
          <w:rFonts w:asciiTheme="majorHAnsi" w:hAnsiTheme="majorHAnsi" w:cstheme="minorHAnsi"/>
          <w:sz w:val="24"/>
          <w:szCs w:val="24"/>
        </w:rPr>
        <w:t xml:space="preserve">: </w:t>
      </w:r>
      <w:r w:rsidR="00BB49D5">
        <w:rPr>
          <w:rFonts w:asciiTheme="majorHAnsi" w:hAnsiTheme="majorHAnsi" w:cstheme="minorHAnsi"/>
          <w:sz w:val="24"/>
          <w:szCs w:val="24"/>
        </w:rPr>
        <w:t>Koordynator ds. ochrony środowiska</w:t>
      </w:r>
      <w:r w:rsidRPr="003D2A67">
        <w:rPr>
          <w:rFonts w:asciiTheme="majorHAnsi" w:hAnsiTheme="majorHAnsi" w:cstheme="minorHAnsi"/>
          <w:sz w:val="24"/>
          <w:szCs w:val="24"/>
        </w:rPr>
        <w:t xml:space="preserve"> tel. 67 2106 246</w:t>
      </w:r>
      <w:r w:rsidR="00BB49D5">
        <w:rPr>
          <w:rFonts w:asciiTheme="majorHAnsi" w:hAnsiTheme="majorHAnsi" w:cstheme="minorHAnsi"/>
          <w:sz w:val="24"/>
          <w:szCs w:val="24"/>
        </w:rPr>
        <w:t>, Kierownik Działu Elektrotechnicznego tel. 67 2106 250</w:t>
      </w:r>
      <w:r w:rsidRPr="003D2A67">
        <w:rPr>
          <w:rFonts w:asciiTheme="majorHAnsi" w:hAnsiTheme="majorHAnsi" w:cstheme="minorHAnsi"/>
          <w:sz w:val="24"/>
          <w:szCs w:val="24"/>
        </w:rPr>
        <w:t>.</w:t>
      </w:r>
    </w:p>
    <w:p w14:paraId="7BB3DB3F" w14:textId="77777777" w:rsidR="00C36027" w:rsidRPr="003D2A67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3D2A67">
        <w:rPr>
          <w:color w:val="000000"/>
          <w:sz w:val="24"/>
          <w:szCs w:val="24"/>
        </w:rPr>
        <w:t>Wykonawca może powierzyć</w:t>
      </w:r>
      <w:r w:rsidRPr="003D2A67">
        <w:rPr>
          <w:sz w:val="24"/>
          <w:szCs w:val="24"/>
        </w:rPr>
        <w:t xml:space="preserve"> </w:t>
      </w:r>
      <w:r w:rsidRPr="003D2A67">
        <w:rPr>
          <w:color w:val="000000"/>
          <w:sz w:val="24"/>
          <w:szCs w:val="24"/>
        </w:rPr>
        <w:t xml:space="preserve">wykonanie części usług podwykonawcom pod warunkiem, że posiadają oni kwalifikacje do ich wykonania (potencjał osobowy i techniczny). Wykonywanie prac w podwykonawstwie nie zwalnia Wykonawcy z odpowiedzialności za wykonanie obowiązków wynikających z umowy i </w:t>
      </w:r>
      <w:r w:rsidRPr="003D2A67">
        <w:rPr>
          <w:color w:val="000000"/>
          <w:sz w:val="24"/>
          <w:szCs w:val="24"/>
        </w:rPr>
        <w:lastRenderedPageBreak/>
        <w:t>obowiązujących przepisów prawa. Wykonawca odpowiada za działania i zaniechania podwykonawców jak za własne.</w:t>
      </w:r>
    </w:p>
    <w:p w14:paraId="3DEF03C3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W prz</w:t>
      </w:r>
      <w:r w:rsidR="003F5D21" w:rsidRPr="00A103E4">
        <w:rPr>
          <w:color w:val="000000"/>
          <w:sz w:val="24"/>
          <w:szCs w:val="24"/>
        </w:rPr>
        <w:t>ypadku uszkodzeń pojemników 240</w:t>
      </w:r>
      <w:r w:rsidRPr="00A103E4">
        <w:rPr>
          <w:color w:val="000000"/>
          <w:sz w:val="24"/>
          <w:szCs w:val="24"/>
        </w:rPr>
        <w:t xml:space="preserve"> l, które mogą powstać podczas realizacji umowy, koszty napraw, wymiany, zakupu nowych pojemników </w:t>
      </w:r>
      <w:r w:rsidRPr="00A103E4">
        <w:rPr>
          <w:sz w:val="24"/>
          <w:szCs w:val="24"/>
        </w:rPr>
        <w:t>ponosi</w:t>
      </w:r>
      <w:r w:rsidRPr="00A103E4">
        <w:rPr>
          <w:color w:val="000000"/>
          <w:sz w:val="24"/>
          <w:szCs w:val="24"/>
        </w:rPr>
        <w:t xml:space="preserve"> Wykonawc</w:t>
      </w:r>
      <w:r w:rsidRPr="00A103E4">
        <w:rPr>
          <w:sz w:val="24"/>
          <w:szCs w:val="24"/>
        </w:rPr>
        <w:t>a</w:t>
      </w:r>
      <w:r w:rsidRPr="00A103E4">
        <w:rPr>
          <w:color w:val="000000"/>
          <w:sz w:val="24"/>
          <w:szCs w:val="24"/>
        </w:rPr>
        <w:t>.</w:t>
      </w:r>
    </w:p>
    <w:p w14:paraId="15701DB1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Wykonawca w momencie odbioru odpadów od Zamawiającego przejmuje pełną odpowiedzialność prawną za odebrane odpady, ich zagospodarowania zgodnie z obowiązującymi przepisami.</w:t>
      </w:r>
    </w:p>
    <w:p w14:paraId="092FDE94" w14:textId="77777777" w:rsidR="003A0023" w:rsidRDefault="003A0023" w:rsidP="00384CB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</w:rPr>
      </w:pPr>
      <w:r w:rsidRPr="00A103E4">
        <w:rPr>
          <w:rFonts w:asciiTheme="majorHAnsi" w:hAnsiTheme="majorHAnsi" w:cstheme="minorHAnsi"/>
        </w:rPr>
        <w:t>W przypadku powierzenia wykonania części zamówienia innym podmiotom przez Wykonawcę, odpowiedzialność za jego zgodne z wymaganiami prawnymi wykonanie spoczywa na Wykonawcy, którego oferta zostanie wybrana do realizacji zamówienia. Wszelkie koszty związane z powierzeniem wykonywania części usług innym podmiotom, w szczególności koszty wynagrodzenia tego podmiotu ponosi wyłącznie Wykonawca, ponadto Wykonawca zobowiązuje się dokonywać rozliczeń z tym podmiotem we własnym zakresie</w:t>
      </w:r>
      <w:r w:rsidR="00A103E4" w:rsidRPr="00A103E4">
        <w:rPr>
          <w:rFonts w:asciiTheme="majorHAnsi" w:hAnsiTheme="majorHAnsi" w:cstheme="minorHAnsi"/>
        </w:rPr>
        <w:t>.</w:t>
      </w:r>
    </w:p>
    <w:p w14:paraId="0C7A8DFD" w14:textId="77777777" w:rsidR="003D2A67" w:rsidRPr="00A103E4" w:rsidRDefault="003D2A67" w:rsidP="00384CB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</w:rPr>
      </w:pPr>
    </w:p>
    <w:p w14:paraId="54A5DB8E" w14:textId="77777777" w:rsidR="003A0023" w:rsidRDefault="003A0023" w:rsidP="00384CB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</w:rPr>
      </w:pPr>
    </w:p>
    <w:p w14:paraId="79E4BCB6" w14:textId="77777777" w:rsidR="0073584E" w:rsidRPr="00A103E4" w:rsidRDefault="0073584E" w:rsidP="00384CB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</w:rPr>
      </w:pPr>
    </w:p>
    <w:p w14:paraId="5728820F" w14:textId="77777777" w:rsidR="003A0023" w:rsidRPr="00A103E4" w:rsidRDefault="003A0023" w:rsidP="00384CB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</w:rPr>
      </w:pPr>
      <w:r w:rsidRPr="00A103E4">
        <w:rPr>
          <w:rFonts w:asciiTheme="majorHAnsi" w:hAnsiTheme="majorHAnsi" w:cstheme="minorHAnsi"/>
        </w:rPr>
        <w:t>Wykonawca w zakresie świadczonej usługi ponosi wszelkie konsekwencje prawne i finansowe przed organami uprawnionymi do kontroli za prawidłowość odbioru, transportu i unie</w:t>
      </w:r>
      <w:r w:rsidR="00A103E4" w:rsidRPr="00A103E4">
        <w:rPr>
          <w:rFonts w:asciiTheme="majorHAnsi" w:hAnsiTheme="majorHAnsi" w:cstheme="minorHAnsi"/>
        </w:rPr>
        <w:t>szkodliwiania odpadów</w:t>
      </w:r>
      <w:r w:rsidRPr="00A103E4">
        <w:rPr>
          <w:rFonts w:asciiTheme="majorHAnsi" w:hAnsiTheme="majorHAnsi" w:cstheme="minorHAnsi"/>
        </w:rPr>
        <w:t xml:space="preserve"> odebranych od Zamawiającego oraz zobowiązuje się do wykonania wydanych przez nich w tym zakresie zaleceń, na własny koszt i ryzyko</w:t>
      </w:r>
      <w:r w:rsidR="00A103E4" w:rsidRPr="00A103E4">
        <w:rPr>
          <w:rFonts w:asciiTheme="majorHAnsi" w:hAnsiTheme="majorHAnsi" w:cstheme="minorHAnsi"/>
        </w:rPr>
        <w:t>.</w:t>
      </w:r>
    </w:p>
    <w:p w14:paraId="481261AD" w14:textId="77777777" w:rsidR="003A0023" w:rsidRPr="003D2A67" w:rsidRDefault="003A0023" w:rsidP="00384CB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14:paraId="0439F6BA" w14:textId="77777777" w:rsidR="003A0023" w:rsidRPr="00A103E4" w:rsidRDefault="003A0023" w:rsidP="00384CB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</w:rPr>
      </w:pPr>
      <w:r w:rsidRPr="00A103E4">
        <w:rPr>
          <w:rFonts w:asciiTheme="majorHAnsi" w:hAnsiTheme="majorHAnsi" w:cstheme="minorHAnsi"/>
        </w:rPr>
        <w:t>Każde niewykonanie usługi przez Wykonawcę lub nienależyte wykonanie lub opóźnienie w jej wykonaniu uprawnia Zamawiającego do zaangażowania innych osób prawnych lub fizycznych w celu realizacji przedmiotu zamówienia (tzw. wykonanie zastępcze). Koszty wykonania zastępczego będą obciążać Wykonawcę</w:t>
      </w:r>
      <w:r w:rsidR="00A103E4" w:rsidRPr="00A103E4">
        <w:rPr>
          <w:rFonts w:asciiTheme="majorHAnsi" w:hAnsiTheme="majorHAnsi" w:cstheme="minorHAnsi"/>
        </w:rPr>
        <w:t>.</w:t>
      </w:r>
    </w:p>
    <w:p w14:paraId="3EBAFEFC" w14:textId="77777777" w:rsidR="003A0023" w:rsidRPr="00A103E4" w:rsidRDefault="003A0023" w:rsidP="00384CB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</w:rPr>
      </w:pPr>
    </w:p>
    <w:p w14:paraId="26D4D2FA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Po upływie okresu obowiązywania umowy pojemniki Zamawiający zwróci Wykonawcy.</w:t>
      </w:r>
    </w:p>
    <w:p w14:paraId="4DAE9AF5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 xml:space="preserve">Wykonawca zobowiązuje się do pokrycia wszelkich kar, nałożonych na Zamawiającego, wynikających z nieprzestrzegania przez Wykonawcę obowiązujących przepisów prawa, przepisów bhp, p. </w:t>
      </w:r>
      <w:proofErr w:type="spellStart"/>
      <w:r w:rsidRPr="00A103E4">
        <w:rPr>
          <w:color w:val="000000"/>
          <w:sz w:val="24"/>
          <w:szCs w:val="24"/>
        </w:rPr>
        <w:t>poż</w:t>
      </w:r>
      <w:proofErr w:type="spellEnd"/>
      <w:r w:rsidRPr="00A103E4">
        <w:rPr>
          <w:color w:val="000000"/>
          <w:sz w:val="24"/>
          <w:szCs w:val="24"/>
        </w:rPr>
        <w:t>., ochrony środowiska oraz zaleceń jednostek kontrolujących w zakresie świadczonych usług.</w:t>
      </w:r>
    </w:p>
    <w:p w14:paraId="3E7B968D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sz w:val="24"/>
          <w:szCs w:val="24"/>
        </w:rPr>
        <w:t>Zamawiający zastrzega, że podane orientacyjne liczby odbieranych pojemników są szacunkowe i mogą ulec zmianie w trakcie trwania umowy</w:t>
      </w:r>
      <w:r w:rsidR="003F5D21" w:rsidRPr="00A103E4">
        <w:rPr>
          <w:sz w:val="24"/>
          <w:szCs w:val="24"/>
        </w:rPr>
        <w:t>, rozliczenie Zamawiającego z Wykonawcą odbywa się na podstaw</w:t>
      </w:r>
      <w:r w:rsidR="0098388D" w:rsidRPr="00A103E4">
        <w:rPr>
          <w:sz w:val="24"/>
          <w:szCs w:val="24"/>
        </w:rPr>
        <w:t>ie ilości odebranych przez Wykonawcę pojemników</w:t>
      </w:r>
      <w:r w:rsidRPr="00A103E4">
        <w:rPr>
          <w:sz w:val="24"/>
          <w:szCs w:val="24"/>
        </w:rPr>
        <w:t>.</w:t>
      </w:r>
    </w:p>
    <w:bookmarkEnd w:id="0"/>
    <w:p w14:paraId="264B6821" w14:textId="77777777" w:rsidR="00C36027" w:rsidRPr="00A103E4" w:rsidRDefault="00C36027" w:rsidP="00384CBA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A103E4">
        <w:rPr>
          <w:color w:val="000000"/>
          <w:sz w:val="24"/>
          <w:szCs w:val="24"/>
        </w:rPr>
        <w:t>U</w:t>
      </w:r>
      <w:r w:rsidR="0098388D" w:rsidRPr="00A103E4">
        <w:rPr>
          <w:color w:val="000000"/>
          <w:sz w:val="24"/>
          <w:szCs w:val="24"/>
        </w:rPr>
        <w:t>mowa zostaje zawarta na okres 18 miesięcy</w:t>
      </w:r>
      <w:r w:rsidRPr="00A103E4">
        <w:rPr>
          <w:color w:val="000000"/>
          <w:sz w:val="24"/>
          <w:szCs w:val="24"/>
        </w:rPr>
        <w:t>.</w:t>
      </w:r>
    </w:p>
    <w:p w14:paraId="35E689B7" w14:textId="77777777" w:rsidR="00EA3438" w:rsidRPr="00A103E4" w:rsidRDefault="00EA3438" w:rsidP="006C20A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683DEF25" w14:textId="77777777" w:rsidR="002B1A4F" w:rsidRPr="00A103E4" w:rsidRDefault="002B1A4F" w:rsidP="006C20A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2B0C4B17" w14:textId="77777777" w:rsidR="002B1A4F" w:rsidRPr="00A103E4" w:rsidRDefault="002B1A4F" w:rsidP="006C20A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11A9735F" w14:textId="77777777" w:rsidR="002B1A4F" w:rsidRPr="00A103E4" w:rsidRDefault="002B1A4F" w:rsidP="006C20A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388D37E7" w14:textId="77777777" w:rsidR="00AC0C24" w:rsidRPr="00A103E4" w:rsidRDefault="00AC0C24" w:rsidP="006C20A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sectPr w:rsidR="00AC0C24" w:rsidRPr="00A103E4" w:rsidSect="00384CBA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46E35"/>
    <w:multiLevelType w:val="hybridMultilevel"/>
    <w:tmpl w:val="8DC68BC4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702F0"/>
    <w:multiLevelType w:val="multilevel"/>
    <w:tmpl w:val="DF36C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FB3567"/>
    <w:multiLevelType w:val="multilevel"/>
    <w:tmpl w:val="B6CAF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0404330">
    <w:abstractNumId w:val="2"/>
  </w:num>
  <w:num w:numId="2" w16cid:durableId="451628344">
    <w:abstractNumId w:val="1"/>
  </w:num>
  <w:num w:numId="3" w16cid:durableId="112257975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438"/>
    <w:rsid w:val="00026ABB"/>
    <w:rsid w:val="00077614"/>
    <w:rsid w:val="00086B65"/>
    <w:rsid w:val="000927B7"/>
    <w:rsid w:val="00096320"/>
    <w:rsid w:val="000A0FCF"/>
    <w:rsid w:val="000A255E"/>
    <w:rsid w:val="000A6DA7"/>
    <w:rsid w:val="001057F4"/>
    <w:rsid w:val="00124766"/>
    <w:rsid w:val="00134AA7"/>
    <w:rsid w:val="001376EB"/>
    <w:rsid w:val="00140EAF"/>
    <w:rsid w:val="00154D17"/>
    <w:rsid w:val="0016287D"/>
    <w:rsid w:val="00170F94"/>
    <w:rsid w:val="00197C23"/>
    <w:rsid w:val="001D37F1"/>
    <w:rsid w:val="001D4369"/>
    <w:rsid w:val="001E1DFE"/>
    <w:rsid w:val="002551EC"/>
    <w:rsid w:val="00266A3E"/>
    <w:rsid w:val="002A735D"/>
    <w:rsid w:val="002B1A4F"/>
    <w:rsid w:val="002C3E98"/>
    <w:rsid w:val="002C798C"/>
    <w:rsid w:val="002E71BD"/>
    <w:rsid w:val="002F11EF"/>
    <w:rsid w:val="00355484"/>
    <w:rsid w:val="00365A65"/>
    <w:rsid w:val="00377497"/>
    <w:rsid w:val="0038097B"/>
    <w:rsid w:val="00384CBA"/>
    <w:rsid w:val="003A0023"/>
    <w:rsid w:val="003C3F17"/>
    <w:rsid w:val="003D0C75"/>
    <w:rsid w:val="003D2A67"/>
    <w:rsid w:val="003E56F9"/>
    <w:rsid w:val="003F5D21"/>
    <w:rsid w:val="00403881"/>
    <w:rsid w:val="0040791E"/>
    <w:rsid w:val="004141F3"/>
    <w:rsid w:val="00417256"/>
    <w:rsid w:val="00425FE9"/>
    <w:rsid w:val="004375D6"/>
    <w:rsid w:val="00440C13"/>
    <w:rsid w:val="00476B10"/>
    <w:rsid w:val="00497550"/>
    <w:rsid w:val="004B33FE"/>
    <w:rsid w:val="004D330D"/>
    <w:rsid w:val="004F6A53"/>
    <w:rsid w:val="005161CC"/>
    <w:rsid w:val="00561D99"/>
    <w:rsid w:val="00576031"/>
    <w:rsid w:val="00587D7C"/>
    <w:rsid w:val="005A78AB"/>
    <w:rsid w:val="00603228"/>
    <w:rsid w:val="006317D2"/>
    <w:rsid w:val="00681AD6"/>
    <w:rsid w:val="006841D3"/>
    <w:rsid w:val="006C20A4"/>
    <w:rsid w:val="006F15C1"/>
    <w:rsid w:val="0073584E"/>
    <w:rsid w:val="0074267F"/>
    <w:rsid w:val="007458B1"/>
    <w:rsid w:val="007513C2"/>
    <w:rsid w:val="00782831"/>
    <w:rsid w:val="007A68BD"/>
    <w:rsid w:val="007B3DD0"/>
    <w:rsid w:val="008008F9"/>
    <w:rsid w:val="00853670"/>
    <w:rsid w:val="0085632C"/>
    <w:rsid w:val="008611BD"/>
    <w:rsid w:val="008B045F"/>
    <w:rsid w:val="008E4280"/>
    <w:rsid w:val="008F0726"/>
    <w:rsid w:val="00961151"/>
    <w:rsid w:val="0098388D"/>
    <w:rsid w:val="00994033"/>
    <w:rsid w:val="0099666A"/>
    <w:rsid w:val="009C1F83"/>
    <w:rsid w:val="00A103E4"/>
    <w:rsid w:val="00A2123C"/>
    <w:rsid w:val="00A4394F"/>
    <w:rsid w:val="00A43F6D"/>
    <w:rsid w:val="00A653C9"/>
    <w:rsid w:val="00A7169F"/>
    <w:rsid w:val="00AA432B"/>
    <w:rsid w:val="00AC0C24"/>
    <w:rsid w:val="00AC3082"/>
    <w:rsid w:val="00AC7FCE"/>
    <w:rsid w:val="00AD6581"/>
    <w:rsid w:val="00AE4375"/>
    <w:rsid w:val="00B00F5D"/>
    <w:rsid w:val="00B4777E"/>
    <w:rsid w:val="00BB49D5"/>
    <w:rsid w:val="00BD1769"/>
    <w:rsid w:val="00C036F4"/>
    <w:rsid w:val="00C14356"/>
    <w:rsid w:val="00C36027"/>
    <w:rsid w:val="00C60F24"/>
    <w:rsid w:val="00C626C5"/>
    <w:rsid w:val="00C67A1B"/>
    <w:rsid w:val="00C67FA1"/>
    <w:rsid w:val="00CA788C"/>
    <w:rsid w:val="00CD325B"/>
    <w:rsid w:val="00CD3847"/>
    <w:rsid w:val="00CF518C"/>
    <w:rsid w:val="00D632ED"/>
    <w:rsid w:val="00D92AC8"/>
    <w:rsid w:val="00DA055C"/>
    <w:rsid w:val="00DA4D6F"/>
    <w:rsid w:val="00DE77DD"/>
    <w:rsid w:val="00DF0A7B"/>
    <w:rsid w:val="00DF17B9"/>
    <w:rsid w:val="00E07DDC"/>
    <w:rsid w:val="00E11939"/>
    <w:rsid w:val="00E13475"/>
    <w:rsid w:val="00E43494"/>
    <w:rsid w:val="00E9420B"/>
    <w:rsid w:val="00EA08D2"/>
    <w:rsid w:val="00EA3438"/>
    <w:rsid w:val="00EB63E2"/>
    <w:rsid w:val="00EC0850"/>
    <w:rsid w:val="00F92A2F"/>
    <w:rsid w:val="00F930D7"/>
    <w:rsid w:val="00FC48BF"/>
    <w:rsid w:val="00FD234A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6E0C"/>
  <w15:docId w15:val="{7D77894F-4B94-4F10-AAD5-2DEEC61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670"/>
  </w:style>
  <w:style w:type="paragraph" w:styleId="Nagwek1">
    <w:name w:val="heading 1"/>
    <w:basedOn w:val="Normalny1"/>
    <w:next w:val="Normalny1"/>
    <w:rsid w:val="00EA343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EA343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EA343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EA343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EA343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EA343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A3438"/>
  </w:style>
  <w:style w:type="table" w:customStyle="1" w:styleId="TableNormal">
    <w:name w:val="Table Normal"/>
    <w:rsid w:val="00EA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EA343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EA343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343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A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A343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9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Aleksandra Gałażewska</cp:lastModifiedBy>
  <cp:revision>6</cp:revision>
  <cp:lastPrinted>2021-03-31T10:42:00Z</cp:lastPrinted>
  <dcterms:created xsi:type="dcterms:W3CDTF">2024-10-11T10:39:00Z</dcterms:created>
  <dcterms:modified xsi:type="dcterms:W3CDTF">2024-10-14T08:01:00Z</dcterms:modified>
</cp:coreProperties>
</file>