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end"/>
        <w:rPr>
          <w:rFonts w:ascii="Calibri" w:hAnsi="Calibri" w:eastAsia="Calibri" w:cs="Calibri" w:asciiTheme="minorHAnsi" w:cstheme="minorHAnsi" w:hAnsiTheme="minorHAnsi"/>
          <w:b/>
          <w:bCs/>
          <w:sz w:val="22"/>
          <w:szCs w:val="22"/>
          <w:lang w:eastAsia="ar-SA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ar-SA"/>
        </w:rPr>
        <w:t>Załącznik nr 7 do SWZ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pl-PL"/>
        </w:rPr>
      </w:r>
    </w:p>
    <w:p>
      <w:pPr>
        <w:pStyle w:val="Normal"/>
        <w:bidi w:val="0"/>
        <w:spacing w:lineRule="auto" w:line="36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UMOWA</w:t>
      </w:r>
    </w:p>
    <w:p>
      <w:pPr>
        <w:pStyle w:val="Normal"/>
        <w:bidi w:val="0"/>
        <w:spacing w:lineRule="auto" w:line="36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POWIERZENIA PRZETWARZANIA DANYCH OSOBOWYCH</w:t>
      </w:r>
    </w:p>
    <w:p>
      <w:pPr>
        <w:pStyle w:val="Normal"/>
        <w:bidi w:val="0"/>
        <w:spacing w:lineRule="auto" w:line="36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DO UMOWY NR .................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pl-PL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start w:w="108" w:type="dxa"/>
          <w:bottom w:w="113" w:type="dxa"/>
          <w:end w:w="108" w:type="dxa"/>
        </w:tblCellMar>
        <w:tblLook w:firstRow="1" w:noVBand="1" w:lastRow="0" w:firstColumn="1" w:lastColumn="0" w:noHBand="0" w:val="04a0"/>
      </w:tblPr>
      <w:tblGrid>
        <w:gridCol w:w="995"/>
        <w:gridCol w:w="2823"/>
        <w:gridCol w:w="1405"/>
        <w:gridCol w:w="2261"/>
        <w:gridCol w:w="2154"/>
      </w:tblGrid>
      <w:tr>
        <w:trPr/>
        <w:tc>
          <w:tcPr>
            <w:tcW w:w="5223" w:type="dxa"/>
            <w:gridSpan w:val="3"/>
            <w:vMerge w:val="restart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pl-PL"/>
              </w:rPr>
            </w:r>
          </w:p>
        </w:tc>
        <w:tc>
          <w:tcPr>
            <w:tcW w:w="2261" w:type="dxa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Zawarta w dniu:</w:t>
            </w:r>
          </w:p>
        </w:tc>
        <w:tc>
          <w:tcPr>
            <w:tcW w:w="2154" w:type="dxa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b/>
                <w:i/>
                <w:i/>
                <w:sz w:val="22"/>
                <w:szCs w:val="22"/>
                <w:lang w:eastAsia="pl-PL"/>
              </w:rPr>
            </w:pPr>
            <w:r>
              <w:rPr>
                <w:rFonts w:eastAsia="Calibri" w:cs="Calibri" w:cstheme="minorHAnsi" w:ascii="Calibri" w:hAnsi="Calibri"/>
                <w:b/>
                <w:i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5223" w:type="dxa"/>
            <w:gridSpan w:val="3"/>
            <w:vMerge w:val="continue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pl-PL"/>
              </w:rPr>
            </w:r>
          </w:p>
        </w:tc>
        <w:tc>
          <w:tcPr>
            <w:tcW w:w="2261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w miejscowości:</w:t>
            </w:r>
          </w:p>
        </w:tc>
        <w:tc>
          <w:tcPr>
            <w:tcW w:w="2154" w:type="dxa"/>
            <w:tcBorders>
              <w:top w:val="dashed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b/>
                <w:i/>
                <w:i/>
                <w:sz w:val="22"/>
                <w:szCs w:val="22"/>
                <w:lang w:eastAsia="pl-PL"/>
              </w:rPr>
            </w:pPr>
            <w:r>
              <w:rPr>
                <w:rFonts w:eastAsia="Calibri" w:cs="Calibri" w:cstheme="minorHAnsi" w:ascii="Calibri" w:hAnsi="Calibri"/>
                <w:b/>
                <w:i/>
                <w:sz w:val="22"/>
                <w:szCs w:val="22"/>
                <w:lang w:eastAsia="pl-PL"/>
              </w:rPr>
            </w:r>
          </w:p>
        </w:tc>
      </w:tr>
      <w:tr>
        <w:trPr>
          <w:trHeight w:val="851" w:hRule="atLeast"/>
        </w:trPr>
        <w:tc>
          <w:tcPr>
            <w:tcW w:w="3818" w:type="dxa"/>
            <w:gridSpan w:val="2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Pomiędzy</w:t>
            </w:r>
          </w:p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2"/>
                <w:szCs w:val="22"/>
                <w:lang w:eastAsia="pl-PL"/>
              </w:rPr>
              <w:t>„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sz w:val="22"/>
                <w:szCs w:val="22"/>
                <w:lang w:eastAsia="pl-PL"/>
              </w:rPr>
              <w:t>ADMINISTRATOREM”</w:t>
            </w:r>
          </w:p>
        </w:tc>
        <w:tc>
          <w:tcPr>
            <w:tcW w:w="5820" w:type="dxa"/>
            <w:gridSpan w:val="3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b/>
                <w:i/>
                <w:i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i/>
                <w:sz w:val="22"/>
                <w:szCs w:val="22"/>
                <w:lang w:eastAsia="pl-PL"/>
              </w:rPr>
              <w:t>……………………………………………………………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i/>
                <w:sz w:val="22"/>
                <w:szCs w:val="22"/>
                <w:lang w:eastAsia="pl-PL"/>
              </w:rPr>
              <w:t>..</w:t>
            </w:r>
          </w:p>
        </w:tc>
      </w:tr>
      <w:tr>
        <w:trPr/>
        <w:tc>
          <w:tcPr>
            <w:tcW w:w="995" w:type="dxa"/>
            <w:tcBorders>
              <w:top w:val="single" w:sz="4" w:space="0" w:color="000000"/>
              <w:end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pl-PL"/>
              </w:rPr>
            </w:r>
          </w:p>
        </w:tc>
        <w:tc>
          <w:tcPr>
            <w:tcW w:w="2823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reprezentowanym przez:</w:t>
            </w:r>
          </w:p>
        </w:tc>
        <w:tc>
          <w:tcPr>
            <w:tcW w:w="5820" w:type="dxa"/>
            <w:gridSpan w:val="3"/>
            <w:tcBorders>
              <w:top w:val="dashed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b/>
                <w:i/>
                <w:i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i/>
                <w:sz w:val="22"/>
                <w:szCs w:val="22"/>
                <w:lang w:eastAsia="pl-PL"/>
              </w:rPr>
              <w:t>…………………………………………………………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i/>
                <w:sz w:val="22"/>
                <w:szCs w:val="22"/>
                <w:lang w:eastAsia="pl-PL"/>
              </w:rPr>
              <w:t>.</w:t>
            </w:r>
          </w:p>
        </w:tc>
      </w:tr>
    </w:tbl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cstheme="minorHAnsi" w:ascii="Calibri" w:hAnsi="Calibri"/>
          <w:sz w:val="22"/>
          <w:szCs w:val="22"/>
          <w:lang w:eastAsia="pl-PL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start w:w="108" w:type="dxa"/>
          <w:bottom w:w="113" w:type="dxa"/>
          <w:end w:w="108" w:type="dxa"/>
        </w:tblCellMar>
        <w:tblLook w:firstRow="1" w:noVBand="1" w:lastRow="0" w:firstColumn="1" w:lastColumn="0" w:noHBand="0" w:val="04a0"/>
      </w:tblPr>
      <w:tblGrid>
        <w:gridCol w:w="1085"/>
        <w:gridCol w:w="2912"/>
        <w:gridCol w:w="5641"/>
      </w:tblGrid>
      <w:tr>
        <w:trPr>
          <w:trHeight w:val="851" w:hRule="atLeast"/>
        </w:trPr>
        <w:tc>
          <w:tcPr>
            <w:tcW w:w="3997" w:type="dxa"/>
            <w:gridSpan w:val="2"/>
            <w:tcBorders>
              <w:top w:val="single" w:sz="4" w:space="0" w:color="000000"/>
              <w:start w:val="single" w:sz="4" w:space="0" w:color="000000"/>
              <w:bottom w:val="dashed" w:sz="4" w:space="0" w:color="000000"/>
              <w:end w:val="dash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a</w:t>
            </w:r>
          </w:p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„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sz w:val="22"/>
                <w:szCs w:val="22"/>
                <w:lang w:eastAsia="pl-PL"/>
              </w:rPr>
              <w:t>PODMIOTEM PRZETWARZAJĄCYM”</w:t>
            </w:r>
          </w:p>
        </w:tc>
        <w:tc>
          <w:tcPr>
            <w:tcW w:w="5641" w:type="dxa"/>
            <w:tcBorders>
              <w:top w:val="single" w:sz="4" w:space="0" w:color="000000"/>
              <w:start w:val="dashed" w:sz="4" w:space="0" w:color="000000"/>
              <w:bottom w:val="dashed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b/>
                <w:i/>
                <w:i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i/>
                <w:sz w:val="22"/>
                <w:szCs w:val="22"/>
                <w:lang w:eastAsia="pl-PL"/>
              </w:rPr>
              <w:t>[OZNACZENIE PODMIOTU PRZETWARZAJĄCEGO]</w:t>
            </w:r>
          </w:p>
        </w:tc>
      </w:tr>
      <w:tr>
        <w:trPr/>
        <w:tc>
          <w:tcPr>
            <w:tcW w:w="1085" w:type="dxa"/>
            <w:tcBorders>
              <w:top w:val="single" w:sz="4" w:space="0" w:color="000000"/>
              <w:end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pl-PL"/>
              </w:rPr>
            </w:r>
          </w:p>
        </w:tc>
        <w:tc>
          <w:tcPr>
            <w:tcW w:w="2912" w:type="dxa"/>
            <w:tcBorders>
              <w:top w:val="dashed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reprezentowanym przez:</w:t>
            </w:r>
          </w:p>
        </w:tc>
        <w:tc>
          <w:tcPr>
            <w:tcW w:w="5641" w:type="dxa"/>
            <w:tcBorders>
              <w:top w:val="dashed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b/>
                <w:i/>
                <w:i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i/>
                <w:sz w:val="22"/>
                <w:szCs w:val="22"/>
                <w:lang w:eastAsia="pl-PL"/>
              </w:rPr>
              <w:t>[OZNACZENIE REPREZENTACJI]</w:t>
            </w:r>
          </w:p>
        </w:tc>
      </w:tr>
    </w:tbl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cstheme="minorHAnsi" w:ascii="Calibri" w:hAnsi="Calibri"/>
          <w:sz w:val="22"/>
          <w:szCs w:val="22"/>
          <w:lang w:eastAsia="pl-PL"/>
        </w:rPr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cstheme="minorHAnsi" w:ascii="Calibri" w:hAnsi="Calibri"/>
          <w:sz w:val="22"/>
          <w:szCs w:val="22"/>
          <w:lang w:eastAsia="pl-PL"/>
        </w:rPr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o następującej treści: </w:t>
      </w:r>
    </w:p>
    <w:p>
      <w:pPr>
        <w:pStyle w:val="Normal"/>
        <w:bidi w:val="0"/>
        <w:spacing w:lineRule="auto" w:line="36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§ 1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Powierzenie przetwarzania danych osobowych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W związku z realizacją umowy nr .................... z dnia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………..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 r. pomiędzy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………………………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a 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 xml:space="preserve">………………………..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o świadczenie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</w:rPr>
        <w:t xml:space="preserve">usług dożywiania w placówce oświatowej 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znak sprawy: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</w:rPr>
        <w:t xml:space="preserve"> OS.I.271.6.2024</w:t>
      </w:r>
    </w:p>
    <w:p>
      <w:pPr>
        <w:pStyle w:val="Normal"/>
        <w:numPr>
          <w:ilvl w:val="0"/>
          <w:numId w:val="1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pl-PL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pl-PL"/>
        </w:rPr>
        <w:t>(dalej jako umowa główna)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, Administrator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spełniwszy wszystkie niezbędne przesłanki legalności przetwarzania danych, powierza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Podmiotowi przetwarzającemu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na podstawie art. 28 ust. 3 Rozporządzenia Parlamentu Europejskiego i Rady (UE) 2016/679 z dnia 27 kwietnia 2016r. zwanego danej ,,rozporządzeniem ogólnym” przetwarzanie danych osobowych.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Przetwarzanie danych osobowych przez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odbywa się w ściśle określonym niniejszą Umową zakresie.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Administrator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 zobowiązany  jest  współdziałać  z  </w:t>
      </w: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Podmiotem przetwarzającym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 w  wykonaniu niniejszej Umowy, udzielać </w:t>
      </w: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Podmiotowi przetwarzającemu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wyjaśnień w razie wątpliwości co do legalności poleceń   </w:t>
      </w: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,    jak    też    wywiązywać    się    terminowo    ze    swoich szczegółowych obowiązków. </w:t>
      </w:r>
    </w:p>
    <w:p>
      <w:pPr>
        <w:pStyle w:val="Normal"/>
        <w:bidi w:val="0"/>
        <w:spacing w:lineRule="auto" w:line="360"/>
        <w:ind w:firstLine="708" w:start="2832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§ 2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Zakres i cel przetwarzania danych</w:t>
      </w:r>
    </w:p>
    <w:p>
      <w:pPr>
        <w:pStyle w:val="Normal"/>
        <w:numPr>
          <w:ilvl w:val="0"/>
          <w:numId w:val="15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Podmiot przetwarzający będzie przetwarzał rodzaj danych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 xml:space="preserve">dane osobowe dzieci objętych dożywianiem w Publicznej  Szkole Podstawowej i/lub w Przedszkolu Samorządowym w Lgocie Wielkiej.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Podmiot przetwarzający będzie przetwarzał, powierzone na podstawie niniejszej Umowy, charakter oraz kategorie danych osobowych w zakresie: </w:t>
      </w:r>
    </w:p>
    <w:p>
      <w:pPr>
        <w:pStyle w:val="Normal"/>
        <w:numPr>
          <w:ilvl w:val="0"/>
          <w:numId w:val="16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zbiorów danych osobowych: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dane osobowe uczniów oraz ich opiekunów prawnych,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struktury zbioru: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 xml:space="preserve">imię, nazwisko, adres zamieszkania. 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Celem powierzenia danych jest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 xml:space="preserve">realizacja umowy głównej.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Zakres przetwarzania obejmuje: </w:t>
      </w: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wgląd, przesyłanie danych osobowych.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Powierzone przez Administratora dane osobowe będą przetwarzane przez Podmiot przetwarzający wyłącznie w celu wykonywania przez Podmiot przetwarzający na rzecz Administratora usług szczegółowo opisanych w Umowie głównej. </w:t>
      </w:r>
    </w:p>
    <w:p>
      <w:pPr>
        <w:pStyle w:val="Normal"/>
        <w:bidi w:val="0"/>
        <w:spacing w:lineRule="auto" w:line="36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§ 3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Sposób wykonania umowy w zakresie przetwarzania danych osobowych</w:t>
      </w:r>
    </w:p>
    <w:p>
      <w:pPr>
        <w:pStyle w:val="Normal"/>
        <w:numPr>
          <w:ilvl w:val="0"/>
          <w:numId w:val="17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zapewnia gwarancje wdrożenia w swojej organizacji odpowiednich środków technicznych i organizacyjnych w ten sposób, by przetwarzanie spełniało wymogi rozporządzenia ogólnego. 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przetwarza dane osobowe wyłącznie na udokumentowane polecenie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(w tym przypadku jest to niniejsza umowa) – co dotyczy też przekazywania danych osobowych do państwa trzeciego lub organizacji międzynarodowej – chyba, że obowiązek taki nakłada na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prawo Unii lub prawo państwa członkowskiego, któremu podlega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. W takim przypadku przed rozpoczęciem przetwarzania Podmiot przetwarzający informuje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o tym obowiązku prawnym, o ile prawo to nie zabrania udzielania takiej informacji z uwagi na ważny interes publiczny. 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oświadcza, że zgodnie z rozporządzeniem ogólnym:</w:t>
      </w:r>
    </w:p>
    <w:p>
      <w:pPr>
        <w:pStyle w:val="Normal"/>
        <w:numPr>
          <w:ilvl w:val="0"/>
          <w:numId w:val="18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prowadzi odpowiednie polityki opisujące sposób przetwarzania danych osobowych,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znajdujące się w jego posiadaniu urządzenia i systemy informatyczne służące do przetwarzania danych osobowych zapewniają odpowiedni poziom bezpieczeństwa tych danych, 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aby zapewnić stopień bezpieczeństwa odpowiadający ryzyku naruszenia praw lub wolności osób fizycznych, względem których zachodzi proces przetwarzania danych osobowych stosuje środki techniczne i organizacyjne, o których mowa w art. 32 rozporządzenia ogólnego, 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zapewnia ochronę przetwarzanych danych osobowych, a w szczególności zabezpieczenia danych osobowych przed ich udostępnieniem osobom nieupoważnionym, zabraniem przez osobę nieuprawnioną, przetwarzaniem z naruszeniem rozporządzenia ogólnego, zmianą, utratą, uszkodzeniem lub zniszczeniem, w zakresie, za który odpowiada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,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do wykonania czynności objętych umową dopuszcza jedynie osoby posiadające imienne upoważnienia oraz posiadające zobowiązanie do zachowania powziętych informacji podczas wykonywania czynności, o których mowa powyżej, w tajemnicy, Jednocześnie osoby oddelegowane do wykonania czynności w ramach usług określonych umową macierzystą, posiadające odpowiednią wiedzę z zakresu ochrony danych osobowych. 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zobowiązuje się przetwarzać powierzone mu dane osobowe zgodnie z prawem Unii, rozporządzeniem ogólnym, innymi przepisami prawa powszechnie obowiązującego, a także niniejszą Umową. 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zobowiązuje się niezwłocznie zawiadomić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o:</w:t>
      </w:r>
    </w:p>
    <w:p>
      <w:pPr>
        <w:pStyle w:val="Normal"/>
        <w:numPr>
          <w:ilvl w:val="0"/>
          <w:numId w:val="19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każdym prawnie umocowanym żądaniu udostępnienia danych osobowych właściwemu organowi państwa, chyba że zakaz zawiadomienia wynika z przepisów prawa, a w szczególności przepisów postępowania karnego, gdy zakaz ma na celu zapewnienia poufności wszczętego dochodzenia,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każdym nieupoważnionym dostępie do danych osobowych,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każdym naruszeniu w zakresie bezpieczeństwa przetwarzanych danych osobowych w terminie 24 godzin od jego wykrycia, w tym informacji, o których mowa w art. 33 ust. 3 RODO oraz art. 34 ust. 3 RODO, 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każdym żądaniu otrzymanym od osoby, której dane przetwarza, powstrzymując się jednocześnie od odpowiedzi na żądanie. 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pomaga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Administratorowi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w wykonywaniu obowiązków określonych w art. 32 </w:t>
        <w:noBreakHyphen/>
        <w:t xml:space="preserve"> 36 rozporządzenia ogólnego. 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zobowiązuje się pomagać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 xml:space="preserve">Administratorowi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poprzez odpowiednie środki techniczne i organizacyjne, w wywiązywaniu się z obowiązku odpowiadania na żądania osób, których dane dotyczą, w zakresie wykonywania ich praw określonych w art. 15-22 RODO. W szczególności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zobowiązuje się – na żądanie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 xml:space="preserve">Administratora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– do przygotowania i przekazania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 xml:space="preserve"> Administratorowi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informacji potrzebnych do spełnienia żądania osoby, której dane dotyczą, w ciągu 3 dni od dnia otrzymania żądania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zastrzega sobie prawo do kontroli sposobu wykonywania niniejszej Umowy poprzez przeprowadzenie zapowiedzianych na 7 dni kalendarzowych wcześniej doraźnych audytów dotyczących przetwarzania danych osobowych przez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, oraz żądania składania przez niego pisemnych wyjaśnień.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Termin 7 dni, o którym mowa w ust. 8, nie ma zastosowania w sytuacji prowadzenia kontroli w wyniku incydentu bezpieczeństwa, kiedy to </w:t>
      </w: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Administrator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może przeprowadzić kontrolę niezwłocznie.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, zgodnie z § 3 ust. 8 Umowy, jest w obowiązku umożliwić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Administratorowi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, Inspektorowi Ochrony Danych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lub innemu audytorowi upoważnionemu przez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przeprowadzenie audytów, w tym inspekcji, i przyczynia się do nich. Jednocześnie, jeżeli zdaniem Podmiotu przetwarzającego wydane mu polecenie stanowi naruszenie rozporządzenia ogólnego lub innych przepisów Unii lub państwa członkowskiego o ochronie danych,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niezwłocznie informuje o tym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. 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Na zakończenie audytu, o których mowa w § 3 ust. 8 Umowy,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sporządza protokół w 2 egzemplarzach, który podpisują najwyższe kierownictwo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oraz najwyższe kierownictwo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Podmiotu przetwarzającego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.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może wnieść zastrzeżenia do protokołu w terminie 10 dni roboczych licząc od daty jego podpisania. 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zobowiązuje się dostosować do zaleceń poaudytowych mających na celu usunięcie uchybień i poprawę bezpieczeństwa przetwarzania danych osobowych.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zobowiązuje się odpowiedzieć niezwłocznie i właściwie na każde pytanie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dotyczące przetwarzania powierzonych mu na podstawie Umowy danych osobowych. 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contextualSpacing/>
        <w:jc w:val="start"/>
        <w:textAlignment w:val="baseline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jest uprawniony do korzystania z usług innego Podmiotu przetwarzającego  </w:t>
        <w:br/>
        <w:t xml:space="preserve">w trakcie realizacji przetwarzania danych osobowych na podstawie niniejszej umowy, wyłącznie po uzyskaniu uprzedniej pisemnej zgody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 xml:space="preserve">Administratora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na dalsze powierzenie ich przetwarzania temu innemu Podmiotowi przetwarzającemu. 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contextualSpacing/>
        <w:jc w:val="start"/>
        <w:textAlignment w:val="baseline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jest obowiązany poinformować Administratora o każdym planowanym dalszym powierzeniu przetwarzania danych osobowych innemu Podmiotowi przetwarzającemu, który w terminie 14 dni od otrzymania tej informacji udziela zgodę lub wyraża sprzeciw wobec dalszego powierzenia przetwarzania w/w danych innemu Podmiotowi przetwarzającemu wskazanemu przez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>.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contextualSpacing/>
        <w:jc w:val="start"/>
        <w:textAlignment w:val="baseline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jest zobowiązany zapewnić, iż inny podmiot przetwarzający, z którego usług zamierza korzystać przy przetwarzaniu danych osobowych daje wystarczające gwarancje wdrożenia odpowiednich środków technicznych i organizacyjnych, by przetwarzanie spełniało wymogi RODO oraz chroniło prawa osób, których dane dotyczą.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contextualSpacing/>
        <w:jc w:val="start"/>
        <w:textAlignment w:val="baseline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W przypadku dalszego powierzenia czynności przetwarzania innemu podmiotowi przetwarzającemu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nakłada na ten inny podmiot przetwarzający na mocy umowy (w formie pisemnej, przy czym wymóg pisemności umowy spełnia umowa zawarta w formie elektronicznej), takie same obowiązki ochrony danych jakie spoczywają na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Podmiocie przetwarzającym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w ramach niniejszej umowy, w szczególności obowiązki dotyczące wdrożenia odpowiednich środków technicznych i organizacyjnych, tak aby przetwarzanie odpowiadało wymogom art. 32 RODO. 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contextualSpacing/>
        <w:jc w:val="start"/>
        <w:textAlignment w:val="baseline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ponosi wobec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 xml:space="preserve">Administratora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odpowiedzialność za wszelkie działania i zaniechania innego podmiotu przetwarzającego związane z ochroną powierzonych Danych osobowych jak za własne działania i zaniechania. 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contextualSpacing/>
        <w:jc w:val="start"/>
        <w:textAlignment w:val="baseline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W przypadku dopuszczenia się przez inny podmiot przetwarzający naruszenia zasad ochrony powierzonych danych osobowych,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Administrator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ma prawo żądać zaprzestania korzystania przez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z usług tego podmiotu w procesie przetwarzania danych osobowych.</w:t>
      </w:r>
    </w:p>
    <w:p>
      <w:pPr>
        <w:pStyle w:val="Normal"/>
        <w:bidi w:val="0"/>
        <w:spacing w:lineRule="auto" w:line="36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§ 4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Postanowienia dotyczące zachowania poufności w zakresie ochrony danych osobowych</w:t>
      </w:r>
    </w:p>
    <w:p>
      <w:pPr>
        <w:pStyle w:val="Normal"/>
        <w:numPr>
          <w:ilvl w:val="0"/>
          <w:numId w:val="20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przetwarzający,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w przypadku przetwarzania danych na rzecz i w imieniu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 xml:space="preserve">Administratora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zobowiązany jest zapewnić poufność informacji, które uzyska na etapie współpracy z 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 xml:space="preserve">Administratorem.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Obowiązek zachowania w poufności danych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Administratora,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dotyczy w szczególności informacji prawnie chronionych, które to informacje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uzyska w trakcie lub w związku z realizacją Umowy głównej bez względu na sposób i formę ich utrwalenia lub przekazania. 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Klauzula poufności względem informacji powziętych na etapie współpracy z 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Administratorem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obowiązuje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 xml:space="preserve">Podmiot przetwarzający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przez okres trwania współpracy, a także bezterminowo po jej zakończeniu.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 xml:space="preserve"> 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zobowiązuje się do bezwzględnego przestrzegania przepisów Rozporządzenia Parlamentu Europejskiego i Rady (UE) 2016/679 z dnia 27 kwietnia 2016r., tym samym oświadcza ich znajomość.</w:t>
      </w:r>
    </w:p>
    <w:p>
      <w:pPr>
        <w:pStyle w:val="Normal"/>
        <w:bidi w:val="0"/>
        <w:spacing w:lineRule="auto" w:line="360" w:before="0" w:after="0"/>
        <w:ind w:start="720"/>
        <w:contextualSpacing/>
        <w:jc w:val="start"/>
        <w:rPr>
          <w:rFonts w:ascii="Calibri" w:hAnsi="Calibri" w:eastAsia="Times New Roman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Times New Roman" w:cs="Calibri" w:cstheme="minorHAnsi" w:ascii="Calibri" w:hAnsi="Calibri"/>
          <w:sz w:val="22"/>
          <w:szCs w:val="22"/>
          <w:lang w:eastAsia="pl-PL"/>
        </w:rPr>
      </w:r>
    </w:p>
    <w:p>
      <w:pPr>
        <w:pStyle w:val="Normal"/>
        <w:bidi w:val="0"/>
        <w:spacing w:lineRule="auto" w:line="36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§ 5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Odpowiedzialność Podmiotu przetwarzającego</w:t>
      </w:r>
    </w:p>
    <w:p>
      <w:pPr>
        <w:pStyle w:val="Normal"/>
        <w:numPr>
          <w:ilvl w:val="0"/>
          <w:numId w:val="21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jest odpowiedzialny za udostępnienie i/lub wykorzystanie danych osobowych niezgodnie z Umową, a w szczególności za udostępnienie, ujawnienie osobom/podmiotom nieuprawnionym bądź wykorzystanie danych osobowych w jakikolwiek inny nieuprawniony sposób. </w:t>
      </w:r>
    </w:p>
    <w:p>
      <w:pPr>
        <w:pStyle w:val="Normal"/>
        <w:numPr>
          <w:ilvl w:val="0"/>
          <w:numId w:val="8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ponosi całkowitą odpowiedzialność za swoje działania, działania swoich pracowników bądź współpracowników, jak również innych podmiotów przetwarzających, za które </w:t>
      </w: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odpowiada, a którym </w:t>
      </w: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podpowierzył przetwarzanie danych osobowych. </w:t>
      </w:r>
    </w:p>
    <w:p>
      <w:pPr>
        <w:pStyle w:val="Normal"/>
        <w:bidi w:val="0"/>
        <w:spacing w:lineRule="auto" w:line="36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§ 6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Czas obowiązywania umowy powierzenia</w:t>
      </w:r>
    </w:p>
    <w:p>
      <w:pPr>
        <w:pStyle w:val="Normal"/>
        <w:numPr>
          <w:ilvl w:val="0"/>
          <w:numId w:val="22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Niniejsza Umowa powierzenia zostaje zawarta na czas trwania umowy głównej. </w:t>
      </w:r>
    </w:p>
    <w:p>
      <w:pPr>
        <w:pStyle w:val="Normal"/>
        <w:bidi w:val="0"/>
        <w:spacing w:lineRule="auto" w:line="36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§ 7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Warunki wypowiedzenia i rozwiązania umowy</w:t>
      </w:r>
    </w:p>
    <w:p>
      <w:pPr>
        <w:pStyle w:val="Normal"/>
        <w:numPr>
          <w:ilvl w:val="0"/>
          <w:numId w:val="23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Wypowiedzenie Umowy głównej skutkuje równoczesnym wypowiedzeniem niniejszej umowy. </w:t>
      </w:r>
    </w:p>
    <w:p>
      <w:pPr>
        <w:pStyle w:val="Normal"/>
        <w:numPr>
          <w:ilvl w:val="0"/>
          <w:numId w:val="10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ma prawo rozwiązać niniejszą Umowę ze skutkiem natychmiastowym, gdy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: </w:t>
      </w:r>
    </w:p>
    <w:p>
      <w:pPr>
        <w:pStyle w:val="Normal"/>
        <w:numPr>
          <w:ilvl w:val="0"/>
          <w:numId w:val="24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wykorzystał dane osobowe w sposób niezgodny z niniejszą Umową,</w:t>
      </w:r>
    </w:p>
    <w:p>
      <w:pPr>
        <w:pStyle w:val="Normal"/>
        <w:numPr>
          <w:ilvl w:val="0"/>
          <w:numId w:val="11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„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pod powierzył” przetwarzanie danych osobowych podwykonawcom bez uprzedniej pisemnej zgody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,</w:t>
      </w:r>
    </w:p>
    <w:p>
      <w:pPr>
        <w:pStyle w:val="Normal"/>
        <w:numPr>
          <w:ilvl w:val="0"/>
          <w:numId w:val="11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nie zaprzestał niewłaściwego przetwarzania danych osobowych, czego wynikiem jest powstała szkoda majątkowa lub niemajątkowa osoby, której dane dotyczą, </w:t>
      </w:r>
    </w:p>
    <w:p>
      <w:pPr>
        <w:pStyle w:val="Normal"/>
        <w:numPr>
          <w:ilvl w:val="0"/>
          <w:numId w:val="11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zawiadomi o swojej niezdolności do dalszego wykonywania niniejszej Umowy, a w szczególności niespełniania wymagań określonych w § 3 Umowy. </w:t>
      </w:r>
    </w:p>
    <w:p>
      <w:pPr>
        <w:pStyle w:val="Normal"/>
        <w:numPr>
          <w:ilvl w:val="0"/>
          <w:numId w:val="10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Po zakończeniu świadczenia usług związanych z przetwarzaniem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zależnie od decyzji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usuwa lub zwraca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Administratorowi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wszelkie dane osobowe oraz usuwa wszelkie ich istniejące kopie, chyba, że prawo Unii lub prawo krajowe nakazuje przechowywanie danych osobowych.  </w:t>
      </w:r>
    </w:p>
    <w:p>
      <w:pPr>
        <w:pStyle w:val="Normal"/>
        <w:numPr>
          <w:ilvl w:val="0"/>
          <w:numId w:val="10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Podmiot przetwarzający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jest obowiązany niezwłocznie wykonać obowiązek, o którym mowa w ust. 3 powyżej, nie później jednak niż w terminie 14 dni od dnia rozwiązania niniejszej umowy, jak również poinformować o tym </w:t>
      </w: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  <w:lang w:eastAsia="pl-PL"/>
        </w:rPr>
        <w:t>Administratora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 na piśmie w terminie 3 dni od jego wykonania.</w:t>
      </w:r>
    </w:p>
    <w:p>
      <w:pPr>
        <w:pStyle w:val="Normal"/>
        <w:bidi w:val="0"/>
        <w:spacing w:lineRule="auto" w:line="36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§8</w:t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pl-PL"/>
        </w:rPr>
        <w:t>Postanowienia końcowe</w:t>
      </w:r>
    </w:p>
    <w:p>
      <w:pPr>
        <w:pStyle w:val="Normal"/>
        <w:numPr>
          <w:ilvl w:val="0"/>
          <w:numId w:val="25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Jeżeli jakiekolwiek postanowienie niniejszej umowy jest lub stanie się nieważne, pozostała część niniejszej umowy pozostaje w mocy. Strony niezwłocznie podejmą czynności w celu zastąpienia nieważnego postanowienia przez odpowiednie postanowienie, które jest ważne i najbliższe zamierzonemu przez Strony znaczeniu. </w:t>
      </w:r>
    </w:p>
    <w:p>
      <w:pPr>
        <w:pStyle w:val="Normal"/>
        <w:numPr>
          <w:ilvl w:val="0"/>
          <w:numId w:val="12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Wszelkie zmiany niniejszej umowy wymagają formy pisemnej pod rygorem nieważności.</w:t>
      </w:r>
    </w:p>
    <w:p>
      <w:pPr>
        <w:pStyle w:val="Normal"/>
        <w:numPr>
          <w:ilvl w:val="0"/>
          <w:numId w:val="12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Umowa, oprócz formy pisemnej, zachowana jest również w formie elektronicznej zgodnie z art. 28 ust. 9 rozporządzenia ogólnego. </w:t>
      </w:r>
    </w:p>
    <w:p>
      <w:pPr>
        <w:pStyle w:val="Normal"/>
        <w:numPr>
          <w:ilvl w:val="0"/>
          <w:numId w:val="12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 xml:space="preserve">W sprawach nieuregulowanych w niniejszej umowie mają zastosowanie przepisy rozporządzenia ogólnego, a także kodeksu cywilnego. </w:t>
      </w:r>
    </w:p>
    <w:p>
      <w:pPr>
        <w:pStyle w:val="Normal"/>
        <w:numPr>
          <w:ilvl w:val="0"/>
          <w:numId w:val="12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Spory wynikłe z tytułu Umowy będzie rozstrzygał Sąd właściwy dla miejsca siedziby Administratora.</w:t>
      </w:r>
    </w:p>
    <w:p>
      <w:pPr>
        <w:pStyle w:val="Normal"/>
        <w:numPr>
          <w:ilvl w:val="0"/>
          <w:numId w:val="12"/>
        </w:numPr>
        <w:bidi w:val="0"/>
        <w:spacing w:lineRule="auto" w:line="360"/>
        <w:jc w:val="start"/>
        <w:textAlignment w:val="baseline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Umowę sporządzono w dwóch jednobrzmiących egzemplarzach, po jednym dla każdej ze stron.</w:t>
      </w:r>
    </w:p>
    <w:p>
      <w:pPr>
        <w:pStyle w:val="Normal"/>
        <w:bidi w:val="0"/>
        <w:spacing w:lineRule="auto" w:line="360"/>
        <w:ind w:start="720"/>
        <w:jc w:val="start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cstheme="minorHAnsi" w:ascii="Calibri" w:hAnsi="Calibri"/>
          <w:sz w:val="22"/>
          <w:szCs w:val="22"/>
          <w:lang w:eastAsia="pl-PL"/>
        </w:rPr>
      </w:r>
    </w:p>
    <w:tbl>
      <w:tblPr>
        <w:tblW w:w="4000" w:type="pct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3148"/>
        <w:gridCol w:w="1417"/>
        <w:gridCol w:w="3145"/>
      </w:tblGrid>
      <w:tr>
        <w:trPr>
          <w:trHeight w:val="1291" w:hRule="atLeast"/>
        </w:trPr>
        <w:tc>
          <w:tcPr>
            <w:tcW w:w="3148" w:type="dxa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pl-PL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pl-PL"/>
              </w:rPr>
            </w:r>
          </w:p>
        </w:tc>
        <w:tc>
          <w:tcPr>
            <w:tcW w:w="3145" w:type="dxa"/>
            <w:tcBorders>
              <w:bottom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3148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za Administratora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pl-PL"/>
              </w:rPr>
            </w:r>
          </w:p>
        </w:tc>
        <w:tc>
          <w:tcPr>
            <w:tcW w:w="3145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za Podmiot przetwarzający</w:t>
            </w:r>
          </w:p>
        </w:tc>
      </w:tr>
    </w:tbl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eastAsia="Calibri" w:cs="Calibri" w:cstheme="minorHAnsi" w:ascii="Calibri" w:hAnsi="Calibri"/>
          <w:sz w:val="22"/>
          <w:szCs w:val="22"/>
          <w:lang w:eastAsia="pl-PL"/>
        </w:rPr>
      </w:r>
    </w:p>
    <w:p>
      <w:pPr>
        <w:pStyle w:val="Normal"/>
        <w:bidi w:val="0"/>
        <w:spacing w:lineRule="auto" w:line="360"/>
        <w:jc w:val="start"/>
        <w:rPr>
          <w:rFonts w:ascii="Calibri" w:hAnsi="Calibri" w:cs="Calibri" w:asciiTheme="minorHAnsi" w:cstheme="minorHAnsi" w:hAnsiTheme="minorHAnsi"/>
          <w:kern w:val="2"/>
          <w:sz w:val="22"/>
          <w:szCs w:val="22"/>
        </w:rPr>
      </w:pPr>
      <w:r>
        <w:rPr>
          <w:rFonts w:cs="Calibri" w:cstheme="minorHAnsi" w:ascii="Calibri" w:hAnsi="Calibri"/>
          <w:kern w:val="2"/>
          <w:sz w:val="22"/>
          <w:szCs w:val="22"/>
        </w:rPr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bCs/>
          <w:sz w:val="22"/>
          <w:szCs w:val="22"/>
          <w:lang w:eastAsia="ar-SA"/>
        </w:rPr>
      </w:pPr>
      <w:r>
        <w:rPr>
          <w:rFonts w:eastAsia="Calibri" w:cs="Calibri" w:cstheme="minorHAnsi" w:ascii="Calibri" w:hAnsi="Calibri"/>
          <w:b/>
          <w:bCs/>
          <w:sz w:val="22"/>
          <w:szCs w:val="22"/>
          <w:lang w:eastAsia="ar-SA"/>
        </w:rPr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bCs/>
          <w:sz w:val="22"/>
          <w:szCs w:val="22"/>
          <w:lang w:eastAsia="ar-SA"/>
        </w:rPr>
      </w:pPr>
      <w:r>
        <w:rPr>
          <w:rFonts w:eastAsia="Calibri" w:cs="Calibri" w:cstheme="minorHAnsi" w:ascii="Calibri" w:hAnsi="Calibri"/>
          <w:b/>
          <w:bCs/>
          <w:sz w:val="22"/>
          <w:szCs w:val="22"/>
          <w:lang w:eastAsia="ar-SA"/>
        </w:rPr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bCs/>
          <w:sz w:val="22"/>
          <w:szCs w:val="22"/>
          <w:lang w:eastAsia="ar-SA"/>
        </w:rPr>
      </w:pPr>
      <w:r>
        <w:rPr>
          <w:rFonts w:eastAsia="Calibri" w:cs="Calibri" w:cstheme="minorHAnsi" w:ascii="Calibri" w:hAnsi="Calibri"/>
          <w:b/>
          <w:bCs/>
          <w:sz w:val="22"/>
          <w:szCs w:val="22"/>
          <w:lang w:eastAsia="ar-SA"/>
        </w:rPr>
      </w:r>
    </w:p>
    <w:p>
      <w:pPr>
        <w:pStyle w:val="Normal"/>
        <w:bidi w:val="0"/>
        <w:spacing w:lineRule="auto" w:line="360"/>
        <w:jc w:val="start"/>
        <w:rPr>
          <w:rFonts w:ascii="Calibri" w:hAnsi="Calibri" w:eastAsia="Calibri" w:cs="Calibri" w:asciiTheme="minorHAnsi" w:cstheme="minorHAnsi" w:hAnsiTheme="minorHAnsi"/>
          <w:b/>
          <w:bCs/>
          <w:sz w:val="22"/>
          <w:szCs w:val="22"/>
          <w:lang w:eastAsia="ar-SA"/>
        </w:rPr>
      </w:pPr>
      <w:r>
        <w:rPr>
          <w:rFonts w:eastAsia="Calibri" w:cs="Calibri" w:cstheme="minorHAnsi" w:ascii="Calibri" w:hAnsi="Calibri"/>
          <w:b/>
          <w:bCs/>
          <w:sz w:val="22"/>
          <w:szCs w:val="22"/>
          <w:lang w:eastAsia="ar-SA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0"/>
        </w:tabs>
        <w:ind w:start="1068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8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08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28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8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8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8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8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8" w:hanging="18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5">
    <w:lvl w:ilvl="0">
      <w:start w:val="1"/>
      <w:numFmt w:val="decimal"/>
      <w:lvlText w:val="%1)"/>
      <w:lvlJc w:val="start"/>
      <w:pPr>
        <w:tabs>
          <w:tab w:val="num" w:pos="0"/>
        </w:tabs>
        <w:ind w:start="1068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8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08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28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8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8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8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8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8" w:hanging="180"/>
      </w:pPr>
      <w:rPr/>
    </w:lvl>
  </w:abstractNum>
  <w:abstractNum w:abstractNumId="6">
    <w:lvl w:ilvl="0">
      <w:start w:val="1"/>
      <w:numFmt w:val="decimal"/>
      <w:lvlText w:val="%1)"/>
      <w:lvlJc w:val="start"/>
      <w:pPr>
        <w:tabs>
          <w:tab w:val="num" w:pos="0"/>
        </w:tabs>
        <w:ind w:start="1068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8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08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28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8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8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8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8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8" w:hanging="180"/>
      </w:pPr>
      <w:rPr/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1">
    <w:lvl w:ilvl="0">
      <w:start w:val="1"/>
      <w:numFmt w:val="decimal"/>
      <w:lvlText w:val="%1)"/>
      <w:lvlJc w:val="start"/>
      <w:pPr>
        <w:tabs>
          <w:tab w:val="num" w:pos="0"/>
        </w:tabs>
        <w:ind w:start="1068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8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08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28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8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8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8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8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8" w:hanging="180"/>
      </w:pPr>
      <w:rPr/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7</Pages>
  <Words>1707</Words>
  <Characters>12052</Characters>
  <CharactersWithSpaces>13687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2024-08-14T15:04:16Z</dcterms:created>
  <dc:creator/>
  <dc:description/>
  <dc:language>pl-PL</dc:language>
  <cp:lastModifiedBy/>
  <dcterms:modified xsi:type="dcterms:W3CDTF">2024-08-14T15:04:49Z</dcterms:modified>
  <cp:revision>1</cp:revision>
  <dc:subject/>
  <dc:title/>
</cp:coreProperties>
</file>